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4020" w:right="2400" w:hanging="4012"/>
        <w:spacing w:after="0" w:line="250" w:lineRule="auto"/>
        <w:tabs>
          <w:tab w:leader="none" w:pos="2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2014</w:t>
      </w: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441" w:right="239" w:bottom="973" w:gutter="0" w:footer="0" w:header="0"/>
        </w:sect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441" w:right="239" w:bottom="973"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13115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(281) 295-1800</w:t>
            </w:r>
          </w:p>
        </w:tc>
        <w:tc>
          <w:tcPr>
            <w:tcW w:w="8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060" w:type="dxa"/>
            <w:vAlign w:val="bottom"/>
            <w:gridSpan w:val="3"/>
          </w:tcPr>
          <w:p>
            <w:pPr>
              <w:jc w:val="center"/>
              <w:ind w:left="42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w:t>
            </w:r>
          </w:p>
        </w:tc>
        <w:tc>
          <w:tcPr>
            <w:tcW w:w="43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6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3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1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34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414"/>
        </w:trPr>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4340" w:type="dxa"/>
            <w:vAlign w:val="bottom"/>
          </w:tcPr>
          <w:p>
            <w:pPr>
              <w:spacing w:after="0"/>
              <w:rPr>
                <w:sz w:val="24"/>
                <w:szCs w:val="24"/>
                <w:color w:val="auto"/>
              </w:rPr>
            </w:pPr>
          </w:p>
        </w:tc>
      </w:tr>
    </w:tbl>
    <w:p>
      <w:pPr>
        <w:spacing w:after="0" w:line="169" w:lineRule="exact"/>
        <w:rPr>
          <w:sz w:val="24"/>
          <w:szCs w:val="24"/>
          <w:color w:val="auto"/>
        </w:rPr>
      </w:pPr>
    </w:p>
    <w:p>
      <w:pPr>
        <w:ind w:right="1340"/>
        <w:spacing w:after="0" w:line="30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of 1933 Yes o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70"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1"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41" w:right="239" w:bottom="973" w:gutter="0" w:footer="0" w:header="0"/>
          <w:type w:val="continuous"/>
        </w:sectPr>
      </w:pP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ectPr>
          <w:pgSz w:w="11900" w:h="16838" w:orient="portrait"/>
          <w:cols w:equalWidth="0" w:num="4">
            <w:col w:w="2280" w:space="720"/>
            <w:col w:w="4060" w:space="720"/>
            <w:col w:w="2240" w:space="720"/>
            <w:col w:w="680"/>
          </w:cols>
          <w:pgMar w:left="240" w:top="441" w:right="239" w:bottom="973"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88" w:lineRule="exact"/>
        <w:rPr>
          <w:sz w:val="24"/>
          <w:szCs w:val="24"/>
          <w:color w:val="auto"/>
        </w:rPr>
      </w:pPr>
    </w:p>
    <w:p>
      <w:pPr>
        <w:sectPr>
          <w:pgSz w:w="11900" w:h="16838" w:orient="portrait"/>
          <w:cols w:equalWidth="0" w:num="4">
            <w:col w:w="2280" w:space="720"/>
            <w:col w:w="4060" w:space="720"/>
            <w:col w:w="2240" w:space="720"/>
            <w:col w:w="680"/>
          </w:cols>
          <w:pgMar w:left="240" w:top="441" w:right="239" w:bottom="973"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 Yes £</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57" w:lineRule="exact"/>
        <w:rPr>
          <w:sz w:val="24"/>
          <w:szCs w:val="24"/>
          <w:color w:val="auto"/>
        </w:rPr>
      </w:pPr>
    </w:p>
    <w:p>
      <w:pPr>
        <w:sectPr>
          <w:pgSz w:w="11900" w:h="16838" w:orient="portrait"/>
          <w:cols w:equalWidth="0" w:num="2">
            <w:col w:w="7940" w:space="120"/>
            <w:col w:w="3360"/>
          </w:cols>
          <w:pgMar w:left="240" w:top="441" w:right="239" w:bottom="973" w:gutter="0" w:footer="0" w:header="0"/>
          <w:type w:val="continuous"/>
        </w:sect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As of June 30, 2014, the aggregate market value of the voting common stock held by non-affiliates of the Registrant was approximately $332.7 million based upon the closing sales price of the Registrant’s common stock as reported on the NASDAQ Global Markets on June 30, 2014 of $23.20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of other purposes.</w:t>
      </w:r>
    </w:p>
    <w:p>
      <w:pPr>
        <w:spacing w:after="0" w:line="5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2, 2015, the Registrant had 14,887,794 outstanding shares of Common Stock.</w:t>
      </w:r>
    </w:p>
    <w:p>
      <w:pPr>
        <w:spacing w:after="0" w:line="11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Registrant’s 2014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97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Part I</w:t>
            </w:r>
          </w:p>
        </w:tc>
        <w:tc>
          <w:tcPr>
            <w:tcW w:w="9080" w:type="dxa"/>
            <w:vAlign w:val="bottom"/>
            <w:shd w:val="clear" w:color="auto" w:fill="EEEEEE"/>
          </w:tcPr>
          <w:p>
            <w:pPr>
              <w:spacing w:after="0"/>
              <w:rPr>
                <w:sz w:val="18"/>
                <w:szCs w:val="18"/>
                <w:color w:val="auto"/>
              </w:rPr>
            </w:pPr>
          </w:p>
        </w:tc>
        <w:tc>
          <w:tcPr>
            <w:tcW w:w="1380" w:type="dxa"/>
            <w:vAlign w:val="bottom"/>
            <w:shd w:val="clear" w:color="auto" w:fill="EEEEEE"/>
          </w:tcPr>
          <w:p>
            <w:pPr>
              <w:jc w:val="center"/>
              <w:ind w:left="49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380" w:type="dxa"/>
            <w:vAlign w:val="bottom"/>
            <w:shd w:val="clear" w:color="auto" w:fill="EEEEEE"/>
          </w:tcPr>
          <w:p>
            <w:pPr>
              <w:jc w:val="center"/>
              <w:ind w:left="49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1B.</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4.</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Mine Safety Disclosure</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Part II</w:t>
            </w:r>
          </w:p>
        </w:tc>
        <w:tc>
          <w:tcPr>
            <w:tcW w:w="9080" w:type="dxa"/>
            <w:vAlign w:val="bottom"/>
            <w:shd w:val="clear" w:color="auto" w:fill="EEEEEE"/>
          </w:tcPr>
          <w:p>
            <w:pPr>
              <w:spacing w:after="0"/>
              <w:rPr>
                <w:sz w:val="18"/>
                <w:szCs w:val="18"/>
                <w:color w:val="auto"/>
              </w:rPr>
            </w:pP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5.</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Selected Financial Data</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7.</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7A.</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8.</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9.</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9A.</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9B.</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Part III</w:t>
            </w:r>
          </w:p>
        </w:tc>
        <w:tc>
          <w:tcPr>
            <w:tcW w:w="9080" w:type="dxa"/>
            <w:vAlign w:val="bottom"/>
            <w:shd w:val="clear" w:color="auto" w:fill="EEEEEE"/>
          </w:tcPr>
          <w:p>
            <w:pPr>
              <w:spacing w:after="0"/>
              <w:rPr>
                <w:sz w:val="18"/>
                <w:szCs w:val="18"/>
                <w:color w:val="auto"/>
              </w:rPr>
            </w:pP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10.</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11.</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12.</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13.</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14.</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Part IV</w:t>
            </w:r>
          </w:p>
        </w:tc>
        <w:tc>
          <w:tcPr>
            <w:tcW w:w="9080" w:type="dxa"/>
            <w:vAlign w:val="bottom"/>
            <w:shd w:val="clear" w:color="auto" w:fill="EEEEEE"/>
          </w:tcPr>
          <w:p>
            <w:pPr>
              <w:spacing w:after="0"/>
              <w:rPr>
                <w:sz w:val="18"/>
                <w:szCs w:val="18"/>
                <w:color w:val="auto"/>
              </w:rPr>
            </w:pP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15.</w:t>
            </w:r>
          </w:p>
        </w:tc>
        <w:tc>
          <w:tcPr>
            <w:tcW w:w="9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Exhibits, Financial Statements Schedules</w:t>
            </w: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Signatures</w:t>
            </w:r>
          </w:p>
        </w:tc>
        <w:tc>
          <w:tcPr>
            <w:tcW w:w="9080" w:type="dxa"/>
            <w:vAlign w:val="bottom"/>
            <w:shd w:val="clear" w:color="auto" w:fill="EEEEEE"/>
          </w:tcPr>
          <w:p>
            <w:pPr>
              <w:spacing w:after="0"/>
              <w:rPr>
                <w:sz w:val="18"/>
                <w:szCs w:val="18"/>
                <w:color w:val="auto"/>
              </w:rPr>
            </w:pPr>
          </w:p>
        </w:tc>
        <w:tc>
          <w:tcPr>
            <w:tcW w:w="1380" w:type="dxa"/>
            <w:vAlign w:val="bottom"/>
            <w:shd w:val="clear" w:color="auto" w:fill="EEEEEE"/>
          </w:tcPr>
          <w:p>
            <w:pPr>
              <w:jc w:val="center"/>
              <w:ind w:left="51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CATV, internet data center or FTTH markets; changes in the world economy (particularly in the United States and China); the negative effects of seasonality; and other risks and uncertainties described more fully in the company’s documents filed with or furnished to the Securities and Exchange Commission. More information about these and other risks that may impact the company’s business are set forth in the Section titled “Risk Factors”. In some cases, you can identify forward-looking statements by terminology such as ‘‘may,’’ ‘‘will,’’ ‘‘should,’’ ‘‘expects,’’ ‘‘plans,’’ ‘‘anticipates,’’ ‘‘believes,’’ or ‘‘estimates” or by other similar expressions that convey uncertainty of future events or outcomes.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primarily for three networking end-markets: internet data center, cable television, or CATV, and fiber-to-the-home, or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internet data center market is our largest and fastest growing market. Our customers in this market are generally large internet-based (“Web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data center operators, to whom we supply optical transceivers that plug into switches and servers within the data center and allow these network devices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send and receive data over fiber optic cables. The majority of the data center optical transceivers that we sell utilize our own lasers and subassemblies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transceivers subassemblies as “light engines”), and we believe that our in-house technology and manufacturing capability for these lasers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subassemblies gives us an advantage over many of our competitors who often lack either development or manufacturing capabilities for these advanced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optical modules.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CATV market is our most established market, for which we supply a broad array of products including lasers, transmitters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While equipment vendors have relied upon third parties to assemble portions of their products, within the past five years certain of our customers have accelerated the outsourcing of both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these industry dynamics.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 w:name="page4"/>
    <w:bookmarkEnd w:id="3"/>
    <w:p>
      <w:pPr>
        <w:ind w:firstLine="648"/>
        <w:spacing w:after="0" w:line="258"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2014, our revenue was $130.4 million and our gross margin was 33.9%. We have grown our annual revenue at a CAGR of 31.7% between 2009 and 2014. In the years ended December 31, 2013 and 2012, we incurred losses of $1.4 million, and $0.9 million, respectively. In the year ended December 31, 2014, we had a net income of $4.3 million, and our accumulated deficit at December 31, 2013 and December 31, 2014 was $83.3 million and $79.0 million, respectively. In 2014, we earned 49.4% of our total revenue from the internet data center market, and 36.3% of our total revenue from the CATV market. In 2014, our key customers in the CATV market included Cisco Systems and Biogenomics Corp., a distributor. In 2014, 2013 and 2012, Cisco Systems accounted for 8.9%, 21.8%, and 33.2%, respectively, of our revenue and Biogenomics Corp. accounted for 6.2%, 8.7% and 11.2%, respectively, of our revenue. In 2014, our key customers in the data center market included Amazon and Microsoft. In 2014, 2013, and 2012, Amazon accounted for 45.8%, 18.2%, and 5.8% of our revenue, respectively, and Microsoft accounted for 3.6%, 6.1%, and 2.6% of our revenue,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three target markets of internet data centers, CATV and FTTH share a common trend of a significant growth in bandwidth consumption and the corresponding need for network infrastructure improvement to support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prevailing themes in our target markets include:</w:t>
      </w:r>
    </w:p>
    <w:p>
      <w:pPr>
        <w:spacing w:after="0" w:line="221" w:lineRule="exact"/>
        <w:rPr>
          <w:sz w:val="20"/>
          <w:szCs w:val="20"/>
          <w:color w:val="auto"/>
        </w:rPr>
      </w:pPr>
    </w:p>
    <w:p>
      <w:pPr>
        <w:ind w:left="980" w:right="2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Trends in the Internet Data Center Market. </w:t>
      </w:r>
      <w:r>
        <w:rPr>
          <w:rFonts w:ascii="Times New Roman" w:cs="Times New Roman" w:eastAsia="Times New Roman" w:hAnsi="Times New Roman"/>
          <w:sz w:val="18"/>
          <w:szCs w:val="18"/>
          <w:color w:val="auto"/>
        </w:rPr>
        <w:t>To support the substantial increase in bandwidth consumption, internet data center operators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the scale of their internet data centers and accelerating data transmission rates. As a result, there is an ongoing transition from the use of copper cable, typically at speeds up to 1 gigabit, to optical fiber as a transport medium, typically providing speeds from 10 gigabit to 40 gigabit. In recent years, a number of leading Internet companies have begun to adopt more open internet data center architectures, using a mix of systems and components from a variety of vendors, and in some cases designing their own equipment. For these companies, compatibility of new networking equipment with legacy infrastructure is not as important, and as a consequence, these companies are more willing to work with non-traditional equipment vendors, which creates an open and growing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w:t>
      </w:r>
    </w:p>
    <w:p>
      <w:pPr>
        <w:spacing w:after="0" w:line="181" w:lineRule="exact"/>
        <w:rPr>
          <w:rFonts w:ascii="Times New Roman" w:cs="Times New Roman" w:eastAsia="Times New Roman" w:hAnsi="Times New Roman"/>
          <w:sz w:val="18"/>
          <w:szCs w:val="18"/>
          <w:color w:val="auto"/>
        </w:rPr>
      </w:pPr>
    </w:p>
    <w:p>
      <w:pPr>
        <w:ind w:left="980" w:right="20" w:hanging="324"/>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Trends in the CATV Market. </w:t>
      </w:r>
      <w:r>
        <w:rPr>
          <w:rFonts w:ascii="Times New Roman" w:cs="Times New Roman" w:eastAsia="Times New Roman" w:hAnsi="Times New Roman"/>
          <w:sz w:val="18"/>
          <w:szCs w:val="18"/>
          <w:color w:val="auto"/>
        </w:rPr>
        <w:t>In recent years, CATV service providers have invested extensively to support high speed, two-way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and we expect that they will continue to do so. In North America, in particular, CATV service providers have expressed interest in emerging new technologies like DOCSIS 3.1, which will enable them to offer higher speed connections to their customers.</w:t>
      </w:r>
    </w:p>
    <w:p>
      <w:pPr>
        <w:spacing w:after="0" w:line="174" w:lineRule="exact"/>
        <w:rPr>
          <w:rFonts w:ascii="Times New Roman" w:cs="Times New Roman" w:eastAsia="Times New Roman" w:hAnsi="Times New Roman"/>
          <w:sz w:val="18"/>
          <w:szCs w:val="18"/>
          <w:color w:val="auto"/>
        </w:rPr>
      </w:pPr>
    </w:p>
    <w:p>
      <w:pPr>
        <w:ind w:left="98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equipment vendors have historically relied upon third parties only to assemble portions of their products, within the past five years, certain of our customers have accelerated the outsourcing of both the design and manufacturing of both headend equipment and node equipment to third parties. The shift is due in part to the sophisticated engineering expertise needed to perform this work, along with the proliferation of new equipment designs needed to support DOCSIS 3.1.</w:t>
      </w:r>
    </w:p>
    <w:p>
      <w:pPr>
        <w:spacing w:after="0" w:line="176" w:lineRule="exact"/>
        <w:rPr>
          <w:rFonts w:ascii="Times New Roman" w:cs="Times New Roman" w:eastAsia="Times New Roman" w:hAnsi="Times New Roman"/>
          <w:sz w:val="18"/>
          <w:szCs w:val="18"/>
          <w:color w:val="auto"/>
        </w:rPr>
      </w:pPr>
    </w:p>
    <w:p>
      <w:pPr>
        <w:ind w:left="980" w:hanging="324"/>
        <w:spacing w:after="0" w:line="259"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Trends in the FTTH Market. </w:t>
      </w:r>
      <w:r>
        <w:rPr>
          <w:rFonts w:ascii="Times New Roman" w:cs="Times New Roman" w:eastAsia="Times New Roman" w:hAnsi="Times New Roman"/>
          <w:sz w:val="18"/>
          <w:szCs w:val="18"/>
          <w:color w:val="auto"/>
        </w:rPr>
        <w:t>The FTTH market generally refers to the Passive Optical Networks, or PONs, that telecommunications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are deploying. The most commonly deployed PON technology is Gigabit PON, or GPON, which delivers up to 2.5 gigabits per second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addressing the challenges in our target markets, we provide the following benefits to our customers:</w:t>
      </w:r>
    </w:p>
    <w:p>
      <w:pPr>
        <w:spacing w:after="0" w:line="221" w:lineRule="exact"/>
        <w:rPr>
          <w:sz w:val="20"/>
          <w:szCs w:val="20"/>
          <w:color w:val="auto"/>
        </w:rPr>
      </w:pPr>
    </w:p>
    <w:p>
      <w:pPr>
        <w:ind w:left="980" w:right="400" w:hanging="324"/>
        <w:spacing w:after="0" w:line="317"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Enable customers to deliver innovative products. </w:t>
      </w:r>
      <w:r>
        <w:rPr>
          <w:rFonts w:ascii="Times New Roman" w:cs="Times New Roman" w:eastAsia="Times New Roman" w:hAnsi="Times New Roman"/>
          <w:sz w:val="17"/>
          <w:szCs w:val="17"/>
          <w:color w:val="auto"/>
        </w:rPr>
        <w:t>We leverage our deep expertise in high-speed optical, mixed-signal semiconductor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mechanical engineering, and our proprietary MBE laser fabrication process to deliver technologically advanced products to our customers.</w:t>
      </w:r>
    </w:p>
    <w:p>
      <w:pPr>
        <w:spacing w:after="0" w:line="131" w:lineRule="exact"/>
        <w:rPr>
          <w:rFonts w:ascii="Times New Roman" w:cs="Times New Roman" w:eastAsia="Times New Roman" w:hAnsi="Times New Roman"/>
          <w:sz w:val="17"/>
          <w:szCs w:val="17"/>
          <w:color w:val="auto"/>
        </w:rPr>
      </w:pPr>
    </w:p>
    <w:p>
      <w:pPr>
        <w:ind w:left="980" w:right="80" w:hanging="324"/>
        <w:spacing w:after="0" w:line="28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efficiency and cost effectiveness of our customers’ supply chain. </w:t>
      </w:r>
      <w:r>
        <w:rPr>
          <w:rFonts w:ascii="Times New Roman" w:cs="Times New Roman" w:eastAsia="Times New Roman" w:hAnsi="Times New Roman"/>
          <w:sz w:val="18"/>
          <w:szCs w:val="18"/>
          <w:color w:val="auto"/>
        </w:rPr>
        <w:t>We design and sell products at the level of integration desired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from components to turn-key equipment, providing our customers a dependable, cost-effective and simplified supply chain.</w:t>
      </w:r>
    </w:p>
    <w:p>
      <w:pPr>
        <w:spacing w:after="0" w:line="154" w:lineRule="exact"/>
        <w:rPr>
          <w:rFonts w:ascii="Times New Roman" w:cs="Times New Roman" w:eastAsia="Times New Roman" w:hAnsi="Times New Roman"/>
          <w:sz w:val="18"/>
          <w:szCs w:val="18"/>
          <w:color w:val="auto"/>
        </w:rPr>
      </w:pPr>
    </w:p>
    <w:p>
      <w:pPr>
        <w:ind w:left="980" w:right="100" w:hanging="324"/>
        <w:spacing w:after="0" w:line="291"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Deliver high quality, reliable products in high volume. </w:t>
      </w:r>
      <w:r>
        <w:rPr>
          <w:rFonts w:ascii="Times New Roman" w:cs="Times New Roman" w:eastAsia="Times New Roman" w:hAnsi="Times New Roman"/>
          <w:sz w:val="17"/>
          <w:szCs w:val="17"/>
          <w:color w:val="auto"/>
        </w:rPr>
        <w:t>As a vertically integrated supplier, we are able to monitor and maintain quality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53" w:lineRule="exact"/>
        <w:rPr>
          <w:rFonts w:ascii="Times New Roman" w:cs="Times New Roman" w:eastAsia="Times New Roman" w:hAnsi="Times New Roman"/>
          <w:sz w:val="17"/>
          <w:szCs w:val="17"/>
          <w:color w:val="auto"/>
        </w:rPr>
      </w:pPr>
    </w:p>
    <w:p>
      <w:pPr>
        <w:ind w:left="980" w:right="440" w:hanging="324"/>
        <w:spacing w:after="0" w:line="317"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Provide sophisticated design solutions to our customers. </w:t>
      </w:r>
      <w:r>
        <w:rPr>
          <w:rFonts w:ascii="Times New Roman" w:cs="Times New Roman" w:eastAsia="Times New Roman" w:hAnsi="Times New Roman"/>
          <w:sz w:val="17"/>
          <w:szCs w:val="17"/>
          <w:color w:val="auto"/>
        </w:rPr>
        <w:t>We believe our in-house expertise in both analog and digital optical engineering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enables us to design comprehensive solutions that meet many of the different network architectures and protocols used by our customers.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key competitive strengths include the following:</w:t>
      </w:r>
    </w:p>
    <w:p>
      <w:pPr>
        <w:spacing w:after="0" w:line="221" w:lineRule="exact"/>
        <w:rPr>
          <w:sz w:val="20"/>
          <w:szCs w:val="20"/>
          <w:color w:val="auto"/>
        </w:rPr>
      </w:pPr>
    </w:p>
    <w:p>
      <w:pPr>
        <w:ind w:left="980" w:right="900" w:hanging="324"/>
        <w:spacing w:after="0" w:line="28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technological expertise and track record of innovation. </w:t>
      </w:r>
      <w:r>
        <w:rPr>
          <w:rFonts w:ascii="Times New Roman" w:cs="Times New Roman" w:eastAsia="Times New Roman" w:hAnsi="Times New Roman"/>
          <w:sz w:val="18"/>
          <w:szCs w:val="18"/>
          <w:color w:val="auto"/>
        </w:rPr>
        <w:t>We continue to develop innovative products by leveraging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technological expertise, including our proprietary MBE laser fabrication process.</w:t>
      </w:r>
    </w:p>
    <w:p>
      <w:pPr>
        <w:spacing w:after="0" w:line="154" w:lineRule="exact"/>
        <w:rPr>
          <w:rFonts w:ascii="Times New Roman" w:cs="Times New Roman" w:eastAsia="Times New Roman" w:hAnsi="Times New Roman"/>
          <w:sz w:val="18"/>
          <w:szCs w:val="18"/>
          <w:color w:val="auto"/>
        </w:rPr>
      </w:pPr>
    </w:p>
    <w:p>
      <w:pPr>
        <w:ind w:left="980" w:right="200" w:hanging="324"/>
        <w:spacing w:after="0" w:line="26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Proven system design capabilities. </w:t>
      </w:r>
      <w:r>
        <w:rPr>
          <w:rFonts w:ascii="Times New Roman" w:cs="Times New Roman" w:eastAsia="Times New Roman" w:hAnsi="Times New Roman"/>
          <w:sz w:val="18"/>
          <w:szCs w:val="18"/>
          <w:color w:val="auto"/>
        </w:rPr>
        <w:t>We have deep expertise and proven design capabilities in high-speed optical, mixed-signal semiconductor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mechanical engineering, which we believe position us to take advantage of the continuing shift to outsourced design and manufacturing among CATV equipment vendors.</w:t>
      </w:r>
    </w:p>
    <w:p>
      <w:pPr>
        <w:spacing w:after="0" w:line="170" w:lineRule="exact"/>
        <w:rPr>
          <w:rFonts w:ascii="Times New Roman" w:cs="Times New Roman" w:eastAsia="Times New Roman" w:hAnsi="Times New Roman"/>
          <w:sz w:val="18"/>
          <w:szCs w:val="18"/>
          <w:color w:val="auto"/>
        </w:rPr>
      </w:pPr>
    </w:p>
    <w:p>
      <w:pPr>
        <w:ind w:left="980" w:right="180" w:hanging="324"/>
        <w:spacing w:after="0" w:line="317"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Highly customized products. </w:t>
      </w:r>
      <w:r>
        <w:rPr>
          <w:rFonts w:ascii="Times New Roman" w:cs="Times New Roman" w:eastAsia="Times New Roman" w:hAnsi="Times New Roman"/>
          <w:sz w:val="17"/>
          <w:szCs w:val="17"/>
          <w:color w:val="auto"/>
        </w:rPr>
        <w:t>Most of our products have some level of customization, making it more difficult for our customers to switch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rapidly to another supplier. We believe this element of customization contributes to longer product lifecycles and more stable product pricing.</w:t>
      </w:r>
    </w:p>
    <w:p>
      <w:pPr>
        <w:spacing w:after="0" w:line="131" w:lineRule="exact"/>
        <w:rPr>
          <w:rFonts w:ascii="Times New Roman" w:cs="Times New Roman" w:eastAsia="Times New Roman" w:hAnsi="Times New Roman"/>
          <w:sz w:val="17"/>
          <w:szCs w:val="17"/>
          <w:color w:val="auto"/>
        </w:rPr>
      </w:pPr>
    </w:p>
    <w:p>
      <w:pPr>
        <w:ind w:left="980" w:right="220" w:hanging="324"/>
        <w:spacing w:after="0" w:line="26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Industry-leading position in the CATV market. </w:t>
      </w:r>
      <w:r>
        <w:rPr>
          <w:rFonts w:ascii="Times New Roman" w:cs="Times New Roman" w:eastAsia="Times New Roman" w:hAnsi="Times New Roman"/>
          <w:sz w:val="18"/>
          <w:szCs w:val="18"/>
          <w:color w:val="auto"/>
        </w:rPr>
        <w:t>We have continued to be awarded new design and manufacturing opportunities for CATV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70" w:lineRule="exact"/>
        <w:rPr>
          <w:rFonts w:ascii="Times New Roman" w:cs="Times New Roman" w:eastAsia="Times New Roman" w:hAnsi="Times New Roman"/>
          <w:sz w:val="18"/>
          <w:szCs w:val="18"/>
          <w:color w:val="auto"/>
        </w:rPr>
      </w:pPr>
    </w:p>
    <w:p>
      <w:pPr>
        <w:ind w:left="980" w:hanging="324"/>
        <w:spacing w:after="0" w:line="26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Vertically integrated, geographically distributed manufacturing model. </w:t>
      </w:r>
      <w:r>
        <w:rPr>
          <w:rFonts w:ascii="Times New Roman" w:cs="Times New Roman" w:eastAsia="Times New Roman" w:hAnsi="Times New Roman"/>
          <w:sz w:val="18"/>
          <w:szCs w:val="18"/>
          <w:color w:val="auto"/>
        </w:rPr>
        <w:t>Our vertically integrated design and manufacturing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seek to be the leading global provider of optical components, modules and equipment for each of our three target markets, CATV, FTTH and internet data centers. Our strategy includes the following key elements:</w:t>
      </w:r>
    </w:p>
    <w:p>
      <w:pPr>
        <w:spacing w:after="0" w:line="158" w:lineRule="exact"/>
        <w:rPr>
          <w:sz w:val="20"/>
          <w:szCs w:val="20"/>
          <w:color w:val="auto"/>
        </w:rPr>
      </w:pPr>
    </w:p>
    <w:p>
      <w:pPr>
        <w:ind w:left="980" w:right="22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penetrate the internet data center market. </w:t>
      </w:r>
      <w:r>
        <w:rPr>
          <w:rFonts w:ascii="Times New Roman" w:cs="Times New Roman" w:eastAsia="Times New Roman" w:hAnsi="Times New Roman"/>
          <w:sz w:val="18"/>
          <w:szCs w:val="18"/>
          <w:color w:val="auto"/>
        </w:rPr>
        <w:t>In the internet data center, we primarily target internet data center operators who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an open system architecture—one in which the optical connectivity solutions can be provided by a different vendor than the vendor which provides their servers and switches.</w:t>
      </w:r>
    </w:p>
    <w:p>
      <w:pPr>
        <w:spacing w:after="0" w:line="170" w:lineRule="exact"/>
        <w:rPr>
          <w:rFonts w:ascii="Times New Roman" w:cs="Times New Roman" w:eastAsia="Times New Roman" w:hAnsi="Times New Roman"/>
          <w:sz w:val="18"/>
          <w:szCs w:val="18"/>
          <w:color w:val="auto"/>
        </w:rPr>
      </w:pPr>
    </w:p>
    <w:p>
      <w:pPr>
        <w:jc w:val="both"/>
        <w:ind w:left="980" w:right="18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 our leadership in CATV networking. </w:t>
      </w:r>
      <w:r>
        <w:rPr>
          <w:rFonts w:ascii="Times New Roman" w:cs="Times New Roman" w:eastAsia="Times New Roman" w:hAnsi="Times New Roman"/>
          <w:sz w:val="18"/>
          <w:szCs w:val="18"/>
          <w:color w:val="auto"/>
        </w:rPr>
        <w:t>We intend to maintain our position as the leading producer of optical components used in CATV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networks, and to capture an increasing share of the CATV equipment market as the major equipment vendors continue to outsource the design and manufacturing of such products.</w:t>
      </w:r>
    </w:p>
    <w:p>
      <w:pPr>
        <w:spacing w:after="0" w:line="170" w:lineRule="exact"/>
        <w:rPr>
          <w:rFonts w:ascii="Times New Roman" w:cs="Times New Roman" w:eastAsia="Times New Roman" w:hAnsi="Times New Roman"/>
          <w:sz w:val="18"/>
          <w:szCs w:val="18"/>
          <w:color w:val="auto"/>
        </w:rPr>
      </w:pPr>
    </w:p>
    <w:p>
      <w:pPr>
        <w:ind w:left="980" w:hanging="324"/>
        <w:spacing w:after="0" w:line="26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penetrate the FTTH market. </w:t>
      </w:r>
      <w:r>
        <w:rPr>
          <w:rFonts w:ascii="Times New Roman" w:cs="Times New Roman" w:eastAsia="Times New Roman" w:hAnsi="Times New Roman"/>
          <w:sz w:val="18"/>
          <w:szCs w:val="18"/>
          <w:color w:val="auto"/>
        </w:rPr>
        <w:t>We believe our WDM-PON technology is a cost-effective solution for delivering 1 Gbps bandwidth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invest in our capabilities and infrastructure. </w:t>
      </w:r>
      <w:r>
        <w:rPr>
          <w:rFonts w:ascii="Times New Roman" w:cs="Times New Roman" w:eastAsia="Times New Roman" w:hAnsi="Times New Roman"/>
          <w:sz w:val="18"/>
          <w:szCs w:val="18"/>
          <w:color w:val="auto"/>
        </w:rPr>
        <w:t>We intend to continue to invest in new products, new technology and our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facilities to maintain and strengthen our competitive position.</w:t>
      </w:r>
    </w:p>
    <w:p>
      <w:pPr>
        <w:spacing w:after="0" w:line="154" w:lineRule="exact"/>
        <w:rPr>
          <w:rFonts w:ascii="Times New Roman" w:cs="Times New Roman" w:eastAsia="Times New Roman" w:hAnsi="Times New Roman"/>
          <w:sz w:val="18"/>
          <w:szCs w:val="18"/>
          <w:color w:val="auto"/>
        </w:rPr>
      </w:pPr>
    </w:p>
    <w:p>
      <w:pPr>
        <w:ind w:left="980" w:right="20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pursue other opportunities that leverage our existing expertise. </w:t>
      </w:r>
      <w:r>
        <w:rPr>
          <w:rFonts w:ascii="Times New Roman" w:cs="Times New Roman" w:eastAsia="Times New Roman" w:hAnsi="Times New Roman"/>
          <w:sz w:val="18"/>
          <w:szCs w:val="18"/>
          <w:color w:val="auto"/>
        </w:rPr>
        <w:t>Our expertise in designing and manufacturing outdoor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70" w:lineRule="exact"/>
        <w:rPr>
          <w:rFonts w:ascii="Times New Roman" w:cs="Times New Roman" w:eastAsia="Times New Roman" w:hAnsi="Times New Roman"/>
          <w:sz w:val="18"/>
          <w:szCs w:val="18"/>
          <w:color w:val="auto"/>
        </w:rPr>
      </w:pPr>
    </w:p>
    <w:p>
      <w:pPr>
        <w:ind w:left="980" w:right="8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complementary acquisition and strategic alliance opportunities. </w:t>
      </w:r>
      <w:r>
        <w:rPr>
          <w:rFonts w:ascii="Times New Roman" w:cs="Times New Roman" w:eastAsia="Times New Roman" w:hAnsi="Times New Roman"/>
          <w:sz w:val="18"/>
          <w:szCs w:val="18"/>
          <w:color w:val="auto"/>
        </w:rPr>
        <w:t>We evaluate and selectively pursue acquisition opportunities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alliances that we believe will enhance or complement our current product offerings, augment our technology roadmap, or diversify our revenue base.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58" w:lineRule="exact"/>
        <w:rPr>
          <w:sz w:val="20"/>
          <w:szCs w:val="20"/>
          <w:color w:val="auto"/>
        </w:rPr>
      </w:pPr>
    </w:p>
    <w:p>
      <w:pPr>
        <w:ind w:left="980" w:right="40" w:hanging="324"/>
        <w:spacing w:after="0" w:line="25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semiconductor laser manufacturing. </w:t>
      </w:r>
      <w:r>
        <w:rPr>
          <w:rFonts w:ascii="Times New Roman" w:cs="Times New Roman" w:eastAsia="Times New Roman" w:hAnsi="Times New Roman"/>
          <w:sz w:val="18"/>
          <w:szCs w:val="18"/>
          <w:color w:val="auto"/>
        </w:rPr>
        <w:t>We use a MBE fabrication process to make the most critical parts of our lasers, rather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MOCVD, the technique most commonly used in optical chip manufacturing by traditional communications optics vendors.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using an MBE process to produce communications lasers in high volume, and believe it would be difficult, and time-consuming, for other vendors to replicate our production technology.</w:t>
      </w:r>
    </w:p>
    <w:p>
      <w:pPr>
        <w:spacing w:after="0" w:line="183" w:lineRule="exact"/>
        <w:rPr>
          <w:rFonts w:ascii="Times New Roman" w:cs="Times New Roman" w:eastAsia="Times New Roman" w:hAnsi="Times New Roman"/>
          <w:sz w:val="18"/>
          <w:szCs w:val="18"/>
          <w:color w:val="auto"/>
        </w:rPr>
      </w:pPr>
    </w:p>
    <w:p>
      <w:pPr>
        <w:ind w:left="980" w:right="40" w:hanging="324"/>
        <w:spacing w:after="0" w:line="259"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Laser enhancement technology. </w:t>
      </w:r>
      <w:r>
        <w:rPr>
          <w:rFonts w:ascii="Times New Roman" w:cs="Times New Roman" w:eastAsia="Times New Roman" w:hAnsi="Times New Roman"/>
          <w:sz w:val="18"/>
          <w:szCs w:val="18"/>
          <w:color w:val="auto"/>
        </w:rPr>
        <w:t>Certain properties of the semiconductor lasers predominantly used in traditional communications devices,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 w:name="page7"/>
    <w:bookmarkEnd w:id="6"/>
    <w:p>
      <w:pPr>
        <w:ind w:left="980" w:right="20" w:hanging="324"/>
        <w:spacing w:after="0" w:line="25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Optical hybrid-integration technology. </w:t>
      </w:r>
      <w:r>
        <w:rPr>
          <w:rFonts w:ascii="Times New Roman" w:cs="Times New Roman" w:eastAsia="Times New Roman" w:hAnsi="Times New Roman"/>
          <w:sz w:val="18"/>
          <w:szCs w:val="18"/>
          <w:color w:val="auto"/>
        </w:rPr>
        <w:t>Reducing the size, power consumption and complexity of optical devices is essential for achieving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85" w:lineRule="exact"/>
        <w:rPr>
          <w:rFonts w:ascii="Times New Roman" w:cs="Times New Roman" w:eastAsia="Times New Roman" w:hAnsi="Times New Roman"/>
          <w:sz w:val="18"/>
          <w:szCs w:val="18"/>
          <w:color w:val="auto"/>
        </w:rPr>
      </w:pPr>
    </w:p>
    <w:p>
      <w:pPr>
        <w:ind w:left="98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Similarly, in FTTH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85" w:lineRule="exact"/>
        <w:rPr>
          <w:rFonts w:ascii="Times New Roman" w:cs="Times New Roman" w:eastAsia="Times New Roman" w:hAnsi="Times New Roman"/>
          <w:sz w:val="18"/>
          <w:szCs w:val="18"/>
          <w:color w:val="auto"/>
        </w:rPr>
      </w:pPr>
    </w:p>
    <w:p>
      <w:pPr>
        <w:ind w:left="980" w:right="60" w:hanging="324"/>
        <w:spacing w:after="0" w:line="25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Mixed-signal design. </w:t>
      </w:r>
      <w:r>
        <w:rPr>
          <w:rFonts w:ascii="Times New Roman" w:cs="Times New Roman" w:eastAsia="Times New Roman" w:hAnsi="Times New Roman"/>
          <w:sz w:val="18"/>
          <w:szCs w:val="18"/>
          <w:color w:val="auto"/>
        </w:rPr>
        <w:t>As CATV providers continue to evolve from primarily broadcast-video content providers to a mixture of HD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and FTTH markets.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we owned a total of 152 U.S. and foreign issued patents, 66 of which were issued in the U.S. and 86 of which were issued in China and Taiwan. Our issued patents will expire between 2019 and 2029.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laser structure and design;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signal conditioning and laser control;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laser fabrication;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photodiode and optical receiver design and fabrication;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device and module designs;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device packaging equipment and techniques;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network enhancements.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 A U.S. trademark registration is also pending for the mark “AAOI.”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Our research and development expenses were approximately $16.0 million, $8.5 million, and $7.6 million for the years 2014, 2013 and 2012, respectively.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we had a total of 196 employees working in the R&amp;D department, including 17 with Ph.D. degrees. We continue to recruit talented engineers to further enhance our research and development capabilities. We have research and development departments in our facilities in Texas, China and Taiwan. Our research and development teams collaborate on joint projects, and by co-locating with our manufacturing operations enable us to achieve an efficient cost structure and improve our time to market.</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products are sold to our customers worldwide and also supply our internal component needs for the transceivers and equipment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8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customers are primarily internet data center operators, CATV and telecommunications equipment manufacturers, and internet service providers. We generally employ a direct sales model in North America and in the rest of the world we use both direct and indirect sales channels. In 2014, 2013, and 2012 we obtained 92.6%, 88.4% and 85.4%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2014, our products were used by the three largest CATV OEMs, consisting of Cisco Systems, Inc., Arris Group Inc. (which acquired the Motorola Home Business in 2013) and Aurora Networks, a subsidiary of Pace plc (which acquired Harmonic Inc.’s optical business in 2013 and itself being acquired by Pace plc subsequently). The two customers that contributed most to our revenue in the FTTH market in 2014 were Genexis B.V. and a leading internet service provider. In 2014, our key customers in the internet data center market included Amazon and Microsoft. In 2014, revenue from the internet data center market, CATV market, FTTH market and other markets provided 49.4%, 36.9% and 10.4%, and 3.8% of our revenue, respectively, compared to 24.7%, 60.4%, 5.6%, and 9.3%, respectively, in 2013.</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Avago, Inc., EMCORE Corporation, Finisar Corporation, JDS Uniphase Corporation, Mitsubishi, NeoPhotonics Corporation, Oclaro, Inc. and Sumitomo Electric Industries, Ltd.</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Many of our competitors are larger than we are and have significantly greater financial, marketing and other resources. 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in our target markets include the following:</w:t>
      </w:r>
    </w:p>
    <w:p>
      <w:pPr>
        <w:spacing w:after="0" w:line="225" w:lineRule="exact"/>
        <w:rPr>
          <w:sz w:val="20"/>
          <w:szCs w:val="20"/>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internally manufactured components;</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breadth and functionality;</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pace of new product development;</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customer base;</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expertise;</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products;</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and</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efficiency.</w:t>
      </w:r>
    </w:p>
    <w:p>
      <w:pPr>
        <w:spacing w:after="0" w:line="225"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with respect to the above factors based on our MBE processes, our vertically integrated model, the performance and reliability of our product offerings and the compelling value we offer to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we employed 1,447 full-time employees, of which 31 held Ph.D. degrees in a science or engineering field. Of our employees, 234 are located in the U.S., 649 are located in Taiwan, and 564 are located in China. None of our employees are represented by any collective bargaining agreement, but certain employees of our China subsidiary are members of a trade union. We have never suffered any work stoppage and believe that we have satisfactory relations with our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Ningbo, China and Taipei, Taiwan are both certified to meet the requirements of ISO14001:2004. However, there 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10" w:name="page11"/>
    <w:bookmarkEnd w:id="10"/>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Regulations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the State of Texas in 1997. In March 2013, Applied Optoelectronics, Inc., a Texas corporation, converted into a Delaware corporation. Our principal executive offices are located at 13115 Jess Pirtle Blvd., Sugar Land, TX 77478, and our telephone number is (281) 295-1800. Our website address is www.ao-inc.com. Information contained on our website is not incorporated by reference into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and all other information contained in this Annual Report on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generate much of our revenue from a limited number of customers. In 2014, 2013 and 2012, our top ten customers represented 87.2%, 76.9% and 77.6% of our revenue, respectively. In 2014, Amazon represented 45.8% of our revenue, Cisco Systems, Inc. represented 8.9% of our revenue and a leading internet service provider represented 6.7%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markets in which we compete and any future downturn will likely reduce demand for our products and revenue.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1740" w:hanging="408"/>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engineering complexities;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13" w:name="page14"/>
    <w:bookmarkEnd w:id="13"/>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CATV market does not continue to develop as we expect, or if there is any downturn in this market, our business would be adversely affected.</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Historically, we have generated much of our revenue from the CATV market. In 2014, 2013 and 2012, the CATV market represented 36.3%, 60.4% and 78.6%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9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in the internet data center and FTTH markets, and our business could be harmed if these markets do not develop as we expect.</w:t>
      </w:r>
    </w:p>
    <w:p>
      <w:pPr>
        <w:spacing w:after="0" w:line="159"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For 2014, we generated 49.4% and 10.4% of our revenue from the data center and FTTH markets, respectively. We have only recently begun offering products to the FTTH market. Our business in these markets is dependent on the deployment of our optical components, modules and subassemblies. In the internet data center market, we are relying on the emergence of new internet data center providers and their adoption of open internet data center architectures that use a mix of systems and components from a variety of vendors, including non-traditional equipment vendors. In the FTTH market,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Also, internet data centers may not expand as much or as quickly as expected and any slowdown in expansion could adversely impact our business and growth prospects.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Molecular Beam Epitaxy, or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1,206 of our employees as of December 31, 2014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have a substantial accumulated deficit.</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have a history of losses and have a substantial accumulated deficit. In the years ended December 31, 2013 and 2012, we experienced net losses of $1.4 million and $0.9 million, respectively. In 2014, we experienced a profit of $4.3 million. As of December 31, 2014 and 2013, our accumulated deficit was $79.0 million and $83.3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225" w:lineRule="exact"/>
        <w:rPr>
          <w:rFonts w:ascii="Times New Roman" w:cs="Times New Roman" w:eastAsia="Times New Roman" w:hAnsi="Times New Roman"/>
          <w:sz w:val="18"/>
          <w:szCs w:val="18"/>
          <w:color w:val="auto"/>
        </w:rPr>
      </w:pPr>
    </w:p>
    <w:p>
      <w:pPr>
        <w:ind w:left="1740" w:hanging="408"/>
        <w:spacing w:after="0" w:line="282" w:lineRule="auto"/>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to our customers in a timely and cost-effective manner and that meet customer requirements;</w:t>
      </w:r>
    </w:p>
    <w:p>
      <w:pPr>
        <w:spacing w:after="0" w:line="161"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or our competitors;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key customers;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potential customers and end users adopt our technologies;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and unpredictable nature of the markets for products incorporating our solutions; and</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bookmarkStart w:id="16" w:name="page17"/>
    <w:bookmarkEnd w:id="16"/>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negatively impact our results of operations and market share.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outside contract manufacturers for a portion of the manufacturing process for some of our products.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 were unable or unwilling to manufacture such produce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2014, 2013 and 2012, 29.5%, 41.0% and 55.7%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0" w:lineRule="exact"/>
        <w:rPr>
          <w:sz w:val="20"/>
          <w:szCs w:val="20"/>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taxation issues and international trade barriers;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economies;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travel restrictions;</w:t>
      </w:r>
    </w:p>
    <w:p>
      <w:pPr>
        <w:spacing w:after="0" w:line="225" w:lineRule="exact"/>
        <w:rPr>
          <w:rFonts w:ascii="Times New Roman" w:cs="Times New Roman" w:eastAsia="Times New Roman" w:hAnsi="Times New Roman"/>
          <w:sz w:val="18"/>
          <w:szCs w:val="18"/>
          <w:color w:val="auto"/>
        </w:rPr>
      </w:pPr>
    </w:p>
    <w:p>
      <w:pPr>
        <w:ind w:left="1740" w:right="240" w:hanging="408"/>
        <w:spacing w:after="0" w:line="282" w:lineRule="auto"/>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spacing w:after="0" w:line="161" w:lineRule="exact"/>
        <w:rPr>
          <w:rFonts w:ascii="Times New Roman" w:cs="Times New Roman" w:eastAsia="Times New Roman" w:hAnsi="Times New Roman"/>
          <w:sz w:val="18"/>
          <w:szCs w:val="18"/>
          <w:color w:val="auto"/>
        </w:rPr>
      </w:pPr>
    </w:p>
    <w:p>
      <w:pPr>
        <w:ind w:left="1740" w:right="220" w:hanging="408"/>
        <w:spacing w:after="0" w:line="282" w:lineRule="auto"/>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 and</w:t>
      </w:r>
    </w:p>
    <w:p>
      <w:pPr>
        <w:spacing w:after="0" w:line="161" w:lineRule="exact"/>
        <w:rPr>
          <w:rFonts w:ascii="Times New Roman" w:cs="Times New Roman" w:eastAsia="Times New Roman" w:hAnsi="Times New Roman"/>
          <w:sz w:val="18"/>
          <w:szCs w:val="18"/>
          <w:color w:val="auto"/>
        </w:rPr>
      </w:pPr>
    </w:p>
    <w:p>
      <w:pPr>
        <w:ind w:left="1740" w:right="420" w:hanging="408"/>
        <w:spacing w:after="0" w:line="282" w:lineRule="auto"/>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in which we currently operate or may operate in the future.</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may adversely affect our financial condition and results of operations.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loan agreements with East West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in the U.S.,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0" w:lineRule="exact"/>
        <w:rPr>
          <w:sz w:val="20"/>
          <w:szCs w:val="20"/>
          <w:color w:val="auto"/>
        </w:rPr>
      </w:pPr>
    </w:p>
    <w:p>
      <w:pPr>
        <w:ind w:left="1740" w:hanging="408"/>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research and development;</w:t>
      </w:r>
    </w:p>
    <w:p>
      <w:pPr>
        <w:spacing w:after="0" w:line="27"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capabilities;</w:t>
      </w:r>
    </w:p>
    <w:p>
      <w:pPr>
        <w:spacing w:after="0" w:line="9"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9"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1740" w:hanging="408"/>
        <w:spacing w:after="0"/>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7"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9"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9" w:lineRule="exact"/>
        <w:rPr>
          <w:rFonts w:ascii="Times New Roman" w:cs="Times New Roman" w:eastAsia="Times New Roman" w:hAnsi="Times New Roman"/>
          <w:sz w:val="18"/>
          <w:szCs w:val="18"/>
          <w:color w:val="auto"/>
        </w:rPr>
      </w:pPr>
    </w:p>
    <w:p>
      <w:pPr>
        <w:ind w:left="1740" w:right="360" w:hanging="408"/>
        <w:spacing w:after="0" w:line="250" w:lineRule="auto"/>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ind w:left="1740" w:hanging="408"/>
        <w:spacing w:after="0"/>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9"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0" w:name="page21"/>
    <w:bookmarkEnd w:id="20"/>
    <w:p>
      <w:pPr>
        <w:ind w:firstLine="648"/>
        <w:spacing w:after="0" w:line="261" w:lineRule="auto"/>
        <w:rPr>
          <w:sz w:val="20"/>
          <w:szCs w:val="20"/>
          <w:color w:val="auto"/>
        </w:rPr>
      </w:pPr>
      <w:r>
        <w:rPr>
          <w:rFonts w:ascii="Times New Roman" w:cs="Times New Roman" w:eastAsia="Times New Roman" w:hAnsi="Times New Roman"/>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subject to volatility as a result of exposure to fluctuations in currency exchange rates.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1" w:name="page22"/>
    <w:bookmarkEnd w:id="21"/>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8" w:lineRule="exact"/>
        <w:rPr>
          <w:sz w:val="20"/>
          <w:szCs w:val="20"/>
          <w:color w:val="auto"/>
        </w:rPr>
      </w:pPr>
    </w:p>
    <w:p>
      <w:pPr>
        <w:ind w:left="1740" w:right="80" w:hanging="408"/>
        <w:spacing w:after="0" w:line="261" w:lineRule="auto"/>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ind w:left="1740" w:hanging="408"/>
        <w:spacing w:after="0"/>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9"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or</w:t>
      </w:r>
    </w:p>
    <w:p>
      <w:pPr>
        <w:spacing w:after="0" w:line="9"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2014, we had U.S. accumulated net operating losses, or NOLs, of approximately $56.5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is limited in dollar amount. As of December 31, 2014, of the total accumulated NOL, only $31.5 million is available for utilization in future periods to offset federal taxable income. Each year after 2014, an additional $0.3 million is added to the total available NOL, until a maximum of $34.9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affect our results of operation and our business.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and increased expenses and business risk as a result of Restriction on Hazardous Substances, or RoHS directives.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us to penalties and other adverse consequences.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standards and regulations could make our products obsolete, which would cause our revenue and results of operations to suffer.</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 related to conflict minerals could increase costs and affect the manufacturing and sale of our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5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5" w:name="page26"/>
    <w:bookmarkEnd w:id="25"/>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and expiration or unavailability of our preferential tax treatments in China may have a material adverse effect on our operating results.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applies to calendar years 2014, 2013 and 2012.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our labor costs in China may adversely affect our business and our profitability.</w:t>
      </w:r>
    </w:p>
    <w:p>
      <w:pPr>
        <w:spacing w:after="0" w:line="22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establishing and maintaining adequate management and financial controls over our China operations.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7" w:name="page28"/>
    <w:bookmarkEnd w:id="2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5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new board committees and adopted new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plan to declare or pay dividends on shares of our common stock in the foreseeable future. In addition, the terms of our loan and security agreement with East West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28" w:name="page29"/>
    <w:bookmarkEnd w:id="28"/>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9" w:name="page30"/>
    <w:bookmarkEnd w:id="29"/>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 or Lease</w:t>
            </w: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4900" w:type="dxa"/>
            <w:vAlign w:val="bottom"/>
          </w:tcPr>
          <w:p>
            <w:pPr>
              <w:spacing w:after="0"/>
              <w:rPr>
                <w:sz w:val="18"/>
                <w:szCs w:val="18"/>
                <w:color w:val="auto"/>
              </w:rPr>
            </w:pPr>
          </w:p>
        </w:tc>
      </w:tr>
      <w:tr>
        <w:trPr>
          <w:trHeight w:val="238"/>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490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Use</w:t>
            </w:r>
          </w:p>
        </w:tc>
      </w:tr>
      <w:tr>
        <w:trPr>
          <w:trHeight w:val="191"/>
        </w:trPr>
        <w:tc>
          <w:tcPr>
            <w:tcW w:w="20" w:type="dxa"/>
            <w:vAlign w:val="bottom"/>
          </w:tcPr>
          <w:p>
            <w:pPr>
              <w:spacing w:after="0"/>
              <w:rPr>
                <w:sz w:val="16"/>
                <w:szCs w:val="16"/>
                <w:color w:val="auto"/>
              </w:rPr>
            </w:pPr>
          </w:p>
        </w:tc>
        <w:tc>
          <w:tcPr>
            <w:tcW w:w="2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Sugar Land, Texas</w:t>
            </w:r>
          </w:p>
        </w:tc>
        <w:tc>
          <w:tcPr>
            <w:tcW w:w="120" w:type="dxa"/>
            <w:vAlign w:val="bottom"/>
          </w:tcPr>
          <w:p>
            <w:pPr>
              <w:spacing w:after="0"/>
              <w:rPr>
                <w:sz w:val="16"/>
                <w:szCs w:val="16"/>
                <w:color w:val="auto"/>
              </w:rPr>
            </w:pPr>
          </w:p>
        </w:tc>
        <w:tc>
          <w:tcPr>
            <w:tcW w:w="2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Owned (1)</w:t>
            </w:r>
          </w:p>
        </w:tc>
        <w:tc>
          <w:tcPr>
            <w:tcW w:w="120" w:type="dxa"/>
            <w:vAlign w:val="bottom"/>
          </w:tcPr>
          <w:p>
            <w:pPr>
              <w:spacing w:after="0"/>
              <w:rPr>
                <w:sz w:val="16"/>
                <w:szCs w:val="16"/>
                <w:color w:val="auto"/>
              </w:rPr>
            </w:pPr>
          </w:p>
        </w:tc>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23,850</w:t>
            </w:r>
          </w:p>
        </w:tc>
        <w:tc>
          <w:tcPr>
            <w:tcW w:w="22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Sugar Land, Texas</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May 31, 2015</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7,066</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Ningbo, China</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Owned (2)</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458,849</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Taipei, Taiwan</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2015 (3)</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55,269</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Taipei, Taiwan</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31, 2029 (4)</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268,797</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ind w:left="460" w:hanging="398"/>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a mortgage in favor of East West Bank, securing our short-term debt obligations.</w:t>
      </w:r>
    </w:p>
    <w:p>
      <w:pPr>
        <w:spacing w:after="0" w:line="206" w:lineRule="exact"/>
        <w:rPr>
          <w:rFonts w:ascii="Times New Roman" w:cs="Times New Roman" w:eastAsia="Times New Roman" w:hAnsi="Times New Roman"/>
          <w:sz w:val="18"/>
          <w:szCs w:val="18"/>
          <w:color w:val="auto"/>
        </w:rPr>
      </w:pPr>
    </w:p>
    <w:p>
      <w:pPr>
        <w:ind w:left="460" w:right="140" w:hanging="398"/>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China subsidiary acquired the land use rights to the real property on which our new facility is located from the Chinese government. The land use rights expire on October 7, 2054. Our China subsidiary owns the facility located on the property.</w:t>
      </w:r>
    </w:p>
    <w:p>
      <w:pPr>
        <w:spacing w:after="0" w:line="161" w:lineRule="exact"/>
        <w:rPr>
          <w:rFonts w:ascii="Times New Roman" w:cs="Times New Roman" w:eastAsia="Times New Roman" w:hAnsi="Times New Roman"/>
          <w:sz w:val="18"/>
          <w:szCs w:val="18"/>
          <w:color w:val="auto"/>
        </w:rPr>
      </w:pPr>
    </w:p>
    <w:p>
      <w:pPr>
        <w:ind w:left="460" w:hanging="398"/>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covering four floors expire on March 31, 2015.</w:t>
      </w:r>
    </w:p>
    <w:p>
      <w:pPr>
        <w:spacing w:after="0" w:line="225" w:lineRule="exact"/>
        <w:rPr>
          <w:rFonts w:ascii="Times New Roman" w:cs="Times New Roman" w:eastAsia="Times New Roman" w:hAnsi="Times New Roman"/>
          <w:sz w:val="18"/>
          <w:szCs w:val="18"/>
          <w:color w:val="auto"/>
        </w:rPr>
      </w:pPr>
    </w:p>
    <w:p>
      <w:pPr>
        <w:ind w:left="460" w:right="380" w:hanging="398"/>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Taiwan subsidiary relocated its entire operation to this new facility in November 2014. Lease covering the new facility commenced on June 1, 2014 and expires on May 31, 2029.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26, 2015, we began construction on a new facility to expand our laser fabrication facilities and office space in Sugar Land, Texas.</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we will from time to time be subject to various claims and legal actions during the ordinary course of our business. We are not aware of any material claims or legal actions to which we, our properties or our officers or directors are subject.</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On September 26, 2013, our common stock began to trade on the NASDAQ Global Market under the symbol “AAOI”. Prior to that time, there was no public market for our common stock. As of March 2, 2015 there were 102 holders of record of our common stock (not including beneficial holders of our common stock holder in street name). The following table sets forth, for the periods indicated, the high and low sales prices of our common stock as reported by the NASDAQ Global Market.</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Low</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Fiscal Year 2013:</w:t>
            </w:r>
          </w:p>
        </w:tc>
        <w:tc>
          <w:tcPr>
            <w:tcW w:w="25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5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Fiscal Year 2014:</w:t>
            </w:r>
          </w:p>
        </w:tc>
        <w:tc>
          <w:tcPr>
            <w:tcW w:w="2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5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5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graph below shows the cumulative total stockholder return of an investment of $100 (and the reinvestment of any dividends thereafter) on September 26, 2013 (the first trading day of our common stock) in (i) our common stock, (ii) the NASDAQ Composite Index and (iii) the NASDAQ Telecommunications Index. Our stock price performance shown in the graph below is not indicative of future stock price performance. The following graph and related information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130810</wp:posOffset>
            </wp:positionV>
            <wp:extent cx="5840095" cy="3473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PERCENT CHANGE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NASDAQ</w:t>
            </w:r>
          </w:p>
        </w:tc>
        <w:tc>
          <w:tcPr>
            <w:tcW w:w="3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472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AAOI</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Telecom</w:t>
            </w:r>
          </w:p>
        </w:tc>
        <w:tc>
          <w:tcPr>
            <w:tcW w:w="20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9/26/2013</w:t>
            </w:r>
          </w:p>
        </w:tc>
        <w:tc>
          <w:tcPr>
            <w:tcW w:w="220" w:type="dxa"/>
            <w:vAlign w:val="bottom"/>
            <w:tcBorders>
              <w:top w:val="single" w:sz="8" w:color="EEEEEE"/>
            </w:tcBorders>
            <w:shd w:val="clear" w:color="auto" w:fill="EEEEEE"/>
          </w:tcPr>
          <w:p>
            <w:pPr>
              <w:spacing w:after="0"/>
              <w:rPr>
                <w:sz w:val="19"/>
                <w:szCs w:val="19"/>
                <w:color w:val="auto"/>
              </w:rPr>
            </w:pPr>
          </w:p>
        </w:tc>
        <w:tc>
          <w:tcPr>
            <w:tcW w:w="1580" w:type="dxa"/>
            <w:vAlign w:val="bottom"/>
            <w:tcBorders>
              <w:top w:val="single" w:sz="8" w:color="auto"/>
            </w:tcBorders>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w w:val="99"/>
              </w:rPr>
              <w:t>100.00%</w:t>
            </w:r>
          </w:p>
        </w:tc>
        <w:tc>
          <w:tcPr>
            <w:tcW w:w="320" w:type="dxa"/>
            <w:vAlign w:val="bottom"/>
            <w:tcBorders>
              <w:top w:val="single" w:sz="8" w:color="EEEEEE"/>
            </w:tcBorders>
            <w:shd w:val="clear" w:color="auto" w:fill="EEEEEE"/>
          </w:tcPr>
          <w:p>
            <w:pPr>
              <w:spacing w:after="0"/>
              <w:rPr>
                <w:sz w:val="19"/>
                <w:szCs w:val="19"/>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top w:val="single" w:sz="8" w:color="EEEEEE"/>
            </w:tcBorders>
            <w:shd w:val="clear" w:color="auto" w:fill="EEEEEE"/>
          </w:tcPr>
          <w:p>
            <w:pPr>
              <w:spacing w:after="0"/>
              <w:rPr>
                <w:sz w:val="19"/>
                <w:szCs w:val="19"/>
                <w:color w:val="auto"/>
              </w:rPr>
            </w:pPr>
          </w:p>
        </w:tc>
        <w:tc>
          <w:tcPr>
            <w:tcW w:w="16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9/30/2013</w:t>
            </w:r>
          </w:p>
        </w:tc>
        <w:tc>
          <w:tcPr>
            <w:tcW w:w="220" w:type="dxa"/>
            <w:vAlign w:val="bottom"/>
          </w:tcPr>
          <w:p>
            <w:pPr>
              <w:spacing w:after="0"/>
              <w:rPr>
                <w:sz w:val="19"/>
                <w:szCs w:val="19"/>
                <w:color w:val="auto"/>
              </w:rPr>
            </w:pPr>
          </w:p>
        </w:tc>
        <w:tc>
          <w:tcPr>
            <w:tcW w:w="15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100.40%</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12/31/2013</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w w:val="99"/>
              </w:rPr>
              <w:t>150.70%</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9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3/31/2014</w:t>
            </w:r>
          </w:p>
        </w:tc>
        <w:tc>
          <w:tcPr>
            <w:tcW w:w="220" w:type="dxa"/>
            <w:vAlign w:val="bottom"/>
          </w:tcPr>
          <w:p>
            <w:pPr>
              <w:spacing w:after="0"/>
              <w:rPr>
                <w:sz w:val="18"/>
                <w:szCs w:val="18"/>
                <w:color w:val="auto"/>
              </w:rPr>
            </w:pPr>
          </w:p>
        </w:tc>
        <w:tc>
          <w:tcPr>
            <w:tcW w:w="15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247.69%</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6/30/2014</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w w:val="99"/>
              </w:rPr>
              <w:t>232.93%</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9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9/30/2014</w:t>
            </w:r>
          </w:p>
        </w:tc>
        <w:tc>
          <w:tcPr>
            <w:tcW w:w="220" w:type="dxa"/>
            <w:vAlign w:val="bottom"/>
          </w:tcPr>
          <w:p>
            <w:pPr>
              <w:spacing w:after="0"/>
              <w:rPr>
                <w:sz w:val="18"/>
                <w:szCs w:val="18"/>
                <w:color w:val="auto"/>
              </w:rPr>
            </w:pPr>
          </w:p>
        </w:tc>
        <w:tc>
          <w:tcPr>
            <w:tcW w:w="15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161.65%</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12/31/2014</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w w:val="96"/>
              </w:rPr>
              <w:t>112.65%</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19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648"/>
        </w:trPr>
        <w:tc>
          <w:tcPr>
            <w:tcW w:w="1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089"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For equity compensation plan information refer to Item 12 of this Annual Report on Form 10-K.</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 We received net proceeds of $31.4 million after deducting underwriting discounts and commissions of $2.5 million and other offering expenses of approximately $2.0 million.</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25, 2014, we closed our follow-on public offering of 3,000,000 shares of common stock, at a price of $24.25 per share before underwriting discounts and commissions. We sold 1,575,235 of such shares and existing stockholders sold an aggregate of 1,424,765 of such shares. On March 28, 2014 we sold an additional 450,000 shares as a result of the underwriters’ exercise of their option to purchase additional shares. Raymond James &amp; Associates, Inc. and Piper Jaffray &amp; Co. were the managing underwriters. The follow-on public offering generated net proceeds to us of $45.6 million, after deducting underwriting discounts and commissions of $2.7 million and other offering expenses of approximately $0.8 million. We did not receive any proceeds from the sale of shares by the selling stockholders in the follow-on public offering.</w:t>
      </w:r>
    </w:p>
    <w:p>
      <w:pPr>
        <w:spacing w:after="0" w:line="188"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7"/>
          <w:szCs w:val="17"/>
          <w:color w:val="auto"/>
        </w:rPr>
        <w:t>With the net proceeds of our initial public offering and our follow-on public offering, we invested $40.0 million for the purchase of machinery and equipment and intangible assets and $19.3 million for inventory to support our new product development efforts and repaid $17.8 million of outstanding debt.</w:t>
      </w:r>
    </w:p>
    <w:p>
      <w:pPr>
        <w:spacing w:after="0" w:line="13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use of proceeds from our IPO and our follow-on public offering from that described in our registration statements filed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2" w:name="page33"/>
    <w:bookmarkEnd w:id="32"/>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Annual Report on Form 10-K. We derived the consolidated statements of operations data for the years ended December 31, 2014, 2013 and 2012 and the consolidated balance sheet data as of December 31, 2014 and 2013 from our consolidated financial statements appearing elsewhere in this Annual Report on Form 10-K. The consolidated statement of operations data for the years ended December 31, 2011 and 2010 and the consolidated balance sheet data as of December 31, 2012, 2011 and 2010 are derived from our audited consolidated financial statements that have previously been filed with the SEC. Our historical results are not necessarily indicative of the results to be expected in the future and results of interim periods are not necessarily indicative of results for the entire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4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130,449</w:t>
            </w:r>
          </w:p>
        </w:tc>
        <w:tc>
          <w:tcPr>
            <w:tcW w:w="44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78,424</w:t>
            </w:r>
          </w:p>
        </w:tc>
        <w:tc>
          <w:tcPr>
            <w:tcW w:w="440" w:type="dxa"/>
            <w:vAlign w:val="bottom"/>
            <w:gridSpan w:val="2"/>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63,421</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47,840</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40,489</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(1)</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55,396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44,492</w:t>
            </w: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34,468</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27,539</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44,246</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15,970</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8,512</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6,451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(1)</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2,412</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17,095</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10,632</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8,243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30"/>
        </w:trPr>
        <w:tc>
          <w:tcPr>
            <w:tcW w:w="3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39,108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Interest and other income (expense),</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(1,381)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(1,338)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30"/>
        </w:trPr>
        <w:tc>
          <w:tcPr>
            <w:tcW w:w="3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178"/>
        </w:trPr>
        <w:tc>
          <w:tcPr>
            <w:tcW w:w="3100" w:type="dxa"/>
            <w:vAlign w:val="bottom"/>
            <w:tcBorders>
              <w:top w:val="single" w:sz="8" w:color="EEEEEE"/>
            </w:tcBorders>
            <w:shd w:val="clear" w:color="auto" w:fill="EEEEEE"/>
          </w:tcPr>
          <w:p>
            <w:pPr>
              <w:ind w:left="180"/>
              <w:spacing w:after="0" w:line="178" w:lineRule="exact"/>
              <w:rPr>
                <w:sz w:val="20"/>
                <w:szCs w:val="20"/>
                <w:color w:val="auto"/>
              </w:rPr>
            </w:pPr>
            <w:r>
              <w:rPr>
                <w:rFonts w:ascii="Times New Roman" w:cs="Times New Roman" w:eastAsia="Times New Roman" w:hAnsi="Times New Roman"/>
                <w:sz w:val="18"/>
                <w:szCs w:val="18"/>
                <w:color w:val="auto"/>
              </w:rPr>
              <w:t>Total interest and other income</w:t>
            </w:r>
          </w:p>
        </w:tc>
        <w:tc>
          <w:tcPr>
            <w:tcW w:w="300" w:type="dxa"/>
            <w:vAlign w:val="bottom"/>
            <w:tcBorders>
              <w:top w:val="single" w:sz="8" w:color="auto"/>
            </w:tcBorders>
            <w:shd w:val="clear" w:color="auto" w:fill="EEEEEE"/>
          </w:tcPr>
          <w:p>
            <w:pPr>
              <w:spacing w:after="0"/>
              <w:rPr>
                <w:sz w:val="15"/>
                <w:szCs w:val="15"/>
                <w:color w:val="auto"/>
              </w:rPr>
            </w:pPr>
          </w:p>
        </w:tc>
        <w:tc>
          <w:tcPr>
            <w:tcW w:w="108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300" w:type="dxa"/>
            <w:vAlign w:val="bottom"/>
            <w:tcBorders>
              <w:top w:val="single" w:sz="8" w:color="auto"/>
            </w:tcBorders>
            <w:shd w:val="clear" w:color="auto" w:fill="EEEEEE"/>
          </w:tcPr>
          <w:p>
            <w:pPr>
              <w:spacing w:after="0"/>
              <w:rPr>
                <w:sz w:val="15"/>
                <w:szCs w:val="15"/>
                <w:color w:val="auto"/>
              </w:rPr>
            </w:pPr>
          </w:p>
        </w:tc>
        <w:tc>
          <w:tcPr>
            <w:tcW w:w="108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300" w:type="dxa"/>
            <w:vAlign w:val="bottom"/>
            <w:tcBorders>
              <w:top w:val="single" w:sz="8" w:color="auto"/>
            </w:tcBorders>
            <w:shd w:val="clear" w:color="auto" w:fill="EEEEEE"/>
          </w:tcPr>
          <w:p>
            <w:pPr>
              <w:spacing w:after="0"/>
              <w:rPr>
                <w:sz w:val="15"/>
                <w:szCs w:val="15"/>
                <w:color w:val="auto"/>
              </w:rPr>
            </w:pPr>
          </w:p>
        </w:tc>
        <w:tc>
          <w:tcPr>
            <w:tcW w:w="10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300" w:type="dxa"/>
            <w:vAlign w:val="bottom"/>
            <w:tcBorders>
              <w:top w:val="single" w:sz="8" w:color="auto"/>
            </w:tcBorders>
            <w:shd w:val="clear" w:color="auto" w:fill="EEEEEE"/>
          </w:tcPr>
          <w:p>
            <w:pPr>
              <w:spacing w:after="0"/>
              <w:rPr>
                <w:sz w:val="15"/>
                <w:szCs w:val="15"/>
                <w:color w:val="auto"/>
              </w:rPr>
            </w:pPr>
          </w:p>
        </w:tc>
        <w:tc>
          <w:tcPr>
            <w:tcW w:w="10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300" w:type="dxa"/>
            <w:vAlign w:val="bottom"/>
            <w:tcBorders>
              <w:top w:val="single" w:sz="8" w:color="auto"/>
            </w:tcBorders>
            <w:shd w:val="clear" w:color="auto" w:fill="EEEEEE"/>
          </w:tcPr>
          <w:p>
            <w:pPr>
              <w:spacing w:after="0"/>
              <w:rPr>
                <w:sz w:val="15"/>
                <w:szCs w:val="15"/>
                <w:color w:val="auto"/>
              </w:rPr>
            </w:pPr>
          </w:p>
        </w:tc>
        <w:tc>
          <w:tcPr>
            <w:tcW w:w="106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(expense), net</w:t>
            </w:r>
          </w:p>
        </w:tc>
        <w:tc>
          <w:tcPr>
            <w:tcW w:w="30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(1,124)</w:t>
            </w:r>
          </w:p>
        </w:tc>
        <w:tc>
          <w:tcPr>
            <w:tcW w:w="30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(1,594)</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31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(1,406)</w:t>
            </w: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151"/>
        </w:trPr>
        <w:tc>
          <w:tcPr>
            <w:tcW w:w="3100" w:type="dxa"/>
            <w:vAlign w:val="bottom"/>
            <w:tcBorders>
              <w:top w:val="single" w:sz="8" w:color="EEEEEE"/>
            </w:tcBorders>
            <w:shd w:val="clear" w:color="auto" w:fill="EEEEEE"/>
          </w:tcPr>
          <w:p>
            <w:pPr>
              <w:spacing w:after="0" w:line="151" w:lineRule="exact"/>
              <w:rPr>
                <w:sz w:val="20"/>
                <w:szCs w:val="20"/>
                <w:color w:val="auto"/>
              </w:rPr>
            </w:pPr>
            <w:r>
              <w:rPr>
                <w:rFonts w:ascii="Times New Roman" w:cs="Times New Roman" w:eastAsia="Times New Roman" w:hAnsi="Times New Roman"/>
                <w:sz w:val="17"/>
                <w:szCs w:val="17"/>
                <w:color w:val="auto"/>
              </w:rPr>
              <w:t>Net income (loss) per share attributable</w:t>
            </w:r>
          </w:p>
        </w:tc>
        <w:tc>
          <w:tcPr>
            <w:tcW w:w="30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20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EEEEEE"/>
            </w:tcBorders>
            <w:shd w:val="clear" w:color="auto" w:fill="EEEEEE"/>
          </w:tcPr>
          <w:p>
            <w:pPr>
              <w:spacing w:after="0"/>
              <w:rPr>
                <w:sz w:val="13"/>
                <w:szCs w:val="13"/>
                <w:color w:val="auto"/>
              </w:rPr>
            </w:pPr>
          </w:p>
        </w:tc>
        <w:tc>
          <w:tcPr>
            <w:tcW w:w="30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EEEEEE"/>
            </w:tcBorders>
            <w:shd w:val="clear" w:color="auto" w:fill="EEEEEE"/>
          </w:tcPr>
          <w:p>
            <w:pPr>
              <w:spacing w:after="0"/>
              <w:rPr>
                <w:sz w:val="13"/>
                <w:szCs w:val="13"/>
                <w:color w:val="auto"/>
              </w:rPr>
            </w:pPr>
          </w:p>
        </w:tc>
        <w:tc>
          <w:tcPr>
            <w:tcW w:w="30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340" w:type="dxa"/>
            <w:vAlign w:val="bottom"/>
            <w:tcBorders>
              <w:top w:val="single" w:sz="8" w:color="EEEEEE"/>
            </w:tcBorders>
            <w:shd w:val="clear" w:color="auto" w:fill="EEEEEE"/>
          </w:tcPr>
          <w:p>
            <w:pPr>
              <w:spacing w:after="0"/>
              <w:rPr>
                <w:sz w:val="13"/>
                <w:szCs w:val="13"/>
                <w:color w:val="auto"/>
              </w:rPr>
            </w:pPr>
          </w:p>
        </w:tc>
        <w:tc>
          <w:tcPr>
            <w:tcW w:w="300" w:type="dxa"/>
            <w:vAlign w:val="bottom"/>
            <w:tcBorders>
              <w:top w:val="single" w:sz="8" w:color="auto"/>
            </w:tcBorders>
            <w:shd w:val="clear" w:color="auto" w:fill="EEEEEE"/>
          </w:tcPr>
          <w:p>
            <w:pPr>
              <w:spacing w:after="0"/>
              <w:rPr>
                <w:sz w:val="13"/>
                <w:szCs w:val="13"/>
                <w:color w:val="auto"/>
              </w:rPr>
            </w:pPr>
          </w:p>
        </w:tc>
        <w:tc>
          <w:tcPr>
            <w:tcW w:w="1060" w:type="dxa"/>
            <w:vAlign w:val="bottom"/>
            <w:tcBorders>
              <w:top w:val="single" w:sz="8" w:color="auto"/>
            </w:tcBorders>
            <w:shd w:val="clear" w:color="auto" w:fill="EEEEEE"/>
          </w:tcPr>
          <w:p>
            <w:pPr>
              <w:spacing w:after="0"/>
              <w:rPr>
                <w:sz w:val="13"/>
                <w:szCs w:val="13"/>
                <w:color w:val="auto"/>
              </w:rPr>
            </w:pPr>
          </w:p>
        </w:tc>
        <w:tc>
          <w:tcPr>
            <w:tcW w:w="320" w:type="dxa"/>
            <w:vAlign w:val="bottom"/>
            <w:tcBorders>
              <w:top w:val="single" w:sz="8" w:color="EEEEEE"/>
            </w:tcBorders>
            <w:shd w:val="clear" w:color="auto" w:fill="EEEEEE"/>
          </w:tcPr>
          <w:p>
            <w:pPr>
              <w:spacing w:after="0"/>
              <w:rPr>
                <w:sz w:val="13"/>
                <w:szCs w:val="13"/>
                <w:color w:val="auto"/>
              </w:rPr>
            </w:pPr>
          </w:p>
        </w:tc>
        <w:tc>
          <w:tcPr>
            <w:tcW w:w="300" w:type="dxa"/>
            <w:vAlign w:val="bottom"/>
            <w:tcBorders>
              <w:top w:val="single" w:sz="8" w:color="auto"/>
            </w:tcBorders>
            <w:shd w:val="clear" w:color="auto" w:fill="EEEEEE"/>
          </w:tcPr>
          <w:p>
            <w:pPr>
              <w:spacing w:after="0"/>
              <w:rPr>
                <w:sz w:val="13"/>
                <w:szCs w:val="13"/>
                <w:color w:val="auto"/>
              </w:rPr>
            </w:pPr>
          </w:p>
        </w:tc>
        <w:tc>
          <w:tcPr>
            <w:tcW w:w="106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to common stockholders:</w:t>
            </w: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197"/>
        </w:trPr>
        <w:tc>
          <w:tcPr>
            <w:tcW w:w="3100" w:type="dxa"/>
            <w:vAlign w:val="bottom"/>
            <w:tcBorders>
              <w:top w:val="single" w:sz="8" w:color="EEEEEE"/>
              <w:bottom w:val="single" w:sz="8" w:color="EEEEEE"/>
            </w:tcBorders>
            <w:shd w:val="clear" w:color="auto" w:fill="EEEEEE"/>
          </w:tcPr>
          <w:p>
            <w:pPr>
              <w:ind w:left="36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bottom w:val="single" w:sz="8" w:color="auto"/>
            </w:tcBorders>
            <w:shd w:val="clear" w:color="auto" w:fill="EEEEEE"/>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200" w:type="dxa"/>
            <w:vAlign w:val="bottom"/>
            <w:tcBorders>
              <w:top w:val="single" w:sz="8" w:color="EEEEEE"/>
              <w:bottom w:val="single" w:sz="8" w:color="EEEEEE"/>
            </w:tcBorders>
            <w:shd w:val="clear" w:color="auto" w:fill="EEEEEE"/>
          </w:tcPr>
          <w:p>
            <w:pPr>
              <w:spacing w:after="0"/>
              <w:rPr>
                <w:sz w:val="17"/>
                <w:szCs w:val="17"/>
                <w:color w:val="auto"/>
              </w:rPr>
            </w:pPr>
          </w:p>
        </w:tc>
        <w:tc>
          <w:tcPr>
            <w:tcW w:w="140" w:type="dxa"/>
            <w:vAlign w:val="bottom"/>
            <w:tcBorders>
              <w:top w:val="single" w:sz="8" w:color="EEEEEE"/>
              <w:bottom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(3.56</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used to</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compute net income (loss)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attributable to common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14,307,477</w:t>
            </w: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9,964,955</w:t>
            </w: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265,576</w:t>
            </w:r>
          </w:p>
        </w:tc>
        <w:tc>
          <w:tcPr>
            <w:tcW w:w="3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263,658</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258,901</w:t>
            </w:r>
          </w:p>
        </w:tc>
        <w:tc>
          <w:tcPr>
            <w:tcW w:w="0" w:type="dxa"/>
            <w:vAlign w:val="bottom"/>
          </w:tcPr>
          <w:p>
            <w:pPr>
              <w:spacing w:after="0"/>
              <w:rPr>
                <w:sz w:val="1"/>
                <w:szCs w:val="1"/>
                <w:color w:val="auto"/>
              </w:rPr>
            </w:pPr>
          </w:p>
        </w:tc>
      </w:tr>
      <w:tr>
        <w:trPr>
          <w:trHeight w:val="20"/>
        </w:trPr>
        <w:tc>
          <w:tcPr>
            <w:tcW w:w="3100" w:type="dxa"/>
            <w:vAlign w:val="bottom"/>
            <w:tcBorders>
              <w:top w:val="single" w:sz="8" w:color="EEEEEE"/>
              <w:bottom w:val="single" w:sz="8" w:color="EEEEEE"/>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bottom w:val="single" w:sz="8" w:color="EEEEEE"/>
            </w:tcBorders>
            <w:vMerge w:val="restart"/>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15,186,961</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9,964,955</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265,576</w:t>
            </w: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263,658</w:t>
            </w:r>
          </w:p>
        </w:tc>
        <w:tc>
          <w:tcPr>
            <w:tcW w:w="32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258,901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140" w:hanging="818"/>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include share-based compensation expense. Share-based compensation expense is accounted for at fair value, using the Black-Scholes option-pricing model. Share-based compensation expense is recognized over the vesting period of the stock options and was included in cost of goods sold and operating expenses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64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33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19"/>
                <w:szCs w:val="19"/>
                <w:color w:val="auto"/>
              </w:rPr>
            </w:pPr>
          </w:p>
        </w:tc>
      </w:tr>
      <w:tr>
        <w:trPr>
          <w:trHeight w:val="210"/>
        </w:trPr>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short-</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investments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40,873</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11,226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2,074</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Working capital (1)</w:t>
            </w: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64,638</w:t>
            </w:r>
          </w:p>
        </w:tc>
        <w:tc>
          <w:tcPr>
            <w:tcW w:w="4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38,879</w:t>
            </w:r>
          </w:p>
        </w:tc>
        <w:tc>
          <w:tcPr>
            <w:tcW w:w="24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13,669</w:t>
            </w: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(1,911)</w:t>
            </w: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(2,322)</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183,670</w:t>
            </w:r>
          </w:p>
        </w:tc>
        <w:tc>
          <w:tcPr>
            <w:tcW w:w="4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111,057</w:t>
            </w:r>
          </w:p>
        </w:tc>
        <w:tc>
          <w:tcPr>
            <w:tcW w:w="24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65,748</w:t>
            </w:r>
          </w:p>
        </w:tc>
        <w:tc>
          <w:tcPr>
            <w:tcW w:w="3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53,723</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52,934</w:t>
            </w: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debt (2)</w:t>
            </w: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29,919</w:t>
            </w:r>
          </w:p>
        </w:tc>
        <w:tc>
          <w:tcPr>
            <w:tcW w:w="4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28,455</w:t>
            </w:r>
          </w:p>
        </w:tc>
        <w:tc>
          <w:tcPr>
            <w:tcW w:w="24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24,584</w:t>
            </w: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22,597</w:t>
            </w: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23,071</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105,367</w:t>
            </w:r>
          </w:p>
        </w:tc>
        <w:tc>
          <w:tcPr>
            <w:tcW w:w="3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94,373</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90,423</w:t>
            </w:r>
          </w:p>
        </w:tc>
      </w:tr>
      <w:tr>
        <w:trPr>
          <w:trHeight w:val="198"/>
        </w:trPr>
        <w:tc>
          <w:tcPr>
            <w:tcW w:w="31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Common stock and additional paid-in-</w:t>
            </w: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31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shd w:val="clear" w:color="auto" w:fill="EEEEEE"/>
          </w:tcPr>
          <w:p>
            <w:pPr>
              <w:spacing w:after="0"/>
              <w:rPr>
                <w:sz w:val="20"/>
                <w:szCs w:val="20"/>
                <w:color w:val="auto"/>
              </w:rPr>
            </w:pPr>
          </w:p>
        </w:tc>
        <w:tc>
          <w:tcPr>
            <w:tcW w:w="128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192,127</w:t>
            </w:r>
          </w:p>
        </w:tc>
        <w:tc>
          <w:tcPr>
            <w:tcW w:w="440" w:type="dxa"/>
            <w:vAlign w:val="bottom"/>
            <w:shd w:val="clear" w:color="auto" w:fill="EEEEEE"/>
          </w:tcPr>
          <w:p>
            <w:pPr>
              <w:spacing w:after="0"/>
              <w:rPr>
                <w:sz w:val="20"/>
                <w:szCs w:val="20"/>
                <w:color w:val="auto"/>
              </w:rPr>
            </w:pPr>
          </w:p>
        </w:tc>
        <w:tc>
          <w:tcPr>
            <w:tcW w:w="130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144,036</w:t>
            </w:r>
          </w:p>
        </w:tc>
        <w:tc>
          <w:tcPr>
            <w:tcW w:w="240" w:type="dxa"/>
            <w:vAlign w:val="bottom"/>
            <w:shd w:val="clear" w:color="auto" w:fill="EEEEEE"/>
          </w:tcPr>
          <w:p>
            <w:pPr>
              <w:spacing w:after="0"/>
              <w:rPr>
                <w:sz w:val="20"/>
                <w:szCs w:val="20"/>
                <w:color w:val="auto"/>
              </w:rPr>
            </w:pPr>
          </w:p>
        </w:tc>
        <w:tc>
          <w:tcPr>
            <w:tcW w:w="160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5,542</w:t>
            </w:r>
          </w:p>
        </w:tc>
        <w:tc>
          <w:tcPr>
            <w:tcW w:w="320" w:type="dxa"/>
            <w:vAlign w:val="bottom"/>
            <w:shd w:val="clear" w:color="auto" w:fill="EEEEEE"/>
          </w:tcPr>
          <w:p>
            <w:pPr>
              <w:spacing w:after="0"/>
              <w:rPr>
                <w:sz w:val="20"/>
                <w:szCs w:val="20"/>
                <w:color w:val="auto"/>
              </w:rPr>
            </w:pPr>
          </w:p>
        </w:tc>
        <w:tc>
          <w:tcPr>
            <w:tcW w:w="12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5,303</w:t>
            </w:r>
          </w:p>
        </w:tc>
        <w:tc>
          <w:tcPr>
            <w:tcW w:w="44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4,723</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(79,040)</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(83,323)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(81,917)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(80,972)</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(75,643)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880" w:hanging="818"/>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total current assets less total current liabilities.</w:t>
      </w:r>
    </w:p>
    <w:p>
      <w:pPr>
        <w:spacing w:after="0" w:line="9" w:lineRule="exact"/>
        <w:rPr>
          <w:rFonts w:ascii="Times New Roman" w:cs="Times New Roman" w:eastAsia="Times New Roman" w:hAnsi="Times New Roman"/>
          <w:sz w:val="18"/>
          <w:szCs w:val="18"/>
          <w:color w:val="auto"/>
        </w:rPr>
      </w:pPr>
    </w:p>
    <w:p>
      <w:pPr>
        <w:ind w:left="880" w:hanging="818"/>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is defined as short-term loans, notes payable and total long-term debt.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34" w:name="page35"/>
    <w:bookmarkEnd w:id="34"/>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Annual Report on Form 10-K. This discussion and other parts of this Annual Report on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three networking end-markets: internet data centers, CATV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three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gigabits per second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sell our products to leading original equipment manufacturers, or OEMs, in the CATV and FTTH markets as well as internet data center operators. In 2014, we earned 36.3% of our total revenue from the CATV market, and 49.4% of our total revenue from the data center market. In 2014, our key customers in the CATV market included Cisco Systems and Arris Group, Inc. In 2014, 2013 and 2012, Cisco Systems accounted for 8.9%, 21.8%, and 33.2%, respectively, of our revenue and Arris Group, Inc. accounted for 4.5%, 3.3% and 0.8%, respectively, of our revenue. In 2014, our key customers that contributed most to our FTTH revenue were a leading internet service provider and Genexis B.V., which accounted for 5.8% and 0.8% of our total revenue, respectively. In 2014, our key customers in the internet data center market included Amazon and Microsoft. In 2014 and 2013, Amazon accounted for 45.8% and 18.2% of our revenue, respectively, and Microsoft accounted for 3.6% and 6.1% of our revenue, respectively. In 2014, revenue from the CATV market, data center market, FTTH market and other markets provided 36.3%, 49.4%, 10.4%, and 3.9% of our revenue, respectively, compared to 60.4%, 24.7%, 5.6% and 9.3% of our 2013 revenue, respectively.</w:t>
      </w:r>
    </w:p>
    <w:p>
      <w:pPr>
        <w:spacing w:after="0" w:line="18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all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5" w:name="page36"/>
    <w:bookmarkEnd w:id="35"/>
    <w:p>
      <w:pPr>
        <w:ind w:firstLine="648"/>
        <w:spacing w:after="0" w:line="253" w:lineRule="auto"/>
        <w:rPr>
          <w:sz w:val="20"/>
          <w:szCs w:val="20"/>
          <w:color w:val="auto"/>
        </w:rPr>
      </w:pPr>
      <w:r>
        <w:rPr>
          <w:rFonts w:ascii="Times New Roman" w:cs="Times New Roman" w:eastAsia="Times New Roman" w:hAnsi="Times New Roman"/>
          <w:sz w:val="18"/>
          <w:szCs w:val="18"/>
          <w:color w:val="auto"/>
        </w:rPr>
        <w:t>In 2014, 2013 and 2012, we had 15, 17 and 15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9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we have an attractive financial profile, with strong revenue performance and control over our manufacturing costs through our vertically integrated manufacturing model. While we have incurred substantial losses since our inception, and as of December 31, 2014 had an accumulated deficit of $79.0 million, we achieved profitability in 2014. We have grown our revenue at a 31.7% CAGR between 2009 and 2014, including 66.3% growth year-over-year from 2013 to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Increasing Consumer Demand for Bandwidth. </w:t>
      </w:r>
      <w:r>
        <w:rPr>
          <w:rFonts w:ascii="Times New Roman" w:cs="Times New Roman" w:eastAsia="Times New Roman" w:hAnsi="Times New Roman"/>
          <w:sz w:val="18"/>
          <w:szCs w:val="18"/>
          <w:color w:val="auto"/>
        </w:rPr>
        <w:t>Bandwidth demand in all of our target markets is driving service provider investment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7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Margins. </w:t>
      </w:r>
      <w:r>
        <w:rPr>
          <w:rFonts w:ascii="Times New Roman" w:cs="Times New Roman" w:eastAsia="Times New Roman" w:hAnsi="Times New Roman"/>
          <w:sz w:val="18"/>
          <w:szCs w:val="18"/>
          <w:color w:val="auto"/>
        </w:rPr>
        <w:t>Our solution pricing varies depending upon the end market, the complexity of the product and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Our 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We sell a wide variety of products among our three target markets and our gross margin is heavily dependent in any quarter on the product mix achieved during that period.</w:t>
      </w:r>
    </w:p>
    <w:p>
      <w:pPr>
        <w:spacing w:after="0" w:line="178"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Concentration within End Markets. </w:t>
      </w:r>
      <w:r>
        <w:rPr>
          <w:rFonts w:ascii="Times New Roman" w:cs="Times New Roman" w:eastAsia="Times New Roman" w:hAnsi="Times New Roman"/>
          <w:sz w:val="18"/>
          <w:szCs w:val="18"/>
          <w:color w:val="auto"/>
        </w:rPr>
        <w:t>Historically, our revenue has been significantly concentrated, first within the CATV market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within the internet data center market. Moreover, within these markets revenue tends to be concentrated among a small number of customers. In 2014, we have taken several actions to increase the diversity of our customer base. These actions include the creation of a new sales incentive program, hiring additional sales staff to improve our ability to serve new customers, and additional customized design of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83"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We invest heavily to develop new and innovative products. The majority of our research and development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Discussion of Financial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The following chart provides the revenue contribution from each of the markets we serve for the years 2014, 2013 and 2012, as well as the corresponding percentage of our total revenue for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 30,</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 30,</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 30,</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 31,</w:t>
            </w: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Market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10"/>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9,761</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Datacenter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1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18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0"/>
        </w:trPr>
        <w:tc>
          <w:tcPr>
            <w:tcW w:w="1840" w:type="dxa"/>
            <w:vAlign w:val="bottom"/>
            <w:tcBorders>
              <w:bottom w:val="single" w:sz="8" w:color="EEEEEE"/>
            </w:tcBorders>
            <w:shd w:val="clear" w:color="auto" w:fill="EEEEEE"/>
          </w:tcPr>
          <w:p>
            <w:pPr>
              <w:ind w:left="13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36,391</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7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8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24,859</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7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7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7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12,506</w:t>
            </w:r>
          </w:p>
        </w:tc>
      </w:tr>
      <w:tr>
        <w:trPr>
          <w:trHeight w:val="20"/>
        </w:trPr>
        <w:tc>
          <w:tcPr>
            <w:tcW w:w="1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Percentage of Revenue</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Datacenter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8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1840" w:type="dxa"/>
            <w:vAlign w:val="bottom"/>
            <w:tcBorders>
              <w:bottom w:val="single" w:sz="8" w:color="EEEEEE"/>
            </w:tcBorders>
            <w:shd w:val="clear" w:color="auto" w:fill="EEEEEE"/>
          </w:tcPr>
          <w:p>
            <w:pPr>
              <w:ind w:left="13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2014, 2013 and 2012, our top ten customers represented 87.2%, 76.9% and 77.6% of our revenue, respectively. In 2014, our key customers in the CATV market included Cisco Systems, Arris Group, Inc. and Pace plc. In 2014, 2013 and 2012, Cisco Systems accounted for 8.9%, 21.8%, and 33.2%, respectively, of our revenue and Arris Group, Inc. accounted for 4.5%, 3.3% and 0.8%, respectively, of our revenue. In 2014, our key customers in the internet data center market included Amazon and Microsoft. In 2014 and 2013, Amazon accounted for 45.8% and 18.2% of our revenue, respectively, and Microsoft accounted for 3.6% and 6.1% of our revenue, respectively.</w:t>
      </w:r>
    </w:p>
    <w:p>
      <w:pPr>
        <w:spacing w:after="0" w:line="18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2014, our key customers that contributed most to our FTTH revenue were a leading internet service provider and Genexis B.V. , which accounted for 5.8% and 0.8% of our total revenue, respectively.</w:t>
      </w:r>
    </w:p>
    <w:p>
      <w:pPr>
        <w:spacing w:after="0" w:line="162"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2014, 7.9% of our total revenue was derived from our China-based subsidiary, with $5.4 million denominated in RMB and an immaterial amount denominated in NT dollars. We expect a similar portion of our sales to be denominated in foreign currencies in 2015.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cost of goods sold is impacted by variances arising from changes in yields and production volume.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7" w:name="page38"/>
    <w:bookmarkEnd w:id="37"/>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manufacture our products in all three of our facilities in the U.S., Taiwan and China. Generally, laser chips and optical components are manufactured in our U.S. facility, optical components and subassemblies are manufactured in our Taiwan facility, and optical equipment is manufactured in our China facility. Because of our vertical integration model, we utilize our own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27.8% and 34.8%,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sell similar products to different geographic regions at different prices, and therefore realize different gross margins among those similar products. We generally realize a lower gross margin in sales to Asian markets.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or R&amp;D, expense consists primarily of personnel costs, including 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 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our revenue increases over time.</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share-based compensation for our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2014. Additionally, we pay commissions to third parties on certain product lines and identified customers, which also amounted to less than one percent of our revenue in 2014.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38" w:name="page39"/>
    <w:bookmarkEnd w:id="38"/>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in the short term, as we develop the infrastructure necessary to operate as a public company, including increased audit and legal fees, costs to comply with the Sarbanes-Oxley Act and the rules and regulations applicable to companies listed on a national stock exchange, as well as investor relations expense and higher insurance premiums. In the future, we expect general and administrative expense to increase on a dollar basis but continue to decline as a percentage of revenue, to the extent our revenue increases over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short-term investments. Interest expense consists of amounts paid for interest on our short-term and long-term debt borrowings.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Our effective U.S. federal income tax rate was 0% prior to 2014 as we incurred operating losses and have recorded a valuation allowance against those losses. At December 31, 2014, our U.S. accumulated net operating loss, or NOL, was $56.5 million. If we earn profits in the U.S., we expect to reduce our cash tax obligations by the utilization of NOL carry forwards. Our NOL benefits expire over the twelve-year period from 2020 to 2032. Under Section 382 of the Internal Revenue Code of 1986, as amended, if a corporation undergoes an “ownership change,” the corporation’s ability to use its pre-change NOLs, capital loss carry forwards and other pre-change tax attributes to offset its post-change income may be limited going forward. Based upon an analysis of our equity ownership, we have experienced an ownership change and our NOL carry forwards are limited in dollar amount. As of December 31, 2014, of the total accumulated NOL only $31.5 million is available for utilization in future periods to offset federal taxable income. Each year after 2014, an additional $0.3 million is added to the total available NOL, until a maximum of $34.9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Global Technology, Inc. renewed its National high-tech enterprise certificate and therefore extended its three year tax preferential status from November 2011 to November 2014. An application to extend the tax preferential status to September 2017 has been approved by the Chinese government.</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2012, there were no identified uncertain tax positions. For the years ended December 31, 2014, and December 31, 2013, we had $1.6 million and $2.2 million, respectively, of unrecognized tax benefits related to U.S. tax benefits recognized for which do not meet the more likely than not threshold. We believe that it is reasonably possible that $0.3 million of our remaining unrecognized tax positions may be recognized by the end of 2015. If recognized, there would be no impact to our effective tax rate as a result of the full valuation allowance previously recognized.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bottom w:val="single" w:sz="8" w:color="EEEEEE"/>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top w:val="single" w:sz="8" w:color="auto"/>
              <w:bottom w:val="single" w:sz="8" w:color="EEEEEE"/>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Borders>
              <w:top w:val="single" w:sz="8" w:color="auto"/>
              <w:bottom w:val="single" w:sz="8" w:color="EEEEEE"/>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4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EEEEEE"/>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r>
      <w:tr>
        <w:trPr>
          <w:trHeight w:val="210"/>
        </w:trPr>
        <w:tc>
          <w:tcPr>
            <w:tcW w:w="42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10.9%</w:t>
            </w: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2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13.6%</w:t>
            </w: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r>
      <w:tr>
        <w:trPr>
          <w:trHeight w:val="216"/>
        </w:trPr>
        <w:tc>
          <w:tcPr>
            <w:tcW w:w="4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7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42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42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2014 and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charts provide the revenue contribution from each of the markets we served for the years ended December 31, 2014 and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2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36.3%</w:t>
            </w:r>
          </w:p>
        </w:tc>
        <w:tc>
          <w:tcPr>
            <w:tcW w:w="15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r>
      <w:tr>
        <w:trPr>
          <w:trHeight w:val="210"/>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152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47,389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47,373</w:t>
            </w:r>
          </w:p>
        </w:tc>
        <w:tc>
          <w:tcPr>
            <w:tcW w:w="400" w:type="dxa"/>
            <w:vAlign w:val="bottom"/>
            <w:gridSpan w:val="2"/>
            <w:shd w:val="clear" w:color="auto" w:fill="EEEEEE"/>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64,453</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45,067</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232.5%</w:t>
            </w: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13,591</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4,377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210.5%</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5,016</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(2,272)</w:t>
            </w:r>
          </w:p>
        </w:tc>
        <w:tc>
          <w:tcPr>
            <w:tcW w:w="3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246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130,449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78,424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Of our total revenue in 2014, we generated $47.4 million, or 36.3%, from the CATV market, $64.5 million, or 49.4%, from the internet data center market, $13.6 million, or 10.4%, from the FTTH market, and $5.0 million, or 3.9%, from other markets. Total revenue increased by $52.0 million, or 66.3%, from 2013 to 2014.</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 was attributable to a $45.1 million increase from the internet data center market, primarily driven by increasing demand for our 10 gigabits per second and 40 gigabits per second transceivers as our customers continued to upgrade their technology infrastructure. Revenues in the FTTH market increased by $9.2 million, primarily driven by increasing demand for our WMD-PON products to existing customers. CATV revenues were flat year over year due to a decline in sales in certain emerging markets, offset by increased sales for newly-designed products.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ind w:right="370"/>
              <w:spacing w:after="0"/>
              <w:rPr>
                <w:sz w:val="20"/>
                <w:szCs w:val="20"/>
                <w:color w:val="auto"/>
              </w:rPr>
            </w:pPr>
            <w:r>
              <w:rPr>
                <w:rFonts w:ascii="Times New Roman" w:cs="Times New Roman" w:eastAsia="Times New Roman" w:hAnsi="Times New Roman"/>
                <w:sz w:val="18"/>
                <w:szCs w:val="18"/>
                <w:color w:val="auto"/>
              </w:rPr>
              <w:t>86,203</w:t>
            </w:r>
          </w:p>
        </w:tc>
        <w:tc>
          <w:tcPr>
            <w:tcW w:w="12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66.1%</w:t>
            </w:r>
          </w:p>
        </w:tc>
        <w:tc>
          <w:tcPr>
            <w:tcW w:w="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55,396</w:t>
            </w: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30,807</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Cost of goods sold increased by $30.8 million, or 55.6%, from 2013 to 2014, primarily due to the combination of a $21.8 million increase in direct material costs and a $9.0 million increase in labor and overhead costs, both of which were associated with our increase in revenues. Different products within our portfolio may have gross margins that vary from other products. Moreover, among the markets that we serve, average gross margins vary. In general, products that incorporate newer technology or are more differentiated from our competitors generate higher gross margins, whereas products that are older or incorporate less differentiated technology generate lower gross margins. The increase in gross margin is primarily due to a larger percentage of sales of newer, more technologically differentiated products in 2014 compared with 2013 and an overall increase in revenue.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0"/>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15,970</w:t>
            </w:r>
          </w:p>
        </w:tc>
        <w:tc>
          <w:tcPr>
            <w:tcW w:w="12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8,512</w:t>
            </w:r>
          </w:p>
        </w:tc>
        <w:tc>
          <w:tcPr>
            <w:tcW w:w="14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7,458</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6,043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4,191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1,852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17,095</w:t>
            </w:r>
          </w:p>
        </w:tc>
        <w:tc>
          <w:tcPr>
            <w:tcW w:w="12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10,632</w:t>
            </w:r>
          </w:p>
        </w:tc>
        <w:tc>
          <w:tcPr>
            <w:tcW w:w="14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6,463</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39,108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23,335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15,773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$7.5 million, or 87.6%, from 2013 to 2014. This was primarily due to increases in personnel costs, rent and utilities, R&amp;D work orders and project costs related to FTTH WDM-PON products, 40G and 100G data center products and other new product development. Depreciation expense also increased due to additional R&amp;D equipment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$1.9 million, or 44.2%, from 2013 to 2014. This was due to an increase in personnel costs due to additional sales and marketing staff to better serve our customers, expenses for a new sales incentive program and an increase in sales commissions directly related to our revenue growth.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$6.5 million, or 60.8%, from 2013 to 2014. This was primarily due to an increase in share-based compensation expense, personnel costs, various expenses incurred due to becoming a public company as well as non-recurring expenses related to relocation of our Taiwan plant and CFO separation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(621)</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796.2%</w:t>
            </w:r>
          </w:p>
        </w:tc>
      </w:tr>
      <w:tr>
        <w:trPr>
          <w:trHeight w:val="178"/>
        </w:trPr>
        <w:tc>
          <w:tcPr>
            <w:tcW w:w="2580" w:type="dxa"/>
            <w:vAlign w:val="bottom"/>
          </w:tcPr>
          <w:p>
            <w:pPr>
              <w:ind w:left="200"/>
              <w:spacing w:after="0" w:line="178" w:lineRule="exact"/>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increased over the same prior year periods due to higher cash and investment balances.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decreased overall for the periods due to the benefit of lower interest rates as well as lower loan balances.</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by $0.4 million from 2013 to 2014. Other net expense increased due to unrealized foreign exchange losses recognized resulting from the depreciation of the Asia currencies against the U.S. dollar compared to unrealized foreign exchange losses in the same prior year period. We have historically qualified as a high-tech enterprise in China, as determined by the Chinese government, and are paid subsidies from time to time by the Chinese government to foster local high-tech manufacturing. We received less subsidy in 2014 compared to 2013.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shd w:val="clear" w:color="auto" w:fill="EEEEEE"/>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750"/>
              <w:spacing w:after="0"/>
              <w:rPr>
                <w:sz w:val="20"/>
                <w:szCs w:val="20"/>
                <w:color w:val="auto"/>
              </w:rPr>
            </w:pPr>
            <w:r>
              <w:rPr>
                <w:rFonts w:ascii="Times New Roman" w:cs="Times New Roman" w:eastAsia="Times New Roman" w:hAnsi="Times New Roman"/>
                <w:sz w:val="18"/>
                <w:szCs w:val="18"/>
                <w:color w:val="auto"/>
              </w:rPr>
              <w:t>(199)</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income tax expense for 2014 consists of U.S. alternative minimum tax recorded during the period. Due to historic losses in the U.S., our net deferred tax assets are fully offset by a deferred tax valuation allowance.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2013 and 2012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charts provide the revenue contribution from each of the markets we served for the years ended December 31, 2013 and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2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60.4%</w:t>
            </w:r>
          </w:p>
        </w:tc>
        <w:tc>
          <w:tcPr>
            <w:tcW w:w="15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5.6%</w:t>
            </w:r>
          </w:p>
        </w:tc>
        <w:tc>
          <w:tcPr>
            <w:tcW w:w="15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r>
      <w:tr>
        <w:trPr>
          <w:trHeight w:val="210"/>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2080" w:type="dxa"/>
            <w:vAlign w:val="bottom"/>
            <w:gridSpan w:val="2"/>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47,373</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49,842</w:t>
            </w:r>
          </w:p>
        </w:tc>
        <w:tc>
          <w:tcPr>
            <w:tcW w:w="400" w:type="dxa"/>
            <w:vAlign w:val="bottom"/>
            <w:gridSpan w:val="2"/>
            <w:shd w:val="clear" w:color="auto" w:fill="EEEEEE"/>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(2,469)</w:t>
            </w:r>
          </w:p>
        </w:tc>
        <w:tc>
          <w:tcPr>
            <w:tcW w:w="3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19,386</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14,093</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266.3%</w:t>
            </w: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1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4,377</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3,690</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687</w:t>
            </w:r>
          </w:p>
        </w:tc>
        <w:tc>
          <w:tcPr>
            <w:tcW w:w="3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7,288</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246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78,424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Of our total revenue in 2013, we generated $47.4 million, or 60.4%, from the CATV market, $19.4 million, or 24.7%, from the internet data center market, $4.4 million, or 5.6%, from the FTTH market, and $7.3 million, or 9.3%, from other markets. Total revenue increased by $15.0 million, or 23.7%, from 2012 to 2013.</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 was attributable to a $14.1 million increase from the internet data center market, and a $3.4 million increase from other markets, partially offset by a $2.5 million decrease from our CATV market. The increase in revenues in the internet data center market were driven by increasing sales to customers we added late in 2012. The decline in revenues in the CATV market in 2013 was a result of market-wide weakness, particularly in China, as well as delays in orders as a consequence of mergers among several of our CATV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rPr>
              <w:t>55,396</w:t>
            </w: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370"/>
              <w:spacing w:after="0"/>
              <w:rPr>
                <w:sz w:val="20"/>
                <w:szCs w:val="20"/>
                <w:color w:val="auto"/>
              </w:rPr>
            </w:pPr>
            <w:r>
              <w:rPr>
                <w:rFonts w:ascii="Times New Roman" w:cs="Times New Roman" w:eastAsia="Times New Roman" w:hAnsi="Times New Roman"/>
                <w:sz w:val="18"/>
                <w:szCs w:val="18"/>
                <w:color w:val="auto"/>
              </w:rPr>
              <w:t>44,492</w:t>
            </w: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10,904</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9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Cost of goods sold increased by $10.9 million, or 24.5%, from 2012 to 2013, primarily due to the combination of a $7.2 million increase in direct material costs and a $3.7 million increase in labor and overhead costs, both of which were associated with our increase in revenues. Within our markets, we sell similar products in different geographic regions at different prices, resulting in different gross margins among our products. The decrease in gross margin was primarily the result of a higher percentage of sales of lower margin CATV equipment in Asia and a lower percentage of higher margin component sales in the US.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8,512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10,632</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2,620</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-599440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-325120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020" w:space="720"/>
            <w:col w:w="8680"/>
          </w:cols>
          <w:pgMar w:left="240" w:top="876" w:right="2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$0.9 million, or 11.9%, from 2012 to 2013. This was primarily due to increases in personnel costs and R&amp;D work order and project costs related to new product development.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$1.1 million, or 33.7%, from 2012 to 2013. This was due to an increase in personnel costs due to additional sales and marketing staff to better serve our customers, and an increase in sales commissions directly related to our revenue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$2.6 million, or 32.7%, from 2012 to 2013. This was primarily due to an increase in share- based compensation expense as well as an increase in personnel costs, expenses related to being a public company, professional fees and travel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EEEEEE"/>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(1,381)</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(309)</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(133.8%)</w:t>
            </w:r>
          </w:p>
        </w:tc>
      </w:tr>
      <w:tr>
        <w:trPr>
          <w:trHeight w:val="178"/>
        </w:trPr>
        <w:tc>
          <w:tcPr>
            <w:tcW w:w="2580" w:type="dxa"/>
            <w:vAlign w:val="bottom"/>
          </w:tcPr>
          <w:p>
            <w:pPr>
              <w:ind w:left="200"/>
              <w:spacing w:after="0" w:line="178" w:lineRule="exact"/>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Total net other expense decreased slightly from 2012 to 2013. Interest expense decreased while average loan balances increased from 2012 to 2013 due to a further reduction in interest rates in 2013. Our net other expense decreased by $0.3 million from 2012 to 2013 primarily due to a $0.6 million unrealized foreign currency revaluation loss from U.S. denominated accounts in 2013 when the NT dollar depreciated against the U.S. dollar which was offset by an additional $0.2 million of government subsidies received by our China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1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60" w:type="dxa"/>
            <w:vAlign w:val="bottom"/>
            <w:gridSpan w:val="2"/>
            <w:shd w:val="clear" w:color="auto" w:fill="EEEEEE"/>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5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was 0.0% for 2012 and 2013, as we did not generate positive taxable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From inception until our initial public offering, we financed our operations through private sales of equity securities, cash generated from operations and from various lending arrangements. On October 1, 2013, we completed our initial public offering, in which we issued and sold 3.6 million shares of our common stock at a public offering price of $10.00 per share, providing proceeds of $31.4 million, net of underwriting discounts and commissions and offering expenses. On March 25, 2014, we completed a secondary offering, in which we issued and sold 1.6 million shares of our common stock at an offering price of $24.25 per share, and on March 28, 2014, we sold an additional 0.4 million shares as a result of the underwriters’ exercise of their option to purchase additional shares, providing proceeds of $45.6 million, net of underwriting discounts and commissions and offering expenses. As of September 30, 2014, our cash, cash equivalents, restricted cash and short-term investments totaled $45.8 million. Cash and cash equivalents are held for working capital purposes and are invested primarily in money market or time deposit funds. We do not enter into investments for trading or speculative purposes.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4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0" w:type="dxa"/>
            <w:vAlign w:val="bottom"/>
            <w:gridSpan w:val="2"/>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(6,552)</w:t>
            </w:r>
          </w:p>
        </w:tc>
        <w:tc>
          <w:tcPr>
            <w:tcW w:w="400" w:type="dxa"/>
            <w:vAlign w:val="bottom"/>
            <w:gridSpan w:val="2"/>
            <w:shd w:val="clear" w:color="auto" w:fill="EEEEEE"/>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(17,736)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(3,290)</w:t>
            </w:r>
          </w:p>
        </w:tc>
      </w:tr>
      <w:tr>
        <w:trPr>
          <w:trHeight w:val="216"/>
        </w:trPr>
        <w:tc>
          <w:tcPr>
            <w:tcW w:w="4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47,250</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35,368</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12,754</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48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In 2014, net cash provided by operating activities was $7.2 million. During 2014, we recognized net income of $4.3 million. Our net income included non-cash charges, including depreciation and amortization of $6.2 million, share-based compensation expense of $2.1 million and non-cash increases to our inventory reserve accounts of $0.9 million. Accounts payable increases of $18.8 million were offset by an increase in accounts receivable from our customers of $9.7 million and an increase in inventories of $16.1 million to support revenue growth.</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2013, net cash used in operating activities was $6.6 million. Cash used in operating activities primarily related to an increase in receivables from customers from the sale of our products in excess of cash paid to our suppliers. During the year ended December 31, 2013, we recognized a net loss of $1.4 million. The net loss incorporated non-cash charges, including depreciation and amortization of $3.4 million, share-based compensation expenses of $1.1 million and non-cash increases to our inventory reserve accounts of $0.5 million. We also spent $7.5 million to increases our inventories to support increases in sales volumes, but this was offset by an increase in accounts payable.</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2012, net cash used in operating activities was $0.4 million. Cash used in operating activities primarily related to payments to suppliers in excess of cash received from our customers from the sale of our products. During 2012, we recognized a net loss of $0.9 million. However, that net loss incorporated non-cash charges, including depreciation and amortization of $2.9 million, share-based compensation expense of $0.1 million and non-cash increases to our inventory reserve accounts of $0.9 million. In addition, we spent $0.5 million in 2012 to increase our inventories in anticipation of expected increases in sales volumes.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2014, net cash used in investing activities was $45.4 million for the purchase of additional machinery and equipment, for investment in leasehold improvements for our Taiwan plant expansion and the payment for intellectual property licenses to support new product development efforts and manufacturing activities as well as an increase in deferred charges.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2013, we used $17.7 million of cash for investing activities, of which $9.3 million of cash was used for the purchase of additional machinery and equipment to support our research and development efforts and manufacturing activities and $8.0 million of cash was used for the purchase of short-term investments.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2012, we used $3.3 million of cash for investing activities. We used $3.2 million of cash for the purchase of additional machinery and equipment to support our research and development efforts and manufacturing activities, partially offset by $0.1 million of cash provided by the sale of obsolete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consisted primarily of proceeds from the issuance of common stock and preferred stock and activity associated with our various lending arrangements.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2014, our financing activities provided $47.3 million in cash. We received $45.7 million in net proceeds from a secondary offering of common stock. Net borrowings associated with our bank loans and bank acceptance payable provided $1.9 million in cash.</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2013, our financing activities provided $35.4 million in cash. We received $31.5 million in net proceeds from our initial public offering. We received $3.5 million in net borrowings associated with our bank loans and $0.7 million from the exercise of stock options and warrants. These increases were offset by an increase in our restricted cash by $0.2 million, related to the compensating balances required by our loans in China.</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2012, our financing activities provided $12.8 million in cash. We received $10.2 million in cash from the issuance of preferred stock, $2.7 million in net borrowings associated with our bank loans and $0.8 million from the issuance of notes payable, offset in part by $0.7 million of payments of principal on our term loans and notes payable and $0.2 million to repay loans from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a revolving line of credit and a term loan with East West Bank in the U.S., several lines of credit arrangements for our China subsidiary and lines of credit and financing agreements for our Taiwan location.</w:t>
      </w:r>
    </w:p>
    <w:p>
      <w:pPr>
        <w:spacing w:after="0" w:line="162"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our loan and security agreement in the U.S. included a $15.0 million revolving line of credit which matures on July 15, 2017. Also included with the same bank is a term loan of up to $5.0 million with monthly payments of principal and interest that matures on July 31, 2019. The interest rate on these loans is the LIBOR Borrowing Rate plus 2.75%. As of December 31, 2014, we had $15.0 million outstanding under the revolving line of credit and $5.0 million outstanding under the term loan.</w:t>
      </w:r>
    </w:p>
    <w:p>
      <w:pPr>
        <w:spacing w:after="0" w:line="180" w:lineRule="exact"/>
        <w:rPr>
          <w:sz w:val="20"/>
          <w:szCs w:val="20"/>
          <w:color w:val="auto"/>
        </w:rPr>
      </w:pPr>
    </w:p>
    <w:p>
      <w:pPr>
        <w:ind w:right="260" w:firstLine="648"/>
        <w:spacing w:after="0" w:line="270" w:lineRule="auto"/>
        <w:rPr>
          <w:sz w:val="20"/>
          <w:szCs w:val="20"/>
          <w:color w:val="auto"/>
        </w:rPr>
      </w:pPr>
      <w:r>
        <w:rPr>
          <w:rFonts w:ascii="Times New Roman" w:cs="Times New Roman" w:eastAsia="Times New Roman" w:hAnsi="Times New Roman"/>
          <w:sz w:val="17"/>
          <w:szCs w:val="17"/>
          <w:color w:val="auto"/>
        </w:rPr>
        <w:t>On January 6, 2015, we entered into a Credit Facility Agreement (the “Credit Facility”) with CTBC Bank Co. Ltd. in Taipei, Taiwan (the “Bank”) for 90,000,000.00 NTD (New Taiwan Dollars), one year revolving credit facility. Borrowings under the Credit Facility will be used for general corporate purposes. Our obligations under the Credit Facility are unsecured. Borrowings under the Credit Facility will bear interest at a rate based on the Bank’s corporate interest rate swap index plus 1.5%, adjusted monthly. As of the execution of the Credit Facility the Bank’s corporate interest rate swap index is</w:t>
      </w:r>
    </w:p>
    <w:p>
      <w:pPr>
        <w:spacing w:after="0" w:line="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0.91%. The Credit Facility contains representations and warranties, affirmative, restrictive and financial covenants, and events of default (applicable to the Company) which are customary for credit facilities of this type.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46" w:name="page47"/>
    <w:bookmarkEnd w:id="46"/>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January 26, 2015, we entered into a construction loan agreement with East West Bank for up to $22.0 million dollars to finance the construction of our campus expansion plan in Sugar Land, Texas.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We may pay without penalty all or a portion of the amount owed earlier than due. Under the loan agreement, the loan bears interest, at an annual rate based on the one-month LIBOR Borrowing Rate plus 2.75%.</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loan and security agreements with East West Bank require us to maintain certain financial covenants, including a minimum current ratio and minimum annual EBITDA. As of December 31, 2014, we were in compliance with all covenants contained in these agreements.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our China subsidiary had two lines of credit facility with a China bank totaling $15.4 million, one line is U.S. currency based and the other is RMB currency based. As of December 31, 2014, we had a U.S. currency based loan of $1.1 million outstanding under various notes with three-month terms, maturing from February 2015 to March 2015. There were no outstanding balances under the RMB currency based credit facility as of December 31, 2014.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Taiwan location had an outstanding note payable with a financing company that matures on July 31, 2015.</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December 2013, our Taiwan location entered into two separate one year revolving credit facility agreements with Taiwan banks, for a total of $8.0 million. Borrowings under these credit facilities will be used for general corporate purposes. Our obligations under the credit facilities are secured by our $8.0 million cash deposit in a one-year CD with such banks. The two revolving lines of credit bear interest at a rate (which adjusts quarterly) equal to the Taiwan Time Deposit Interest Rate Index plus 0.41%, currently 1.78%, and at a base rate equal to TAIBOR plus 1%, currently 1.75%. As of December 31, 2014, $7.1 million was outstanding under these credit facilities.</w:t>
      </w:r>
    </w:p>
    <w:p>
      <w:pPr>
        <w:spacing w:after="0" w:line="18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December 31, 2014, our restricted cash totaled $0.5 million, and our outstanding bank acceptance notes payable was $1.3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financing is required from outside sources, we may not be able to raise it on terms acceptable to us, if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2014:</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Notes payable and</w:t>
            </w:r>
          </w:p>
        </w:tc>
        <w:tc>
          <w:tcPr>
            <w:tcW w:w="3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960" w:type="dxa"/>
            <w:vAlign w:val="bottom"/>
            <w:shd w:val="clear" w:color="auto" w:fill="EEEEEE"/>
          </w:tcPr>
          <w:p>
            <w:pPr>
              <w:ind w:left="200"/>
              <w:spacing w:after="0" w:line="271"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30"/>
                <w:szCs w:val="30"/>
                <w:color w:val="auto"/>
                <w:vertAlign w:val="superscript"/>
              </w:rPr>
              <w:t>(1)</w:t>
            </w:r>
          </w:p>
        </w:tc>
        <w:tc>
          <w:tcPr>
            <w:tcW w:w="340" w:type="dxa"/>
            <w:vAlign w:val="bottom"/>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29,918</w:t>
            </w:r>
          </w:p>
        </w:tc>
        <w:tc>
          <w:tcPr>
            <w:tcW w:w="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10,862</w:t>
            </w:r>
          </w:p>
        </w:tc>
        <w:tc>
          <w:tcPr>
            <w:tcW w:w="4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17,264</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1,792</w:t>
            </w:r>
          </w:p>
        </w:tc>
        <w:tc>
          <w:tcPr>
            <w:tcW w:w="800" w:type="dxa"/>
            <w:vAlign w:val="bottom"/>
            <w:gridSpan w:val="2"/>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9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9"/>
                <w:szCs w:val="29"/>
                <w:color w:val="auto"/>
                <w:vertAlign w:val="superscript"/>
              </w:rPr>
              <w:t>(2)</w:t>
            </w:r>
          </w:p>
        </w:tc>
        <w:tc>
          <w:tcPr>
            <w:tcW w:w="3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14,504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1,979</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9,056</w:t>
            </w:r>
          </w:p>
        </w:tc>
        <w:tc>
          <w:tcPr>
            <w:tcW w:w="0" w:type="dxa"/>
            <w:vAlign w:val="bottom"/>
          </w:tcPr>
          <w:p>
            <w:pPr>
              <w:spacing w:after="0"/>
              <w:rPr>
                <w:sz w:val="1"/>
                <w:szCs w:val="1"/>
                <w:color w:val="auto"/>
              </w:rPr>
            </w:pPr>
          </w:p>
        </w:tc>
      </w:tr>
      <w:tr>
        <w:trPr>
          <w:trHeight w:val="210"/>
        </w:trPr>
        <w:tc>
          <w:tcPr>
            <w:tcW w:w="19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44,422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19,806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3,771</w:t>
            </w:r>
          </w:p>
        </w:tc>
        <w:tc>
          <w:tcPr>
            <w:tcW w:w="8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9,056</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80" w:right="180" w:hanging="818"/>
        <w:spacing w:after="0" w:line="261"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of the obligations.</w:t>
      </w:r>
    </w:p>
    <w:p>
      <w:pPr>
        <w:spacing w:after="0" w:line="179" w:lineRule="exact"/>
        <w:rPr>
          <w:rFonts w:ascii="Times New Roman" w:cs="Times New Roman" w:eastAsia="Times New Roman" w:hAnsi="Times New Roman"/>
          <w:sz w:val="18"/>
          <w:szCs w:val="18"/>
          <w:color w:val="auto"/>
        </w:rPr>
      </w:pPr>
    </w:p>
    <w:p>
      <w:pPr>
        <w:ind w:left="880" w:hanging="818"/>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various non-cancellable operating lease agreements for our offices in Taiwan and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8" w:name="page49"/>
    <w:bookmarkEnd w:id="48"/>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interest rate fluctuations on our cash, cash equivalents and short-term investments. We had unrestricted cash and cash equivalents of $32.2 million, $22.0 million and $10.7 million at December 31, 2014, 2013 and 2012, respectively. Our cash, cash equivalents and short-term investments are subject to limited interest rate risk and are primarily maintained in money market funds and bank deposits.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various loan agreements with East West Bank in the U.S., China Construction Bank in China and Mega Bank and Chailease Finance Co LTD in Taiwan. As of December 31, 2014:</w:t>
      </w:r>
    </w:p>
    <w:p>
      <w:pPr>
        <w:spacing w:after="0" w:line="162" w:lineRule="exact"/>
        <w:rPr>
          <w:sz w:val="20"/>
          <w:szCs w:val="20"/>
          <w:color w:val="auto"/>
        </w:rPr>
      </w:pPr>
    </w:p>
    <w:p>
      <w:pPr>
        <w:ind w:left="980" w:right="3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line of credit for our U.S.-based loans had a principal balance of $15.0 million, bearing interest at rates based on LIBOR plus 2.75% , maturing on July 15, 2017,</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with a U.S. bank had a principal balance of $5.0 million, with monthly payment of principal and interest at LIBOR plus 2.75%, maturing on July 31, 2019,</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Chinese-based revolving line of credit loan had no outstanding principal balance, bearing interest at 108% of LIBOR or 6.48% ,</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Chinese-based revolving line of credit had a principal balance of $1.1 million, bearing interest at 4.1% or LIBOR of 1.2%,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bank acceptance notes issued to vendors had a balance of $1.3 million, bearing no interest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Taiwanese-based revolving line of credit had a principal balance of $3.5 million, bearing interest at 1.75%, maturing on May 24, 2015,</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Taiwanese-based revolving line of credit had a principal balance of $3.6 million, bearing interest at 1.78%, maturing on June 15, 2015,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Taiwanese-based term loan had $0.4 million principal balance outstanding, with monthly payment of principal and interest at interest rate of 4.95%, maturing on July 30, 2015.</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With respect to our interest expense for the year ended December 31, 2014, an increase or decrease of 1.0% in each of our interest rates would have resulted in an increase of $0.3 million in our interest expense for such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however, because we have revenue and expenses in each of these foreign currencies.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maintain certain assets, including certain bank accounts, accounts receivables, land and building, in RMB and the NT dollar, which are sensitive to foreign currency exchange rate fluctuations. Additionally, certain of our current and long-term liabilities are denominated in these currencies. As of December 31, 2014, fluctuation in RMB and NT dollar currency exchange rates resulted in assets and liabilities denominated in these currencies being translated into an immaterial difference and $0.4 million more U.S. dollars than at December 31, 2013, respectively.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bookmarkStart w:id="49" w:name="page50"/>
    <w:bookmarkEnd w:id="49"/>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Additionally, the value of the RMB against the U.S. dollar and other currencies fluctuates and is affected by, among other things, changes in political and economic conditions in China. The conversion of RMB into foreign currencies, including U.S. dollars, has been based on rates set by the People’s Bank of China. On July 21, 2005, the Chinese government changed its policy of pegging the value of the RMB to the U.S. dollar and began allowing modest appreciation of the RMB against the U.S. dollar. Fluctuation of the RMB exchange rate is, however, restricted to a rise or fall of no more than 0.5% per day versus the U.S. dollar, and the People’s Bank of China continues to intervene in the foreign exchange market to prevent significant short-term fluctuations in the RMB exchange rate. Nevertheless, under China’s current exchange rate regime, the RMB may appreciate or depreciate significantly in value against the U.S. dollar in the medium to long term. The RMB has appreciated 2.65% against the U.S. dollar from January 1, 2012 to December 31, 2014. There remains international pressure on the Chinese government to adopt a substantial liberalization of its currency policy, which could result in a further and more significant appreciation in the value of the RMB against the U.S. dollar.</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a quarterly average rate in 2012 and a monthly average rate in 2013 and 2014.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incurred approximately 47.6% of our operating expenses in currencies other than the U.S. dollar during 2014. As of December 31, 2014, we held the U.S. dollar equivalent of approximately $10.4 million in RMB and $2.1 million in NT dollars, included in cash, cash equivalents and short-term investments. Fluctuations in exchange rates directly affect our cost of revenues and net income, and have a significant impact on fluctuations in our operating margins. For example, in 2014, 96.2% of our revenues were generated from sales denominated in U.S. dollars, and 15.8% of our operating costs and expenses were denominated in RMB and 31.8% of our operating costs were denominated in NT dollars. Fluctuations in exchange rates also affect our balance sheet. For example, if we need to convert U.S. dollars into RMB or NT dollars for our operations, appreciation of the RMB or the NT dollar against the U.S. dollar would have an adverse effect on the RMB or NT dollar amount that we receive from the conversion. With respect to our total cash and short-term investments as of December 31, 2014, a 1.0% change in the exchange rates between the RMB and the U.S. dollar would result in a $0.1 million change in our total cash and short-term investments, and a 1.0% change in the exchange rates between the NT dollar and the U.S. dollar would result in an immaterial change in our total cash, cash equivalents and short-term investments.</w:t>
      </w:r>
    </w:p>
    <w:p>
      <w:pPr>
        <w:spacing w:after="0" w:line="18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Fluctuations in currency exchange rates of the above currencies we hold against the U.S. dollar would have a corresponding impact on the U.S. dollar equivalent of such currencies included in the cash, cash equivalents and short-term investments reported in our financial statements from period to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During 2014, 2013 and 2012,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B to our consolidated financial statements appearing elsewhere in this prospectus, the following accounting policies involve a greater degree of judgment and complexity. Accordingly, we believe these are the most critical to fully understand and evaluate our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performance obligations have been satisfied, the price is fixed or determinable and collectability is reasonably assured. Contracts or customer purchase orders are used to determine the existence of an arrangement. Shipping documents are used to verify delivery. We assess whether the price is fixed or determinable based on the payment terms associated with the transaction. We assess collectability based primarily on the creditworthiness of the customer as determined by credit checks and the customer’s payment history. Customers are generally extended net 30 credit terms from the date of shipment, with some extensions for some more creditworthy customers.</w:t>
      </w:r>
    </w:p>
    <w:p>
      <w:pPr>
        <w:spacing w:after="0" w:line="18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 sales taxes and any similar assessments. We provided a limited warranty as part of our standard terms and conditions of sale. This warranty provides for the repair or replacement of our products, at our discretion, that we determined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our ordinary course of business, we may enter into new product development agreements to design, customize and develop new products for our customers. Such new product development agreements often involves material cost and engineering hours and therefore non-recurring engineering service (NRE) charges are agreed upon for the customer to reimburse our related costs. We adopt the milestone method in revenue recognition for NRE revenues by using cost-input measurement. We capitalize cost input up to the contractual agreement amount and recognize NRE revenues based upon the agreement schedule. Contracts or customer purchase orders are often used to determine the existence of service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Stock option fair value is calculated on the date of grant using the Black-Scholes valuation model. The compensation cost is then recognized on a straight-line basis over the requisite service period of the option, which is generally the option vesting term of four years. The Black-Scholes valuation model requires us to estimate key assumptions such as expected term, volatility, dividend yield and risk-free interest rates that determine the stock option fair value. In addition, we estimate forfeitures at the time of grant. As there had been no market for our common stock prior to our initial public offering,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We use a risk free interest rate based on the 10-year Treasury as reported during the period. The expected term of the options has been determined utilizing the simplified method which calculates a simple average based on vesting period and option life. We do not anticipate paying dividends in the near future. Estimated forfeitures are based on historical experience and future work force projections.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In those cases where we determine that the useful life of an asset should be revised, we depreciate the remaining net book value over the new estimated useful life.</w:t>
      </w:r>
    </w:p>
    <w:p>
      <w:pPr>
        <w:spacing w:after="0" w:line="184"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2014 or 2013.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inventories</w:t>
      </w:r>
    </w:p>
    <w:p>
      <w:pPr>
        <w:spacing w:after="0" w:line="227"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2014, 2013 and 2012, we recorded excess and obsolete inventory charges of $0.9 million, $0.5 million, and $0.9 million, respectively.</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established accounting policy to write down value of obsolescence inventory. The policy provided reserves based upon inventory aging over 180 days with 10% of loss reserve and increased loss percentage in 180 days interval and up to 100% loss reserve when aging over 720 days. The loss percentage is reduced for company’s new advanced technology products with a maximum of 35% loss reserve after aging over 360 days. The policy provides for aging of inventory as follows:</w:t>
      </w:r>
    </w:p>
    <w:p>
      <w:pPr>
        <w:spacing w:after="0" w:line="180" w:lineRule="exact"/>
        <w:rPr>
          <w:sz w:val="20"/>
          <w:szCs w:val="20"/>
          <w:color w:val="auto"/>
        </w:rPr>
      </w:pPr>
    </w:p>
    <w:p>
      <w:pPr>
        <w:ind w:left="1220" w:hanging="402"/>
        <w:spacing w:after="0"/>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180 days but Less than 360 days—10%</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360 and 540 days—50% ( except 35% for advanced technology products)</w:t>
      </w:r>
    </w:p>
    <w:p>
      <w:pPr>
        <w:spacing w:after="0" w:line="225" w:lineRule="exact"/>
        <w:rPr>
          <w:sz w:val="20"/>
          <w:szCs w:val="20"/>
          <w:color w:val="auto"/>
        </w:rPr>
      </w:pPr>
    </w:p>
    <w:p>
      <w:pPr>
        <w:ind w:left="820"/>
        <w:spacing w:after="0"/>
        <w:tabs>
          <w:tab w:leader="none" w:pos="1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Between 540 and 720 days—80%  ( except 35% for advanced technology products)</w:t>
      </w:r>
    </w:p>
    <w:p>
      <w:pPr>
        <w:spacing w:after="0" w:line="225" w:lineRule="exact"/>
        <w:rPr>
          <w:sz w:val="20"/>
          <w:szCs w:val="20"/>
          <w:color w:val="auto"/>
        </w:rPr>
      </w:pPr>
    </w:p>
    <w:p>
      <w:pPr>
        <w:ind w:left="1220" w:hanging="402"/>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720 days—100% (except 35% for advanced technology products)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considered the following factors in our determination of the appropriate reserve level: how often we buy material in bulk that lasts for more than 12 months of supply; changes in material costs over a 24 month period;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11D1E"/>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2014-09”). The standard provides companies with a single model for use in accounting for revenue arising from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customers and supersedes current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ASU 2014-09 is effective for annual reporting periods beginning after December 15, 2016. Early adoption is not permitted. The guidance permits companies to either apply the requirements retrospectively to all prior periods presented, or apply the requirements in the year of adoption, through a cumulative adjustment. We are in the process of evaluating the impact of adoption on our consolidated financial statements.</w:t>
      </w:r>
    </w:p>
    <w:p>
      <w:pPr>
        <w:spacing w:after="0" w:line="18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on pages F-1 through F-28 of this Annual Report on Form 10-K</w:t>
      </w:r>
    </w:p>
    <w:p>
      <w:pPr>
        <w:spacing w:after="0" w:line="1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8" w:lineRule="exact"/>
        <w:rPr>
          <w:sz w:val="20"/>
          <w:szCs w:val="20"/>
          <w:color w:val="auto"/>
        </w:rPr>
      </w:pPr>
    </w:p>
    <w:p>
      <w:pPr>
        <w:ind w:left="820" w:hanging="407"/>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2014. Based upon such evaluation, our Chief Executive Officer and Chief Financial Officer have concluded that our disclosure controls and procedures were effective as of such date.</w:t>
      </w:r>
    </w:p>
    <w:p>
      <w:pPr>
        <w:spacing w:after="0" w:line="176" w:lineRule="exact"/>
        <w:rPr>
          <w:sz w:val="20"/>
          <w:szCs w:val="20"/>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53" w:name="page54"/>
    <w:bookmarkEnd w:id="53"/>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regarding our directors is incorporated herein by reference from the information contained in our definitive Proxy Statement for the 2015 Annual Meeting of Stockholders (our “Proxy Statement”), a copy of which will be filed with the Securities and Exchange Commission within 120 days after the end of our fiscal year ended December 31, 2014.</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regarding our executive officers is incorporated herein by reference from the information contained in the section entitled “Management” in our Proxy Statement.</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regarding Section 16(a) beneficial ownership reporting compliance is incorporated by reference from the information contained in our Proxy Statement.</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Adoption of Code of Ethics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2014.</w:t>
      </w:r>
    </w:p>
    <w:p>
      <w:pPr>
        <w:spacing w:after="0" w:line="17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regarding the compensation of our directors and executive officers is incorporated herein by reference from the information contained in the sections entitled “Executive Compensation,” and “Director Compensation,” “Compensation Committee Report” in our Proxy Statement.</w:t>
      </w:r>
    </w:p>
    <w:p>
      <w:pPr>
        <w:spacing w:after="0" w:line="1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regarding securities authorized for issuance our equity compensation plans is incorporated herein by reference from the information contained in the section entitled “Employee Benefit Plans” in our Proxy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4" w:name="page55"/>
    <w:bookmarkEnd w:id="54"/>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regarding related transactions is incorporated herein by reference from the information contained in our Proxy Statement.</w:t>
      </w:r>
    </w:p>
    <w:p>
      <w:pPr>
        <w:spacing w:after="0" w:line="22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2014.</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which follows the signature page of this Annual Report on Form 10-K, which is incorporated herein by reference.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as the information required to be set forth therein is included in the Consolidated Financial Statements or Notes thereto appearing in this Annual Report on Form 10-K.</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90" w:right="27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Form 10-K to be signed on its behalf by the undersigned, thereunto duly authorized, on March 5, 2015.</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229"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tc>
      </w:tr>
      <w:tr>
        <w:trPr>
          <w:trHeight w:val="189"/>
        </w:trPr>
        <w:tc>
          <w:tcPr>
            <w:tcW w:w="560" w:type="dxa"/>
            <w:vAlign w:val="bottom"/>
          </w:tcPr>
          <w:p>
            <w:pPr>
              <w:spacing w:after="0"/>
              <w:rPr>
                <w:sz w:val="16"/>
                <w:szCs w:val="16"/>
                <w:color w:val="auto"/>
              </w:rPr>
            </w:pPr>
          </w:p>
        </w:tc>
        <w:tc>
          <w:tcPr>
            <w:tcW w:w="4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Chih-Hsiang (Thompson) Lin,</w:t>
            </w:r>
          </w:p>
        </w:tc>
      </w:tr>
      <w:tr>
        <w:trPr>
          <w:trHeight w:val="216"/>
        </w:trPr>
        <w:tc>
          <w:tcPr>
            <w:tcW w:w="560" w:type="dxa"/>
            <w:vAlign w:val="bottom"/>
          </w:tcPr>
          <w:p>
            <w:pPr>
              <w:spacing w:after="0"/>
              <w:rPr>
                <w:sz w:val="18"/>
                <w:szCs w:val="18"/>
                <w:color w:val="auto"/>
              </w:rPr>
            </w:pPr>
          </w:p>
        </w:tc>
        <w:tc>
          <w:tcPr>
            <w:tcW w:w="4900" w:type="dxa"/>
            <w:vAlign w:val="bottom"/>
          </w:tcPr>
          <w:p>
            <w:pPr>
              <w:ind w:left="9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w:t>
            </w:r>
          </w:p>
        </w:tc>
      </w:tr>
      <w:tr>
        <w:trPr>
          <w:trHeight w:val="236"/>
        </w:trPr>
        <w:tc>
          <w:tcPr>
            <w:tcW w:w="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Form 10-K has been signed by the following persons in the capacities and on the dates indicated.</w:t>
      </w:r>
    </w:p>
    <w:p>
      <w:pPr>
        <w:spacing w:after="0" w:line="158" w:lineRule="exact"/>
        <w:rPr>
          <w:sz w:val="20"/>
          <w:szCs w:val="20"/>
          <w:color w:val="auto"/>
        </w:rPr>
      </w:pPr>
    </w:p>
    <w:p>
      <w:pPr>
        <w:ind w:left="264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-130810</wp:posOffset>
            </wp:positionV>
            <wp:extent cx="38074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ind w:left="1900" w:right="2100" w:hanging="187"/>
        <w:spacing w:after="0" w:line="257" w:lineRule="auto"/>
        <w:rPr>
          <w:sz w:val="20"/>
          <w:szCs w:val="20"/>
          <w:color w:val="auto"/>
        </w:rPr>
      </w:pPr>
      <w:r>
        <w:rPr>
          <w:rFonts w:ascii="Times New Roman" w:cs="Times New Roman" w:eastAsia="Times New Roman" w:hAnsi="Times New Roman"/>
          <w:sz w:val="18"/>
          <w:szCs w:val="18"/>
          <w:i w:val="1"/>
          <w:iCs w:val="1"/>
          <w:color w:val="auto"/>
        </w:rPr>
        <w:t>President, Chief Executive Officer and</w:t>
      </w:r>
      <w:r>
        <w:rPr>
          <w:sz w:val="20"/>
          <w:szCs w:val="20"/>
          <w:color w:val="auto"/>
        </w:rPr>
        <w:t xml:space="preserve"> </w:t>
      </w:r>
      <w:r>
        <w:rPr>
          <w:rFonts w:ascii="Times New Roman" w:cs="Times New Roman" w:eastAsia="Times New Roman" w:hAnsi="Times New Roman"/>
          <w:sz w:val="18"/>
          <w:szCs w:val="18"/>
          <w:color w:val="auto"/>
        </w:rPr>
        <w:t xml:space="preserve">March 5, 2015 </w:t>
      </w:r>
      <w:r>
        <w:rPr>
          <w:rFonts w:ascii="Times New Roman" w:cs="Times New Roman" w:eastAsia="Times New Roman" w:hAnsi="Times New Roman"/>
          <w:sz w:val="18"/>
          <w:szCs w:val="18"/>
          <w:i w:val="1"/>
          <w:iCs w:val="1"/>
          <w:color w:val="auto"/>
        </w:rPr>
        <w:t>Chairman of the Board of Directors</w:t>
      </w:r>
    </w:p>
    <w:p>
      <w:pPr>
        <w:spacing w:after="0" w:line="21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7"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-130810</wp:posOffset>
            </wp:positionV>
            <wp:extent cx="3807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ind w:left="1980" w:right="2100" w:firstLine="27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Chief Financial Officer </w:t>
      </w:r>
      <w:r>
        <w:rPr>
          <w:rFonts w:ascii="Times New Roman" w:cs="Times New Roman" w:eastAsia="Times New Roman" w:hAnsi="Times New Roman"/>
          <w:sz w:val="18"/>
          <w:szCs w:val="18"/>
          <w:color w:val="auto"/>
        </w:rPr>
        <w:t>March 5, 2015</w:t>
      </w:r>
      <w:r>
        <w:rPr>
          <w:rFonts w:ascii="Times New Roman" w:cs="Times New Roman" w:eastAsia="Times New Roman" w:hAnsi="Times New Roman"/>
          <w:sz w:val="18"/>
          <w:szCs w:val="18"/>
          <w:i w:val="1"/>
          <w:iCs w:val="1"/>
          <w:color w:val="auto"/>
        </w:rPr>
        <w:t xml:space="preserve"> (principal financial officer and</w:t>
      </w:r>
    </w:p>
    <w:p>
      <w:pPr>
        <w:spacing w:after="0" w:line="22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6" w:name="page57"/>
    <w:bookmarkEnd w:id="56"/>
    <w:p>
      <w:pPr>
        <w:ind w:left="19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William H. Yeh</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4476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 Richard B. Black</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4476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pacing w:after="0" w:line="2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Che-Wei Lin</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4476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pacing w:after="0" w:line="2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 Alex Ignatiev</w:t>
      </w:r>
    </w:p>
    <w:p>
      <w:pPr>
        <w:spacing w:after="0" w:line="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Alex Ignatiev,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44767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Alan Moore</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Alan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44767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 Min-Chu (Mike) Chen</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4476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ectPr>
          <w:pgSz w:w="11900" w:h="16838" w:orient="portrait"/>
          <w:cols w:equalWidth="0" w:num="2">
            <w:col w:w="6880" w:space="720"/>
            <w:col w:w="1419"/>
          </w:cols>
          <w:pgMar w:left="1440" w:top="873"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420" w:type="dxa"/>
            <w:vAlign w:val="bottom"/>
            <w:gridSpan w:val="2"/>
          </w:tcPr>
          <w:p>
            <w:pPr>
              <w:ind w:left="39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820" w:type="dxa"/>
            <w:vAlign w:val="bottom"/>
          </w:tcPr>
          <w:p>
            <w:pPr>
              <w:spacing w:after="0"/>
              <w:rPr>
                <w:sz w:val="20"/>
                <w:szCs w:val="20"/>
                <w:color w:val="auto"/>
              </w:rPr>
            </w:pPr>
          </w:p>
        </w:tc>
        <w:tc>
          <w:tcPr>
            <w:tcW w:w="2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0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vMerge w:val="continue"/>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vMerge w:val="continue"/>
          </w:tcPr>
          <w:p>
            <w:pPr>
              <w:spacing w:after="0"/>
              <w:rPr>
                <w:sz w:val="18"/>
                <w:szCs w:val="18"/>
                <w:color w:val="auto"/>
              </w:rPr>
            </w:pPr>
          </w:p>
        </w:tc>
        <w:tc>
          <w:tcPr>
            <w:tcW w:w="51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5420" w:type="dxa"/>
            <w:vAlign w:val="bottom"/>
            <w:gridSpan w:val="2"/>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w:t>
            </w:r>
          </w:p>
        </w:tc>
        <w:tc>
          <w:tcPr>
            <w:tcW w:w="820" w:type="dxa"/>
            <w:vAlign w:val="bottom"/>
            <w:shd w:val="clear" w:color="auto" w:fill="EEEEEE"/>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14,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as currently in effect</w:t>
            </w:r>
          </w:p>
        </w:tc>
        <w:tc>
          <w:tcPr>
            <w:tcW w:w="82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the registrant, as currently in effect</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November 14,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Shareholders’ Agreement</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5420" w:type="dxa"/>
            <w:vAlign w:val="bottom"/>
            <w:gridSpan w:val="2"/>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Form of Indemnification Agreement between the registrant each of</w:t>
            </w:r>
          </w:p>
        </w:tc>
        <w:tc>
          <w:tcPr>
            <w:tcW w:w="820" w:type="dxa"/>
            <w:vAlign w:val="bottom"/>
            <w:shd w:val="clear" w:color="auto" w:fill="EEEEEE"/>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its Directors and certain of its Executive Officers</w:t>
            </w:r>
          </w:p>
        </w:tc>
        <w:tc>
          <w:tcPr>
            <w:tcW w:w="82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1998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Stock Option Agreement under 1998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10.2.1</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Stock Option Agreement under 1998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10.2.2</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2000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Stock Option Agreement under 2000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10.3.1</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Stock Option Agreement under 2000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10.3.2</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2004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Stock Option Agreement under 2004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10.4.1</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2006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First Amendment to 2006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10.5.1</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27,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Form of Stock Option Agreement under 2006 Incentive Share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10.5.2</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August 27,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2013 Equity Incentive Plan</w:t>
            </w:r>
          </w:p>
        </w:tc>
        <w:tc>
          <w:tcPr>
            <w:tcW w:w="820" w:type="dxa"/>
            <w:vAlign w:val="bottom"/>
            <w:shd w:val="clear" w:color="auto" w:fill="EEEEEE"/>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November 14, 2013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spacing w:after="0" w:line="198" w:lineRule="exact"/>
              <w:rPr>
                <w:sz w:val="20"/>
                <w:szCs w:val="20"/>
                <w:color w:val="auto"/>
              </w:rPr>
            </w:pPr>
            <w:r>
              <w:rPr>
                <w:rFonts w:ascii="Times New Roman" w:cs="Times New Roman" w:eastAsia="Times New Roman" w:hAnsi="Times New Roman"/>
                <w:sz w:val="18"/>
                <w:szCs w:val="18"/>
                <w:color w:val="auto"/>
              </w:rPr>
              <w:t>10.6.1†</w:t>
            </w:r>
          </w:p>
        </w:tc>
        <w:tc>
          <w:tcPr>
            <w:tcW w:w="5420" w:type="dxa"/>
            <w:vAlign w:val="bottom"/>
            <w:gridSpan w:val="2"/>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Form of Restricted Stock Award Agreement under 2013 Equity</w:t>
            </w:r>
          </w:p>
        </w:tc>
        <w:tc>
          <w:tcPr>
            <w:tcW w:w="820" w:type="dxa"/>
            <w:vAlign w:val="bottom"/>
            <w:shd w:val="clear" w:color="auto" w:fill="EEEEEE"/>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10.6.1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42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Incentive Plan</w:t>
            </w:r>
          </w:p>
        </w:tc>
        <w:tc>
          <w:tcPr>
            <w:tcW w:w="82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0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vMerge w:val="continue"/>
          </w:tcPr>
          <w:p>
            <w:pPr>
              <w:spacing w:after="0"/>
              <w:rPr>
                <w:sz w:val="18"/>
                <w:szCs w:val="18"/>
                <w:color w:val="auto"/>
              </w:rPr>
            </w:pPr>
          </w:p>
        </w:tc>
        <w:tc>
          <w:tcPr>
            <w:tcW w:w="5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spacing w:after="0" w:line="198" w:lineRule="exact"/>
              <w:rPr>
                <w:sz w:val="20"/>
                <w:szCs w:val="20"/>
                <w:color w:val="auto"/>
              </w:rPr>
            </w:pPr>
            <w:r>
              <w:rPr>
                <w:rFonts w:ascii="Times New Roman" w:cs="Times New Roman" w:eastAsia="Times New Roman" w:hAnsi="Times New Roman"/>
                <w:sz w:val="18"/>
                <w:szCs w:val="18"/>
                <w:color w:val="auto"/>
              </w:rPr>
              <w:t>10.6.2†</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Form of Restricted Stock Unit Award Agreement under 2013 Equity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10.6.2</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Incentive Plan</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spacing w:after="0" w:line="198" w:lineRule="exact"/>
              <w:rPr>
                <w:sz w:val="20"/>
                <w:szCs w:val="20"/>
                <w:color w:val="auto"/>
              </w:rPr>
            </w:pPr>
            <w:r>
              <w:rPr>
                <w:rFonts w:ascii="Times New Roman" w:cs="Times New Roman" w:eastAsia="Times New Roman" w:hAnsi="Times New Roman"/>
                <w:sz w:val="18"/>
                <w:szCs w:val="18"/>
                <w:color w:val="auto"/>
              </w:rPr>
              <w:t>10.6.3†</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Form of Stock Appreciation Right Award Agreement under 2013</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10.6.3</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Equity Incentive Plan</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spacing w:after="0" w:line="198" w:lineRule="exact"/>
              <w:rPr>
                <w:sz w:val="20"/>
                <w:szCs w:val="20"/>
                <w:color w:val="auto"/>
              </w:rPr>
            </w:pPr>
            <w:r>
              <w:rPr>
                <w:rFonts w:ascii="Times New Roman" w:cs="Times New Roman" w:eastAsia="Times New Roman" w:hAnsi="Times New Roman"/>
                <w:sz w:val="18"/>
                <w:szCs w:val="18"/>
                <w:color w:val="auto"/>
              </w:rPr>
              <w:t>10.6.4†</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Form of Notice of Stock Option Award and Stock Option Award</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10.6.4</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Agreement under 2013 Equity Incentive Plan</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Lease Agreement effective May 1, 2012 between the registrant and</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12808 W. Airport, LLC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10.7.1</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First Amendment to Lease Agreement effective June 15, 2012</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10.7.1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between the registrant and 12808 W. Airport, LLC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10.7.2</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Third Amendment to Office Lease Agreement between the Applied</w:t>
            </w:r>
          </w:p>
        </w:tc>
        <w:tc>
          <w:tcPr>
            <w:tcW w:w="11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25, 2014</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Optoelectronics, Inc. and 12808 Airport, LLC dated July 21, 2014</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Translation of Chinese lease agreement dated January 10, 2012</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between the registrant and Admiral Overseas Corporation for space</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on 4F, NO.700, Jhongjheng Rd., Jhonghe District, New Taipei City</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23552, Taiwan (R.O.C.)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10.8.1</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Translation of Chinese Amendment to Office Lease Agreement dated</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14,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August 28, 2013 between the registrant and Admiral Overseas</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Corporation for space on 4F, No.700, Jhongjheng Rd., Jhonghe</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District, New Taipei City 23552, Taiwan (R.O.C.)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Translation of Chinese lease agreement dated April 1, 2012 between</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the registrant and Admiral Overseas Corporation for space on 6-7F,</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NO.700, Jhongjheng Rd., Jhonghe District, New Taipei City 23552,</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Taiwan (R.O.C.)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10.9.1</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Translation of Chinese Amendment to Office Lease Agreement dated</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14,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August 28, 2013 between the registrant and Admiral Overseas</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Corporation for space on 6-7F, No.700, Jhongjheng Rd., Jhonghe</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District, New Taipei City 23552, Taiwan (R.O.C.)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4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40" w:type="dxa"/>
            <w:vAlign w:val="bottom"/>
            <w:tcBorders>
              <w:bottom w:val="single" w:sz="8" w:color="auto"/>
            </w:tcBorders>
            <w:vMerge w:val="continue"/>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lease agreement dated September 11, 2013</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14,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between the registrant and Admiral Overseas Corporation for space</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on 5F, No.700, Jhongjheng Rd., Jhonghe District, New Taipei City</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23552, Taiwan (R.O.C.)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Amended and Restated Loan and Security Agreement effective</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10.10</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May 20, 2009 between registrant and United Commercial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10.11.1</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First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May 3, 2010 between the registrant and East</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West Bank (as successor in interest to United Commercial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10.11.2</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Second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10.10.2</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October 28, 2010 between the registrant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10.11.3</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Third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10.10.3</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December 6, 2010 between the registrant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10.11.4</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Fourth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10.10.4</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May 5, 2011 between the registrant and East</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10.11.5</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Fifth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10.10.5</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November 30, 2011 between the registrant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10.11.6</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Sixth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10.10.6</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March 29, 2012 between the registrant and East</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10.11.7</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Seventh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10.10.7</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June 29, 2012 between the registrant and East</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458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4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40" w:type="dxa"/>
            <w:vAlign w:val="bottom"/>
            <w:tcBorders>
              <w:bottom w:val="single" w:sz="8" w:color="auto"/>
            </w:tcBorders>
            <w:vMerge w:val="continue"/>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10.11.8</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Eighth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10.10.8</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November 2, 2012 between the registrant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10.11.9</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Ninth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10.10.9</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April 11, 2013 between the registrant and East</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10.11.10</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Tenth Amendment to Amended and Restated Loan and Security</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10.10.10</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11,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September 10, 2013 between the registrant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10.11.11</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Eleventh Amendment to Amended and Restated Loan and Security</w:t>
            </w:r>
          </w:p>
        </w:tc>
        <w:tc>
          <w:tcPr>
            <w:tcW w:w="11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19,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November 13, 2013 between the registrant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10.11.12</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Twelfth Amendment to Amended and Restated Loan and Security</w:t>
            </w:r>
          </w:p>
        </w:tc>
        <w:tc>
          <w:tcPr>
            <w:tcW w:w="11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17, 2013</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effective December 11, 2013 between the registrant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10.11.13</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form of RMB Working Capital Loan</w:t>
            </w:r>
          </w:p>
        </w:tc>
        <w:tc>
          <w:tcPr>
            <w:tcW w:w="1140" w:type="dxa"/>
            <w:vAlign w:val="bottom"/>
            <w:shd w:val="clear" w:color="auto" w:fill="EEEEEE"/>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10.11.13</w:t>
            </w:r>
          </w:p>
        </w:tc>
        <w:tc>
          <w:tcPr>
            <w:tcW w:w="152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March 6, 2014</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between the Global Technology Inc. and China</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Construction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form of USD Trust Receipt Loan Agreement</w:t>
            </w:r>
          </w:p>
        </w:tc>
        <w:tc>
          <w:tcPr>
            <w:tcW w:w="1140" w:type="dxa"/>
            <w:vAlign w:val="bottom"/>
            <w:shd w:val="clear" w:color="auto" w:fill="EEEEEE"/>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10.11.12</w:t>
            </w:r>
          </w:p>
        </w:tc>
        <w:tc>
          <w:tcPr>
            <w:tcW w:w="152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March 6, 2014</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between Global Technology Inc. and China Construction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10.13</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Loan Agreement dated December 31, 2013</w:t>
            </w:r>
          </w:p>
        </w:tc>
        <w:tc>
          <w:tcPr>
            <w:tcW w:w="1140" w:type="dxa"/>
            <w:vAlign w:val="bottom"/>
            <w:shd w:val="clear" w:color="auto" w:fill="EEEEEE"/>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10.13</w:t>
            </w:r>
          </w:p>
        </w:tc>
        <w:tc>
          <w:tcPr>
            <w:tcW w:w="152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March 6, 2014</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between the registrant and E. Sun Commercial Bank Co., Ltd.</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Loan Agreement dated December 20, 2013</w:t>
            </w:r>
          </w:p>
        </w:tc>
        <w:tc>
          <w:tcPr>
            <w:tcW w:w="1140" w:type="dxa"/>
            <w:vAlign w:val="bottom"/>
            <w:shd w:val="clear" w:color="auto" w:fill="EEEEEE"/>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10.14</w:t>
            </w:r>
          </w:p>
        </w:tc>
        <w:tc>
          <w:tcPr>
            <w:tcW w:w="152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March 6, 2014</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w w:val="99"/>
              </w:rPr>
              <w:t>between the registrant and Mega International Commercial Bank Co.,</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4580"/>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0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vMerge w:val="continue"/>
          </w:tcPr>
          <w:p>
            <w:pPr>
              <w:spacing w:after="0"/>
              <w:rPr>
                <w:sz w:val="18"/>
                <w:szCs w:val="18"/>
                <w:color w:val="auto"/>
              </w:rPr>
            </w:pPr>
          </w:p>
        </w:tc>
        <w:tc>
          <w:tcPr>
            <w:tcW w:w="5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Employment Agreement regarding Change of Control or Separation</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10.12</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of Service between the registrant and Chih-Hsiang (Thompson) Lin,</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dated January 28, 2007</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380"/>
              <w:spacing w:after="0" w:line="198" w:lineRule="exact"/>
              <w:rPr>
                <w:sz w:val="20"/>
                <w:szCs w:val="20"/>
                <w:color w:val="auto"/>
              </w:rPr>
            </w:pPr>
            <w:r>
              <w:rPr>
                <w:rFonts w:ascii="Times New Roman" w:cs="Times New Roman" w:eastAsia="Times New Roman" w:hAnsi="Times New Roman"/>
                <w:sz w:val="18"/>
                <w:szCs w:val="18"/>
                <w:color w:val="auto"/>
              </w:rPr>
              <w:t>10.15.1†</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Amended and Restated Employment Agreement regarding Change of</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200" w:type="dxa"/>
            <w:vAlign w:val="bottom"/>
            <w:shd w:val="clear" w:color="auto" w:fill="EEEEEE"/>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10.12.1</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Control or Separation of Service between the registrant and Chih-</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Hsiang (Thompson) Lin, dated April 16, 2013</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Employment Agreement regarding Change of Control or Separation</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10.13</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of Service between the registrant and Stefan J. Murry, dated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January 28, 2007</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Employment Agreement regarding Change of Control or Separation</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10.14</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of Service between the registrant and Shu-Hua (Joshua) Yeh, dated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June 1, 2012</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10.17†</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Employment Agreement between the registrant and James L. Dunn,</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10.15</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Jr., dated April 16, 2013</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10.18†</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Employment Agreement between the registrant and Hung-Lun (Fred)</w:t>
            </w:r>
          </w:p>
        </w:tc>
        <w:tc>
          <w:tcPr>
            <w:tcW w:w="11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333-190591</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10.16</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Chang, dated April 16, 2013</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Translation of Lease Agreement dated March 18, 2014 between the</w:t>
            </w:r>
          </w:p>
        </w:tc>
        <w:tc>
          <w:tcPr>
            <w:tcW w:w="11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25, 2014</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Company and Taiwan Furniture Manufacturers’ Association for</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office space at 2F, No. 700, Jhongjheng Rd., Jhonghe District, New</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Taipei City 23552, Taiwan (R.O.C.).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10.20</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Translation of Lease Agreement dated April 1, 2014 between the</w:t>
            </w:r>
          </w:p>
        </w:tc>
        <w:tc>
          <w:tcPr>
            <w:tcW w:w="11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April 7, 2014</w:t>
            </w: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Company and Taiwan Asset Management Corporation for office and</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EEEEE"/>
          </w:tcPr>
          <w:p>
            <w:pPr>
              <w:spacing w:after="0"/>
              <w:rPr>
                <w:sz w:val="18"/>
                <w:szCs w:val="18"/>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manufacturing space at No. 18, Gong 4th Rd., Gong’er Industrial</w:t>
            </w:r>
          </w:p>
        </w:tc>
        <w:tc>
          <w:tcPr>
            <w:tcW w:w="1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Park, Linkou District, New Taipei City 244, Taiwan (R.O.C.)</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520"/>
              <w:spacing w:after="0" w:line="198" w:lineRule="exact"/>
              <w:rPr>
                <w:sz w:val="20"/>
                <w:szCs w:val="20"/>
                <w:color w:val="auto"/>
              </w:rPr>
            </w:pPr>
            <w:r>
              <w:rPr>
                <w:rFonts w:ascii="Times New Roman" w:cs="Times New Roman" w:eastAsia="Times New Roman" w:hAnsi="Times New Roman"/>
                <w:sz w:val="18"/>
                <w:szCs w:val="18"/>
                <w:color w:val="auto"/>
              </w:rPr>
              <w:t>10.21</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Business Loan Agreement, dated July 15, 2014, between Applied</w:t>
            </w:r>
          </w:p>
        </w:tc>
        <w:tc>
          <w:tcPr>
            <w:tcW w:w="1140" w:type="dxa"/>
            <w:vAlign w:val="bottom"/>
            <w:shd w:val="clear" w:color="auto" w:fill="EEEEEE"/>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001-36083</w:t>
            </w:r>
          </w:p>
        </w:tc>
        <w:tc>
          <w:tcPr>
            <w:tcW w:w="1200" w:type="dxa"/>
            <w:vAlign w:val="bottom"/>
            <w:shd w:val="clear" w:color="auto" w:fill="EEEEEE"/>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18, 2014</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Optoelectronics, Inc. and 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380"/>
              <w:spacing w:after="0" w:line="198" w:lineRule="exact"/>
              <w:rPr>
                <w:sz w:val="20"/>
                <w:szCs w:val="20"/>
                <w:color w:val="auto"/>
              </w:rPr>
            </w:pPr>
            <w:r>
              <w:rPr>
                <w:rFonts w:ascii="Times New Roman" w:cs="Times New Roman" w:eastAsia="Times New Roman" w:hAnsi="Times New Roman"/>
                <w:sz w:val="18"/>
                <w:szCs w:val="18"/>
                <w:color w:val="auto"/>
              </w:rPr>
              <w:t>10.21.1</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Commercial Security Agreement, dated July 15, 2014, between</w:t>
            </w:r>
          </w:p>
        </w:tc>
        <w:tc>
          <w:tcPr>
            <w:tcW w:w="11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18, 2014</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Applied Optoelectronics, Inc. and 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EEEEEE"/>
          </w:tcPr>
          <w:p>
            <w:pPr>
              <w:ind w:left="380"/>
              <w:spacing w:after="0" w:line="198" w:lineRule="exact"/>
              <w:rPr>
                <w:sz w:val="20"/>
                <w:szCs w:val="20"/>
                <w:color w:val="auto"/>
              </w:rPr>
            </w:pPr>
            <w:r>
              <w:rPr>
                <w:rFonts w:ascii="Times New Roman" w:cs="Times New Roman" w:eastAsia="Times New Roman" w:hAnsi="Times New Roman"/>
                <w:sz w:val="18"/>
                <w:szCs w:val="18"/>
                <w:color w:val="auto"/>
              </w:rPr>
              <w:t>10.21.2</w:t>
            </w:r>
          </w:p>
        </w:tc>
        <w:tc>
          <w:tcPr>
            <w:tcW w:w="510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Promissory Note, dated July 15, 2014, between Applied</w:t>
            </w:r>
          </w:p>
        </w:tc>
        <w:tc>
          <w:tcPr>
            <w:tcW w:w="114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2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4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18, 2014</w:t>
            </w:r>
          </w:p>
        </w:tc>
        <w:tc>
          <w:tcPr>
            <w:tcW w:w="0" w:type="dxa"/>
            <w:vAlign w:val="bottom"/>
          </w:tcPr>
          <w:p>
            <w:pPr>
              <w:spacing w:after="0"/>
              <w:rPr>
                <w:sz w:val="1"/>
                <w:szCs w:val="1"/>
                <w:color w:val="auto"/>
              </w:rPr>
            </w:pPr>
          </w:p>
        </w:tc>
      </w:tr>
      <w:tr>
        <w:trPr>
          <w:trHeight w:val="234"/>
        </w:trPr>
        <w:tc>
          <w:tcPr>
            <w:tcW w:w="1080" w:type="dxa"/>
            <w:vAlign w:val="bottom"/>
            <w:shd w:val="clear" w:color="auto" w:fill="EEEEEE"/>
          </w:tcPr>
          <w:p>
            <w:pPr>
              <w:spacing w:after="0"/>
              <w:rPr>
                <w:sz w:val="20"/>
                <w:szCs w:val="20"/>
                <w:color w:val="auto"/>
              </w:rPr>
            </w:pPr>
          </w:p>
        </w:tc>
        <w:tc>
          <w:tcPr>
            <w:tcW w:w="51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Optoelectronics, Inc. and East West Bank</w:t>
            </w:r>
          </w:p>
        </w:tc>
        <w:tc>
          <w:tcPr>
            <w:tcW w:w="114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4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40" w:type="dxa"/>
            <w:vAlign w:val="bottom"/>
            <w:tcBorders>
              <w:bottom w:val="single" w:sz="8" w:color="auto"/>
            </w:tcBorders>
            <w:vMerge w:val="continue"/>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91"/>
        </w:trPr>
        <w:tc>
          <w:tcPr>
            <w:tcW w:w="1040" w:type="dxa"/>
            <w:vAlign w:val="bottom"/>
            <w:shd w:val="clear" w:color="auto" w:fill="EEEEEE"/>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10.22</w:t>
            </w:r>
          </w:p>
        </w:tc>
        <w:tc>
          <w:tcPr>
            <w:tcW w:w="5140" w:type="dxa"/>
            <w:vAlign w:val="bottom"/>
            <w:shd w:val="clear" w:color="auto" w:fill="EEEEEE"/>
          </w:tcPr>
          <w:p>
            <w:pPr>
              <w:ind w:left="120"/>
              <w:spacing w:after="0" w:line="191" w:lineRule="exact"/>
              <w:rPr>
                <w:sz w:val="20"/>
                <w:szCs w:val="20"/>
                <w:color w:val="auto"/>
              </w:rPr>
            </w:pPr>
            <w:r>
              <w:rPr>
                <w:rFonts w:ascii="Times New Roman" w:cs="Times New Roman" w:eastAsia="Times New Roman" w:hAnsi="Times New Roman"/>
                <w:sz w:val="18"/>
                <w:szCs w:val="18"/>
                <w:color w:val="auto"/>
              </w:rPr>
              <w:t>Business Loan Agreement, dated July 31, 2014, between Applied</w:t>
            </w:r>
          </w:p>
        </w:tc>
        <w:tc>
          <w:tcPr>
            <w:tcW w:w="1160" w:type="dxa"/>
            <w:vAlign w:val="bottom"/>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August 5, 2014</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Optoelectronics, Inc. and East West Bank</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10.22.1</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Commercial Security Agreement, dated July 31, 2014, between</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5, 2014</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Applied Optoelectronics, Inc. and East West Bank</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10.22.2</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Promissory Note, dated July 31, 2014, between Applied</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5, 2014</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Optoelectronics, Inc. and East West Bank</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10.23</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form of RMB Working Capital Loan</w:t>
            </w:r>
          </w:p>
        </w:tc>
        <w:tc>
          <w:tcPr>
            <w:tcW w:w="116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12, 2014</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between the Global Technology Inc. and China</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w w:val="99"/>
              </w:rPr>
              <w:t>Construction Bank – Revolving line of credit with a China bank up to</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$12 million (Schedule updated as of June 30, 2014)</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10.24</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form of USD Trust Receipt Loan Agreement</w:t>
            </w:r>
          </w:p>
        </w:tc>
        <w:tc>
          <w:tcPr>
            <w:tcW w:w="116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12, 2014</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between Global Technology Inc. and China Construction Bank -</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Revolving line of credit with a China bank up to $3.3 million</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(Schedule updated as of June 30, 2014)</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10.25</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form of RMB Working Capital Loan</w:t>
            </w:r>
          </w:p>
        </w:tc>
        <w:tc>
          <w:tcPr>
            <w:tcW w:w="116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12, 2014</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 between the Global Technology Inc. and China</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w w:val="99"/>
              </w:rPr>
              <w:t>Construction Bank – Revolving line of credit with a China bank up to</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$12 million (Schedule updated as of September 30, 2014)</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10.26</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Translation of Chinese form of USD Trust Receipt Loan Agreement</w:t>
            </w:r>
          </w:p>
        </w:tc>
        <w:tc>
          <w:tcPr>
            <w:tcW w:w="116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12, 2014</w:t>
            </w: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between Global Technology Inc. and China Construction Bank -</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Revolving line of credit with a China bank up to $3.3 million</w:t>
            </w:r>
          </w:p>
        </w:tc>
        <w:tc>
          <w:tcPr>
            <w:tcW w:w="1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(Schedule updated as of September 30, 2014)</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10.27</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Loan Agreement, dated January 6, 2015, between Applied</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12, 2015</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Optoelectronics, Inc. and CTBC Bank Co. Ltd.</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10.28</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Construction Loan Agreement, dated January 26, 2015, between</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30, 2015</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Applied Optoelectronics, Inc. and East West Bank</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10.28.1</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Commercial Security Agreement, dated January 26, 2015, between</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30, 2015</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Applied Optoelectronics, Inc. and East West Bank</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10.28.2</w:t>
            </w:r>
          </w:p>
        </w:tc>
        <w:tc>
          <w:tcPr>
            <w:tcW w:w="514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Promissory Note, dated January 26, 2015, between Applied</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001-36083</w:t>
            </w:r>
          </w:p>
        </w:tc>
        <w:tc>
          <w:tcPr>
            <w:tcW w:w="11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52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30, 2015</w:t>
            </w:r>
          </w:p>
        </w:tc>
        <w:tc>
          <w:tcPr>
            <w:tcW w:w="0" w:type="dxa"/>
            <w:vAlign w:val="bottom"/>
          </w:tcPr>
          <w:p>
            <w:pPr>
              <w:spacing w:after="0"/>
              <w:rPr>
                <w:sz w:val="1"/>
                <w:szCs w:val="1"/>
                <w:color w:val="auto"/>
              </w:rPr>
            </w:pPr>
          </w:p>
        </w:tc>
      </w:tr>
      <w:tr>
        <w:trPr>
          <w:trHeight w:val="234"/>
        </w:trPr>
        <w:tc>
          <w:tcPr>
            <w:tcW w:w="1040" w:type="dxa"/>
            <w:vAlign w:val="bottom"/>
            <w:shd w:val="clear" w:color="auto" w:fill="EEEEEE"/>
          </w:tcPr>
          <w:p>
            <w:pPr>
              <w:spacing w:after="0"/>
              <w:rPr>
                <w:sz w:val="20"/>
                <w:szCs w:val="20"/>
                <w:color w:val="auto"/>
              </w:rPr>
            </w:pPr>
          </w:p>
        </w:tc>
        <w:tc>
          <w:tcPr>
            <w:tcW w:w="51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Optoelectronics, Inc. and East West Bank</w:t>
            </w:r>
          </w:p>
        </w:tc>
        <w:tc>
          <w:tcPr>
            <w:tcW w:w="1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4580"/>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63" w:name="page64"/>
    <w:bookmarkEnd w:id="63"/>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40" w:type="dxa"/>
            <w:vAlign w:val="bottom"/>
            <w:vMerge w:val="continue"/>
          </w:tcPr>
          <w:p>
            <w:pPr>
              <w:spacing w:after="0"/>
              <w:rPr>
                <w:sz w:val="19"/>
                <w:szCs w:val="19"/>
                <w:color w:val="auto"/>
              </w:rPr>
            </w:pPr>
          </w:p>
        </w:tc>
        <w:tc>
          <w:tcPr>
            <w:tcW w:w="4280" w:type="dxa"/>
            <w:vAlign w:val="bottom"/>
            <w:vMerge w:val="continue"/>
          </w:tcPr>
          <w:p>
            <w:pPr>
              <w:spacing w:after="0"/>
              <w:rPr>
                <w:sz w:val="19"/>
                <w:szCs w:val="19"/>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557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10.29*  Translation of Chinese form of RMB Working Capital Loan</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Agreement between the Global Technology Inc. and China</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Construction Bank – Revolving line of credit with a China bank up to</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$12 million (Schedule updated as of December 31, 2014)</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10.30*  Translation of Chinese form of USD Trust Receipt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between Global Technology Inc. and China Construction Bank -</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Revolving line of credit with a China bank up to $3.3 million</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(Schedule updated as of December 31, 2014)</w:t>
      </w:r>
    </w:p>
    <w:p>
      <w:pPr>
        <w:spacing w:after="0" w:line="207" w:lineRule="exact"/>
        <w:rPr>
          <w:sz w:val="20"/>
          <w:szCs w:val="20"/>
          <w:color w:val="auto"/>
        </w:rPr>
      </w:pPr>
    </w:p>
    <w:p>
      <w:pPr>
        <w:ind w:left="620"/>
        <w:spacing w:after="0"/>
        <w:tabs>
          <w:tab w:leader="none" w:pos="1140" w:val="left"/>
          <w:tab w:leader="none" w:pos="6660" w:val="left"/>
          <w:tab w:leader="none" w:pos="7600" w:val="left"/>
          <w:tab w:leader="none" w:pos="9140" w:val="left"/>
          <w:tab w:leader="none" w:pos="10060" w:val="left"/>
        </w:tabs>
        <w:rPr>
          <w:sz w:val="20"/>
          <w:szCs w:val="20"/>
          <w:color w:val="auto"/>
        </w:rPr>
      </w:pPr>
      <w:r>
        <w:rPr>
          <w:rFonts w:ascii="Times New Roman" w:cs="Times New Roman" w:eastAsia="Times New Roman" w:hAnsi="Times New Roman"/>
          <w:sz w:val="18"/>
          <w:szCs w:val="18"/>
          <w:color w:val="auto"/>
        </w:rPr>
        <w:t>21.1</w:t>
        <w:tab/>
        <w:t>Subsidiaries of the registrant</w:t>
      </w:r>
      <w:r>
        <w:rPr>
          <w:sz w:val="20"/>
          <w:szCs w:val="20"/>
          <w:color w:val="auto"/>
        </w:rPr>
        <w:tab/>
      </w: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333-190591</w:t>
      </w:r>
      <w:r>
        <w:rPr>
          <w:sz w:val="20"/>
          <w:szCs w:val="20"/>
          <w:color w:val="auto"/>
        </w:rPr>
        <w:tab/>
      </w: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August 13,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23.1*  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Power of Attorney (see page 56 to this Annual Report on Form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K).</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31.1*  Certification of Principal Executive Officer Required Under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54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13a-14(a) and 15d-14(a) of the Securities Exchange Act of 1934, as</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amended, as adopted pursuant to Section 302 of The Sarbanes-Oxley</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Act of 2002.</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31.2*  Certification of Principal Financial Officer Required Under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548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13a-14(a) and 15d-14(a) of the Securities Exchange Act of 1934, as</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amended, as adopted pursuant to Section 302 of The Sarbanes-Oxley</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Act of 2002.</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32.1*  Certification of Principal Executive Officer and Principal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685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Officer Required Under Rule 13a-14(a) and 15d-14(a) of the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Securities Exchange Act of 1934, as amended, and 18 U.S.C. §1350</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2002.</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9" w:lineRule="exact"/>
        <w:rPr>
          <w:sz w:val="20"/>
          <w:szCs w:val="20"/>
          <w:color w:val="auto"/>
        </w:rPr>
      </w:pPr>
    </w:p>
    <w:p>
      <w:pPr>
        <w:ind w:left="820" w:hanging="812"/>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820" w:hanging="812"/>
        <w:spacing w:after="0" w:line="250"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contained in these XBRL documents is unaudited and these are not the official publicly filed financial statements of Applied Optoelectronics, Inc. The purpose of submitting these XBRL documents is to test the related format and technology, and, as a result, investors should continue to rely on the official filed version of the furnished documents and not rely on this information in making investment decisions. In accordance with Rule 402 of Regulation S-T, the information in these exhibits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w:t>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filing.</w:t>
      </w:r>
    </w:p>
    <w:p>
      <w:pPr>
        <w:spacing w:after="0" w:line="9" w:lineRule="exact"/>
        <w:rPr>
          <w:sz w:val="20"/>
          <w:szCs w:val="20"/>
          <w:color w:val="auto"/>
        </w:rPr>
      </w:pPr>
    </w:p>
    <w:p>
      <w:pPr>
        <w:ind w:left="820" w:hanging="812"/>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560" w:type="dxa"/>
            <w:vAlign w:val="bottom"/>
          </w:tcPr>
          <w:p>
            <w:pPr>
              <w:spacing w:after="0"/>
              <w:rPr>
                <w:sz w:val="20"/>
                <w:szCs w:val="20"/>
                <w:color w:val="auto"/>
              </w:rPr>
            </w:pPr>
          </w:p>
        </w:tc>
      </w:tr>
      <w:tr>
        <w:trPr>
          <w:trHeight w:val="432"/>
        </w:trPr>
        <w:tc>
          <w:tcPr>
            <w:tcW w:w="1086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0"/>
        </w:trPr>
        <w:tc>
          <w:tcPr>
            <w:tcW w:w="10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0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0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0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0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0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10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Applied Optoelectronics, Inc. (a Delaware corporation) and subsidiaries (the “Company”) as of December 31, 2014 and 2013, and the related consolidated statements of operations, comprehensive income (loss), changes in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Applied Optoelectronics, Inc. and subsidiaries as of December 31, 2014 and 2013, and the results of their operations and their cash flows for each of the three years in the period ended December 31, 2014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ind w:left="346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32,175</w:t>
            </w:r>
          </w:p>
        </w:tc>
        <w:tc>
          <w:tcPr>
            <w:tcW w:w="620" w:type="dxa"/>
            <w:vAlign w:val="bottom"/>
            <w:gridSpan w:val="2"/>
            <w:shd w:val="clear" w:color="auto" w:fill="EEEEEE"/>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22,006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8,189</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 trade, net of allowance of $43 and $42, respectively</w:t>
            </w:r>
          </w:p>
        </w:tc>
        <w:tc>
          <w:tcPr>
            <w:tcW w:w="10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31,589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22,089</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33,780</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19,608</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receivable</w:t>
            </w:r>
          </w:p>
        </w:tc>
        <w:tc>
          <w:tcPr>
            <w:tcW w:w="10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6,017</w:t>
            </w: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5,488</w:t>
            </w:r>
          </w:p>
        </w:tc>
        <w:tc>
          <w:tcPr>
            <w:tcW w:w="0" w:type="dxa"/>
            <w:vAlign w:val="bottom"/>
          </w:tcPr>
          <w:p>
            <w:pPr>
              <w:spacing w:after="0"/>
              <w:rPr>
                <w:sz w:val="1"/>
                <w:szCs w:val="1"/>
                <w:color w:val="auto"/>
              </w:rPr>
            </w:pPr>
          </w:p>
        </w:tc>
      </w:tr>
      <w:tr>
        <w:trPr>
          <w:trHeight w:val="210"/>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113,239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 of $32,412 and $28,145, respectively</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64,808</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31,134</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Land use rights, net</w:t>
            </w:r>
          </w:p>
        </w:tc>
        <w:tc>
          <w:tcPr>
            <w:tcW w:w="10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3,833</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 net</w:t>
            </w:r>
          </w:p>
        </w:tc>
        <w:tc>
          <w:tcPr>
            <w:tcW w:w="10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top w:val="single" w:sz="8" w:color="auto"/>
              <w:bottom w:val="single" w:sz="8" w:color="auto"/>
            </w:tcBorders>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183,670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111,057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9,591</w:t>
            </w:r>
          </w:p>
        </w:tc>
        <w:tc>
          <w:tcPr>
            <w:tcW w:w="62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30,799</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15,010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acceptance payable</w:t>
            </w:r>
          </w:p>
        </w:tc>
        <w:tc>
          <w:tcPr>
            <w:tcW w:w="10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6,940</w:t>
            </w: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10"/>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19,057</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68,658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shd w:val="clear" w:color="auto" w:fill="EEEEEE"/>
          </w:tcPr>
          <w:p>
            <w:pPr>
              <w:ind w:left="40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no shares issued and outstanding at December 31, 2014</w:t>
            </w: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or 2013, respectively, $0.001 par value</w:t>
            </w:r>
          </w:p>
        </w:tc>
        <w:tc>
          <w:tcPr>
            <w:tcW w:w="1000" w:type="dxa"/>
            <w:vAlign w:val="bottom"/>
            <w:shd w:val="clear" w:color="auto" w:fill="EEEEEE"/>
          </w:tcPr>
          <w:p>
            <w:pPr>
              <w:spacing w:after="0"/>
              <w:rPr>
                <w:sz w:val="20"/>
                <w:szCs w:val="20"/>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8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 14,824 shares issued and outstanding at December</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31, 2014, $0.001 par value; 12,644 shares issued and outstanding at December 31, 2013, $0.001</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 value</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w w:val="99"/>
              </w:rPr>
              <w:t>192,112</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144,023</w:t>
            </w:r>
          </w:p>
        </w:tc>
        <w:tc>
          <w:tcPr>
            <w:tcW w:w="0" w:type="dxa"/>
            <w:vAlign w:val="bottom"/>
          </w:tcPr>
          <w:p>
            <w:pPr>
              <w:spacing w:after="0"/>
              <w:rPr>
                <w:sz w:val="1"/>
                <w:szCs w:val="1"/>
                <w:color w:val="auto"/>
              </w:rPr>
            </w:pPr>
          </w:p>
        </w:tc>
      </w:tr>
      <w:tr>
        <w:trPr>
          <w:trHeight w:val="216"/>
        </w:trPr>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0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(79,040)</w:t>
            </w: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(83,323)</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115,012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0" w:type="dxa"/>
            <w:vAlign w:val="bottom"/>
            <w:tcBorders>
              <w:bottom w:val="single" w:sz="8" w:color="auto"/>
            </w:tcBorders>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183,670</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111,057</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EEEEEE"/>
            </w:tcBorders>
          </w:tcPr>
          <w:p>
            <w:pPr>
              <w:spacing w:after="0"/>
              <w:rPr>
                <w:sz w:val="19"/>
                <w:szCs w:val="19"/>
                <w:color w:val="auto"/>
              </w:rPr>
            </w:pPr>
          </w:p>
        </w:tc>
        <w:tc>
          <w:tcPr>
            <w:tcW w:w="40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130,449</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78,424</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86,203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44,246</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15,970</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17,095</w:t>
            </w: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10,632</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39,108</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4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tcBorders>
              <w:top w:val="single" w:sz="8" w:color="EEEEEE"/>
              <w:bottom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60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gridSpan w:val="2"/>
            <w:shd w:val="clear" w:color="auto" w:fill="EEEEEE"/>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14,307,477</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9,964,955</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265,576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15,186,961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9,964,955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265,576</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8" w:name="page69"/>
    <w:bookmarkEnd w:id="68"/>
    <w:p>
      <w:pPr>
        <w:jc w:val="center"/>
        <w:ind w:left="260" w:right="266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CONSOLIDATED STATEMENTS OF COMPREHENSIVE INCOME (LOSS)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Borders>
              <w:bottom w:val="single" w:sz="8" w:color="EEEEEE"/>
            </w:tcBorders>
          </w:tcPr>
          <w:p>
            <w:pPr>
              <w:spacing w:after="0"/>
              <w:rPr>
                <w:sz w:val="19"/>
                <w:szCs w:val="19"/>
                <w:color w:val="auto"/>
              </w:rPr>
            </w:pPr>
          </w:p>
        </w:tc>
        <w:tc>
          <w:tcPr>
            <w:tcW w:w="48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EEEEEE"/>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 of $0, $0 and $0</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3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8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9" w:name="page70"/>
    <w:bookmarkEnd w:id="69"/>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CONSOLIDATED STATEMENTS OF STOCKHOLDERS’ EQUITY (DEFICIT) Years ended December 2012, 2013 and 2014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20"/>
                <w:szCs w:val="20"/>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78"/>
        </w:trPr>
        <w:tc>
          <w:tcPr>
            <w:tcW w:w="1380" w:type="dxa"/>
            <w:vAlign w:val="bottom"/>
            <w:tcBorders>
              <w:top w:val="single" w:sz="8" w:color="EEEEEE"/>
            </w:tcBorders>
            <w:shd w:val="clear" w:color="auto" w:fill="EEEEEE"/>
          </w:tcPr>
          <w:p>
            <w:pPr>
              <w:spacing w:after="0" w:line="178" w:lineRule="exact"/>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top w:val="single" w:sz="8" w:color="auto"/>
            </w:tcBorders>
            <w:shd w:val="clear" w:color="auto" w:fill="EEEEEE"/>
          </w:tcPr>
          <w:p>
            <w:pPr>
              <w:spacing w:after="0"/>
              <w:rPr>
                <w:sz w:val="15"/>
                <w:szCs w:val="15"/>
                <w:color w:val="auto"/>
              </w:rPr>
            </w:pPr>
          </w:p>
        </w:tc>
        <w:tc>
          <w:tcPr>
            <w:tcW w:w="28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auto"/>
            </w:tcBorders>
            <w:shd w:val="clear" w:color="auto" w:fill="EEEEEE"/>
          </w:tcPr>
          <w:p>
            <w:pPr>
              <w:spacing w:after="0"/>
              <w:rPr>
                <w:sz w:val="15"/>
                <w:szCs w:val="15"/>
                <w:color w:val="auto"/>
              </w:rPr>
            </w:pPr>
          </w:p>
        </w:tc>
        <w:tc>
          <w:tcPr>
            <w:tcW w:w="820" w:type="dxa"/>
            <w:vAlign w:val="bottom"/>
            <w:tcBorders>
              <w:top w:val="single" w:sz="8" w:color="auto"/>
            </w:tcBorders>
            <w:shd w:val="clear" w:color="auto" w:fill="EEEEEE"/>
          </w:tcPr>
          <w:p>
            <w:pPr>
              <w:spacing w:after="0"/>
              <w:rPr>
                <w:sz w:val="15"/>
                <w:szCs w:val="15"/>
                <w:color w:val="auto"/>
              </w:rPr>
            </w:pPr>
          </w:p>
        </w:tc>
        <w:tc>
          <w:tcPr>
            <w:tcW w:w="300" w:type="dxa"/>
            <w:vAlign w:val="bottom"/>
            <w:tcBorders>
              <w:top w:val="single" w:sz="8" w:color="EEEEEE"/>
            </w:tcBorders>
            <w:shd w:val="clear" w:color="auto" w:fill="EEEEEE"/>
          </w:tcPr>
          <w:p>
            <w:pPr>
              <w:spacing w:after="0"/>
              <w:rPr>
                <w:sz w:val="15"/>
                <w:szCs w:val="15"/>
                <w:color w:val="auto"/>
              </w:rPr>
            </w:pPr>
          </w:p>
        </w:tc>
        <w:tc>
          <w:tcPr>
            <w:tcW w:w="9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auto"/>
            </w:tcBorders>
            <w:shd w:val="clear" w:color="auto" w:fill="EEEEEE"/>
          </w:tcPr>
          <w:p>
            <w:pPr>
              <w:spacing w:after="0"/>
              <w:rPr>
                <w:sz w:val="15"/>
                <w:szCs w:val="15"/>
                <w:color w:val="auto"/>
              </w:rPr>
            </w:pPr>
          </w:p>
        </w:tc>
        <w:tc>
          <w:tcPr>
            <w:tcW w:w="840" w:type="dxa"/>
            <w:vAlign w:val="bottom"/>
            <w:tcBorders>
              <w:top w:val="single" w:sz="8" w:color="auto"/>
            </w:tcBorders>
            <w:shd w:val="clear" w:color="auto" w:fill="EEEEEE"/>
          </w:tcPr>
          <w:p>
            <w:pPr>
              <w:spacing w:after="0"/>
              <w:rPr>
                <w:sz w:val="15"/>
                <w:szCs w:val="15"/>
                <w:color w:val="auto"/>
              </w:rPr>
            </w:pPr>
          </w:p>
        </w:tc>
        <w:tc>
          <w:tcPr>
            <w:tcW w:w="28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840" w:type="dxa"/>
            <w:vAlign w:val="bottom"/>
            <w:tcBorders>
              <w:top w:val="single" w:sz="8" w:color="auto"/>
            </w:tcBorders>
            <w:shd w:val="clear" w:color="auto" w:fill="EEEEEE"/>
          </w:tcPr>
          <w:p>
            <w:pPr>
              <w:spacing w:after="0"/>
              <w:rPr>
                <w:sz w:val="15"/>
                <w:szCs w:val="15"/>
                <w:color w:val="auto"/>
              </w:rPr>
            </w:pPr>
          </w:p>
        </w:tc>
        <w:tc>
          <w:tcPr>
            <w:tcW w:w="300" w:type="dxa"/>
            <w:vAlign w:val="bottom"/>
            <w:tcBorders>
              <w:top w:val="single" w:sz="8" w:color="EEEEEE"/>
            </w:tcBorders>
            <w:shd w:val="clear" w:color="auto" w:fill="EEEEEE"/>
          </w:tcPr>
          <w:p>
            <w:pPr>
              <w:spacing w:after="0"/>
              <w:rPr>
                <w:sz w:val="15"/>
                <w:szCs w:val="15"/>
                <w:color w:val="auto"/>
              </w:rPr>
            </w:pPr>
          </w:p>
        </w:tc>
        <w:tc>
          <w:tcPr>
            <w:tcW w:w="220" w:type="dxa"/>
            <w:vAlign w:val="bottom"/>
            <w:tcBorders>
              <w:top w:val="single" w:sz="8" w:color="auto"/>
            </w:tcBorders>
            <w:shd w:val="clear" w:color="auto" w:fill="EEEEEE"/>
          </w:tcPr>
          <w:p>
            <w:pPr>
              <w:spacing w:after="0"/>
              <w:rPr>
                <w:sz w:val="15"/>
                <w:szCs w:val="15"/>
                <w:color w:val="auto"/>
              </w:rPr>
            </w:pPr>
          </w:p>
        </w:tc>
        <w:tc>
          <w:tcPr>
            <w:tcW w:w="900" w:type="dxa"/>
            <w:vAlign w:val="bottom"/>
            <w:tcBorders>
              <w:top w:val="single" w:sz="8" w:color="auto"/>
            </w:tcBorders>
            <w:shd w:val="clear" w:color="auto" w:fill="EEEEEE"/>
          </w:tcPr>
          <w:p>
            <w:pPr>
              <w:spacing w:after="0"/>
              <w:rPr>
                <w:sz w:val="15"/>
                <w:szCs w:val="15"/>
                <w:color w:val="auto"/>
              </w:rPr>
            </w:pPr>
          </w:p>
        </w:tc>
        <w:tc>
          <w:tcPr>
            <w:tcW w:w="30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840" w:type="dxa"/>
            <w:vAlign w:val="bottom"/>
            <w:tcBorders>
              <w:top w:val="single" w:sz="8" w:color="auto"/>
            </w:tcBorders>
            <w:shd w:val="clear" w:color="auto" w:fill="EEEEEE"/>
          </w:tcPr>
          <w:p>
            <w:pPr>
              <w:spacing w:after="0"/>
              <w:rPr>
                <w:sz w:val="15"/>
                <w:szCs w:val="15"/>
                <w:color w:val="auto"/>
              </w:rPr>
            </w:pPr>
          </w:p>
        </w:tc>
        <w:tc>
          <w:tcPr>
            <w:tcW w:w="30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860" w:type="dxa"/>
            <w:vAlign w:val="bottom"/>
            <w:tcBorders>
              <w:top w:val="single" w:sz="8" w:color="auto"/>
            </w:tcBorders>
            <w:shd w:val="clear" w:color="auto" w:fill="EEEEEE"/>
          </w:tcPr>
          <w:p>
            <w:pPr>
              <w:spacing w:after="0"/>
              <w:rPr>
                <w:sz w:val="15"/>
                <w:szCs w:val="15"/>
                <w:color w:val="auto"/>
              </w:rPr>
            </w:pPr>
          </w:p>
        </w:tc>
        <w:tc>
          <w:tcPr>
            <w:tcW w:w="6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2011</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94,373</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4,234</w:t>
            </w:r>
          </w:p>
        </w:tc>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3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(80,972)</w:t>
            </w:r>
          </w:p>
        </w:tc>
        <w:tc>
          <w:tcPr>
            <w:tcW w:w="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net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10,994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currency</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2012</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105,367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4,468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(81,917)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Public offering</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of common</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stock, net</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31,445</w:t>
            </w: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upon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offering</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(105,801)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107,012</w:t>
            </w:r>
          </w:p>
        </w:tc>
        <w:tc>
          <w:tcPr>
            <w:tcW w:w="2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currency</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2013</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144,023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(83,323)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Public offering</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of common</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stock, net</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45,679</w:t>
            </w: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under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plans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currency</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1"/>
                <w:szCs w:val="21"/>
                <w:color w:val="auto"/>
              </w:rPr>
            </w:pPr>
          </w:p>
        </w:tc>
        <w:tc>
          <w:tcPr>
            <w:tcW w:w="9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178"/>
        </w:trPr>
        <w:tc>
          <w:tcPr>
            <w:tcW w:w="13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192,112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(79,040)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8"/>
        </w:trPr>
        <w:tc>
          <w:tcPr>
            <w:tcW w:w="5700" w:type="dxa"/>
            <w:vAlign w:val="bottom"/>
            <w:shd w:val="clear" w:color="auto" w:fill="EEEEEE"/>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w:t>
            </w:r>
          </w:p>
        </w:tc>
        <w:tc>
          <w:tcPr>
            <w:tcW w:w="1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in) operating activities:</w:t>
            </w:r>
          </w:p>
        </w:tc>
        <w:tc>
          <w:tcPr>
            <w:tcW w:w="14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16"/>
        </w:trPr>
        <w:tc>
          <w:tcPr>
            <w:tcW w:w="5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Share-based compensation and warrant expense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5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acceptance receivable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5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18,758</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30"/>
        </w:trPr>
        <w:tc>
          <w:tcPr>
            <w:tcW w:w="5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0"/>
        </w:trPr>
        <w:tc>
          <w:tcPr>
            <w:tcW w:w="57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240" w:type="dxa"/>
            <w:vAlign w:val="bottom"/>
            <w:tcBorders>
              <w:top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 and deferred charges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(45,388</w:t>
            </w:r>
          </w:p>
        </w:tc>
        <w:tc>
          <w:tcPr>
            <w:tcW w:w="12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240" w:type="dxa"/>
            <w:vAlign w:val="bottom"/>
            <w:tcBorders>
              <w:bottom w:val="single" w:sz="8" w:color="EEEEEE"/>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notes payable and long-term debt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line of credit borrowings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53,658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15,560</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(50,733)</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(23,008)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note payable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Repayments of shareholder loans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restricted cash</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Proceeds from common stock offering, net</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45,681</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31,448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preferred stock, net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10,234</w:t>
            </w:r>
          </w:p>
        </w:tc>
        <w:tc>
          <w:tcPr>
            <w:tcW w:w="0" w:type="dxa"/>
            <w:vAlign w:val="bottom"/>
          </w:tcPr>
          <w:p>
            <w:pPr>
              <w:spacing w:after="0"/>
              <w:rPr>
                <w:sz w:val="1"/>
                <w:szCs w:val="1"/>
                <w:color w:val="auto"/>
              </w:rPr>
            </w:pPr>
          </w:p>
        </w:tc>
      </w:tr>
      <w:tr>
        <w:trPr>
          <w:trHeight w:val="210"/>
        </w:trPr>
        <w:tc>
          <w:tcPr>
            <w:tcW w:w="57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47,250</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35,368</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EEEEEE"/>
            </w:tcBorders>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0" w:type="dxa"/>
            <w:vAlign w:val="bottom"/>
            <w:tcBorders>
              <w:bottom w:val="single" w:sz="8" w:color="EEEEEE"/>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23"/>
        </w:trPr>
        <w:tc>
          <w:tcPr>
            <w:tcW w:w="57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32,175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Cash paid for:</w:t>
            </w:r>
          </w:p>
        </w:tc>
        <w:tc>
          <w:tcPr>
            <w:tcW w:w="1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1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1,133</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Purchase of intangible assets with notes payable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shareholders' loan to 72,381 shares of series G preferred stock</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1" w:name="page72"/>
    <w:bookmarkEnd w:id="71"/>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A—ORGANIZATION AND OPERATIONS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(“AOI” or the “Company”) was incorporated in the State of Texas on February 28, 1997. The Company is a leading, vertically integrated provider of fiber-optic networking products, primarily for three networking end-markets: cable television, fiber-to-the-home and internet data centers. The Company designs and manufactures a range of optical communications products at varying levels of integration, from components, subassemblies and modules to complete turn-key equipment.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The Company also operates a division, AOI—Taiwan, which is qualified to do business in Taiwan and primarily manufactures transceivers and performs research and development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B—SUMMARY OF SIGNIFICANT ACCOUNTING POLICIES</w:t>
      </w:r>
    </w:p>
    <w:p>
      <w:pPr>
        <w:spacing w:after="0" w:line="227"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74"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share-based compensation expense, estimated useful lives of property and equipment, and taxes.</w:t>
      </w:r>
    </w:p>
    <w:p>
      <w:pPr>
        <w:spacing w:after="0" w:line="17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assets and liabilities of foreign subsidiaries are translated into U.S. dollars at the exchange rate as of the balance sheet date. Revenue and expense accounts are translated at weighted-average rates for the reporting period. Translation adjustments do not impact the results of operations and are reported as a separate component of stockholders’ equity. Foreign currency transaction gains and losses are included in the consolidated statements of operations.</w:t>
      </w:r>
    </w:p>
    <w:p>
      <w:pPr>
        <w:spacing w:after="0" w:line="174"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1—Inputs represent quoted prices in active markets for identical assets or liabilities.</w:t>
      </w:r>
    </w:p>
    <w:p>
      <w:pPr>
        <w:spacing w:after="0" w:line="225" w:lineRule="exact"/>
        <w:rPr>
          <w:sz w:val="20"/>
          <w:szCs w:val="20"/>
          <w:color w:val="auto"/>
        </w:rPr>
      </w:pPr>
    </w:p>
    <w:p>
      <w:pPr>
        <w:jc w:val="both"/>
        <w:ind w:left="660" w:right="160" w:firstLine="648"/>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76" w:lineRule="exact"/>
        <w:rPr>
          <w:sz w:val="20"/>
          <w:szCs w:val="20"/>
          <w:color w:val="auto"/>
        </w:rPr>
      </w:pPr>
    </w:p>
    <w:p>
      <w:pPr>
        <w:ind w:left="660" w:right="100" w:firstLine="648"/>
        <w:spacing w:after="0" w:line="282" w:lineRule="auto"/>
        <w:rPr>
          <w:sz w:val="20"/>
          <w:szCs w:val="20"/>
          <w:color w:val="auto"/>
        </w:rPr>
      </w:pPr>
      <w:r>
        <w:rPr>
          <w:rFonts w:ascii="Times New Roman" w:cs="Times New Roman" w:eastAsia="Times New Roman" w:hAnsi="Times New Roman"/>
          <w:sz w:val="18"/>
          <w:szCs w:val="18"/>
          <w:color w:val="auto"/>
        </w:rPr>
        <w:t>Level 3—Inputs that are not observable from objective sources, such as management’s internally developed assumptions used in pricing an asset or liability.</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Assets and liabilities that are required to be fair valued on a recurring basis include money market funds, marketable securities, equity instruments and contingent consideration.</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Money market funds are valued with Level 1 inputs, using quoted market prices, and are included in cash and cash equivalents on the Company’s consolidated balance sheets.</w:t>
      </w:r>
    </w:p>
    <w:p>
      <w:pPr>
        <w:spacing w:after="0" w:line="160"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of ninety days or less from the date of purchase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foreign accounts was approximately $4.6 million and $6.6 million at December 31, 2014 and 2013, respectively.</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2014, approximately $25.4 million of U.S. deposits were not covered by FDIC insurance. The Company has not experienced any losses and believes it is not exposed to any significant risk with such accounts.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3" w:orient="portrait"/>
          <w:cols w:equalWidth="0" w:num="1">
            <w:col w:w="11420"/>
          </w:cols>
          <w:pgMar w:left="240" w:top="657" w:right="239" w:bottom="0" w:gutter="0" w:footer="0" w:header="0"/>
        </w:sectPr>
      </w:pPr>
    </w:p>
    <w:bookmarkStart w:id="72" w:name="page73"/>
    <w:bookmarkEnd w:id="72"/>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Cash/Compensating Balances</w:t>
      </w:r>
    </w:p>
    <w:p>
      <w:pPr>
        <w:spacing w:after="0" w:line="227"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a compensation deposit equal to 30% of its bank acceptance notes to vendors with a China bank. The Company’s Taiwan subsidiary also uses time deposits for customs guarantees. As of December 31, 2014 and 2013, the amount of restricted cash was $0.5 million and $0.8 million, respectively.</w:t>
      </w:r>
    </w:p>
    <w:p>
      <w:pPr>
        <w:spacing w:after="0" w:line="174"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Short-Term Investments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invests its excess cash in bank certificates of deposit. As of December 31, 2014, the Company invested $8.2 million in certificates of deposit in RMB currencies with Taiwan banks. The maturity dates range from 6 months to 12 months.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arranged a revolving line of credit agreement with the same Taiwan bank by pledging 100% of its certificates of deposit. As of December 31, 2014, the pledged certificate of deposit for such arrangement amount is $8.2 million.</w:t>
      </w:r>
    </w:p>
    <w:p>
      <w:pPr>
        <w:spacing w:after="0" w:line="160"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Receivable/Allowance for Doubtful Accounts</w:t>
      </w:r>
    </w:p>
    <w:p>
      <w:pPr>
        <w:spacing w:after="0" w:line="227"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74"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Bank Acceptance Receivable</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carries its bank acceptance receivables at face value or discounted value if they are not interest bearing. The maturity date of the receivables are all within one year of the original issuance date and are carried at face value.</w:t>
      </w:r>
    </w:p>
    <w:p>
      <w:pPr>
        <w:spacing w:after="0" w:line="160"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Credit Risk and Significant Customers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include cash, cash equivalents and accounts receivable.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places all cash and cash equivalents with high-credit quality financial institutions.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2014, 2013 and 2012, its top ten customers represented 87.2%, 76.9% and 77.6% of its revenue, respectively. In 2014, Amazon represented 45.8% of its revenue, Cisco Systems, Inc. represented 8.9% of its revenue and a leading internet service provider represented 6.7% of its total revenue. The five largest receivable balances for customers represented an aggregate of 70%, and 66% of total accounts receivable at December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73" w:name="page74"/>
    <w:bookmarkEnd w:id="73"/>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74"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800" w:type="dxa"/>
            <w:vAlign w:val="bottom"/>
            <w:shd w:val="clear" w:color="auto" w:fill="EEEEEE"/>
          </w:tcPr>
          <w:p>
            <w:pPr>
              <w:spacing w:after="0"/>
              <w:rPr>
                <w:sz w:val="19"/>
                <w:szCs w:val="19"/>
                <w:color w:val="auto"/>
              </w:rPr>
            </w:pPr>
          </w:p>
        </w:tc>
        <w:tc>
          <w:tcPr>
            <w:tcW w:w="13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3900" w:type="dxa"/>
            <w:vAlign w:val="bottom"/>
            <w:tcBorders>
              <w:bottom w:val="single" w:sz="8" w:color="auto"/>
            </w:tcBorders>
            <w:shd w:val="clear" w:color="auto" w:fill="EEEEEE"/>
          </w:tcPr>
          <w:p>
            <w:pPr>
              <w:ind w:left="1460"/>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10"/>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Buildings</w:t>
            </w:r>
          </w:p>
        </w:tc>
        <w:tc>
          <w:tcPr>
            <w:tcW w:w="5320" w:type="dxa"/>
            <w:vAlign w:val="bottom"/>
            <w:gridSpan w:val="3"/>
            <w:shd w:val="clear" w:color="auto" w:fill="EEEEEE"/>
          </w:tcPr>
          <w:p>
            <w:pPr>
              <w:ind w:left="1300"/>
              <w:spacing w:after="0"/>
              <w:rPr>
                <w:sz w:val="20"/>
                <w:szCs w:val="20"/>
                <w:color w:val="auto"/>
              </w:rPr>
            </w:pPr>
            <w:r>
              <w:rPr>
                <w:rFonts w:ascii="Times New Roman" w:cs="Times New Roman" w:eastAsia="Times New Roman" w:hAnsi="Times New Roman"/>
                <w:sz w:val="18"/>
                <w:szCs w:val="18"/>
                <w:color w:val="auto"/>
              </w:rPr>
              <w:t>20 - 40 years</w:t>
            </w: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0" w:type="dxa"/>
            <w:vAlign w:val="bottom"/>
            <w:gridSpan w:val="2"/>
          </w:tcPr>
          <w:p>
            <w:pPr>
              <w:spacing w:after="0"/>
              <w:rPr>
                <w:sz w:val="18"/>
                <w:szCs w:val="18"/>
                <w:color w:val="auto"/>
              </w:rPr>
            </w:pPr>
          </w:p>
        </w:tc>
      </w:tr>
      <w:tr>
        <w:trPr>
          <w:trHeight w:val="216"/>
        </w:trPr>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320" w:type="dxa"/>
            <w:vAlign w:val="bottom"/>
            <w:gridSpan w:val="3"/>
            <w:shd w:val="clear" w:color="auto" w:fill="EEEEEE"/>
          </w:tcPr>
          <w:p>
            <w:pPr>
              <w:ind w:left="130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gridSpan w:val="2"/>
            <w:shd w:val="clear" w:color="auto" w:fill="EEEEEE"/>
          </w:tcPr>
          <w:p>
            <w:pPr>
              <w:ind w:left="1300"/>
              <w:spacing w:after="0"/>
              <w:rPr>
                <w:sz w:val="20"/>
                <w:szCs w:val="20"/>
                <w:color w:val="auto"/>
              </w:rPr>
            </w:pPr>
            <w:r>
              <w:rPr>
                <w:rFonts w:ascii="Times New Roman" w:cs="Times New Roman" w:eastAsia="Times New Roman" w:hAnsi="Times New Roman"/>
                <w:sz w:val="18"/>
                <w:szCs w:val="18"/>
                <w:color w:val="auto"/>
              </w:rPr>
              <w:t>3</w:t>
            </w:r>
          </w:p>
        </w:tc>
        <w:tc>
          <w:tcPr>
            <w:tcW w:w="39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- 20 years</w:t>
            </w: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20" w:type="dxa"/>
            <w:vAlign w:val="bottom"/>
            <w:gridSpan w:val="2"/>
            <w:shd w:val="clear" w:color="auto" w:fill="EEEEEE"/>
          </w:tcPr>
          <w:p>
            <w:pPr>
              <w:ind w:left="1300"/>
              <w:spacing w:after="0"/>
              <w:rPr>
                <w:sz w:val="20"/>
                <w:szCs w:val="20"/>
                <w:color w:val="auto"/>
              </w:rPr>
            </w:pPr>
            <w:r>
              <w:rPr>
                <w:rFonts w:ascii="Times New Roman" w:cs="Times New Roman" w:eastAsia="Times New Roman" w:hAnsi="Times New Roman"/>
                <w:sz w:val="18"/>
                <w:szCs w:val="18"/>
                <w:color w:val="auto"/>
              </w:rPr>
              <w:t>1</w:t>
            </w:r>
          </w:p>
        </w:tc>
        <w:tc>
          <w:tcPr>
            <w:tcW w:w="39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20" w:type="dxa"/>
            <w:vAlign w:val="bottom"/>
            <w:gridSpan w:val="2"/>
            <w:shd w:val="clear" w:color="auto" w:fill="EEEEEE"/>
          </w:tcPr>
          <w:p>
            <w:pPr>
              <w:ind w:left="1300"/>
              <w:spacing w:after="0"/>
              <w:rPr>
                <w:sz w:val="20"/>
                <w:szCs w:val="20"/>
                <w:color w:val="auto"/>
              </w:rPr>
            </w:pPr>
            <w:r>
              <w:rPr>
                <w:rFonts w:ascii="Times New Roman" w:cs="Times New Roman" w:eastAsia="Times New Roman" w:hAnsi="Times New Roman"/>
                <w:sz w:val="18"/>
                <w:szCs w:val="18"/>
                <w:color w:val="auto"/>
              </w:rPr>
              <w:t>3</w:t>
            </w:r>
          </w:p>
        </w:tc>
        <w:tc>
          <w:tcPr>
            <w:tcW w:w="39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0" w:type="dxa"/>
            <w:vAlign w:val="bottom"/>
            <w:gridSpan w:val="2"/>
          </w:tcPr>
          <w:p>
            <w:pPr>
              <w:spacing w:after="0"/>
              <w:rPr>
                <w:sz w:val="18"/>
                <w:szCs w:val="18"/>
                <w:color w:val="auto"/>
              </w:rPr>
            </w:pPr>
          </w:p>
        </w:tc>
      </w:tr>
      <w:tr>
        <w:trPr>
          <w:trHeight w:val="198"/>
        </w:trPr>
        <w:tc>
          <w:tcPr>
            <w:tcW w:w="3800" w:type="dxa"/>
            <w:vAlign w:val="bottom"/>
            <w:shd w:val="clear" w:color="auto" w:fill="EEEEEE"/>
          </w:tcPr>
          <w:p>
            <w:pPr>
              <w:spacing w:after="0"/>
              <w:rPr>
                <w:sz w:val="17"/>
                <w:szCs w:val="17"/>
                <w:color w:val="auto"/>
              </w:rPr>
            </w:pPr>
          </w:p>
        </w:tc>
        <w:tc>
          <w:tcPr>
            <w:tcW w:w="5320" w:type="dxa"/>
            <w:vAlign w:val="bottom"/>
            <w:gridSpan w:val="3"/>
            <w:shd w:val="clear" w:color="auto" w:fill="EEEEEE"/>
          </w:tcPr>
          <w:p>
            <w:pPr>
              <w:ind w:left="1300"/>
              <w:spacing w:after="0" w:line="198" w:lineRule="exact"/>
              <w:rPr>
                <w:sz w:val="20"/>
                <w:szCs w:val="20"/>
                <w:color w:val="auto"/>
              </w:rPr>
            </w:pPr>
            <w:r>
              <w:rPr>
                <w:rFonts w:ascii="Times New Roman" w:cs="Times New Roman" w:eastAsia="Times New Roman" w:hAnsi="Times New Roman"/>
                <w:sz w:val="18"/>
                <w:szCs w:val="18"/>
                <w:color w:val="auto"/>
              </w:rPr>
              <w:t>The shorter of the life of the applicable lease or the</w:t>
            </w:r>
          </w:p>
        </w:tc>
      </w:tr>
      <w:tr>
        <w:trPr>
          <w:trHeight w:val="234"/>
        </w:trPr>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320" w:type="dxa"/>
            <w:vAlign w:val="bottom"/>
            <w:gridSpan w:val="3"/>
            <w:shd w:val="clear" w:color="auto" w:fill="EEEEEE"/>
          </w:tcPr>
          <w:p>
            <w:pPr>
              <w:ind w:left="1300"/>
              <w:spacing w:after="0"/>
              <w:rPr>
                <w:sz w:val="20"/>
                <w:szCs w:val="20"/>
                <w:color w:val="auto"/>
              </w:rPr>
            </w:pPr>
            <w:r>
              <w:rPr>
                <w:rFonts w:ascii="Times New Roman" w:cs="Times New Roman" w:eastAsia="Times New Roman" w:hAnsi="Times New Roman"/>
                <w:sz w:val="18"/>
                <w:szCs w:val="18"/>
                <w:color w:val="auto"/>
              </w:rPr>
              <w:t>useful life of the improvement</w:t>
            </w: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0" w:type="dxa"/>
            <w:vAlign w:val="bottom"/>
            <w:gridSpan w:val="2"/>
          </w:tcPr>
          <w:p>
            <w:pPr>
              <w:spacing w:after="0"/>
              <w:rPr>
                <w:sz w:val="18"/>
                <w:szCs w:val="18"/>
                <w:color w:val="auto"/>
              </w:rPr>
            </w:pPr>
          </w:p>
        </w:tc>
      </w:tr>
      <w:tr>
        <w:trPr>
          <w:trHeight w:val="216"/>
        </w:trPr>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5320" w:type="dxa"/>
            <w:vAlign w:val="bottom"/>
            <w:gridSpan w:val="3"/>
            <w:shd w:val="clear" w:color="auto" w:fill="EEEEEE"/>
          </w:tcPr>
          <w:p>
            <w:pPr>
              <w:ind w:left="130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w:t>
      </w:r>
    </w:p>
    <w:p>
      <w:pPr>
        <w:spacing w:after="0" w:line="17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Intangible assets consist of intellectual property that is stated at cost less accumulated amortization. As of December 31, 2014, the Company had 152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92" w:right="279" w:bottom="1440" w:gutter="0" w:footer="0" w:header="0"/>
        </w:sectPr>
      </w:pPr>
    </w:p>
    <w:bookmarkStart w:id="74" w:name="page75"/>
    <w:bookmarkEnd w:id="74"/>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Long-Lived Assets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Accounting Standards Codification (“ASC”)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(“ASC 360”). Long-lived assets consist primarily of property, plant and equipment. In accordance with ASC 360, the Company periodically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long-lived assets whenever events or changes in circumstances indicate that the carrying amount of an asset may not be recoverable. When triggering event indicators are present, the Company obtains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measurement for such an impairment loss is then based on the fair value of the asset as determined by the appraisals.</w:t>
      </w:r>
    </w:p>
    <w:p>
      <w:pPr>
        <w:spacing w:after="0" w:line="223"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58"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Share-based Compensation</w:t>
      </w:r>
    </w:p>
    <w:p>
      <w:pPr>
        <w:spacing w:after="0" w:line="22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Share-based compensation expense is recognized based on the estimated grant date fair value, net of an estimated forfeiture rate, in order to recognize compensation cost for those shares expected to vest. Compensation cost is recognized on a straight-line basis over the vesting period of the options.</w:t>
      </w:r>
    </w:p>
    <w:p>
      <w:pPr>
        <w:spacing w:after="0" w:line="17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derives revenue from the manufacture and sale of fiber optic networking products. Revenue recognition follows the criteria of</w:t>
      </w:r>
    </w:p>
    <w:p>
      <w:pPr>
        <w:spacing w:after="0" w:line="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Specifically, the Company recognizes revenue when persuasive evidence exists of an arrangement with a customer, usually in the form of a customer purchase order; performance obligations have been satisfied; title and risk of loss have transferred to the customer; the price is fixed or determinable; and collectability is reasonably assured. The Company may offer units (samples) to current and potential customers at no charge for evaluation or qualification purposes. Such sample units are expensed as selling or research and development costs when shipped.</w:t>
      </w:r>
    </w:p>
    <w:p>
      <w:pPr>
        <w:spacing w:after="0" w:line="184"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defective occurs. Factors that affect the Company’s warranty liability include the historical and anticipated rates of warranty claims and cost to repair. While we believe that our warranty accrual is adequate, our actual warranty costs may exceed the accrual, cost of sales will increase in the future. As of December 31, 2014 and 2013, the amount of accrued warranty was $247,000 and $0, respectively.</w:t>
      </w:r>
    </w:p>
    <w:p>
      <w:pPr>
        <w:spacing w:after="0" w:line="18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operations as incurred and amounted to approximately $100,000, $121,000 and $80,000 for the years ended December 31, 2014, 2013 and 2012,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2" w:right="239" w:bottom="1440" w:gutter="0" w:footer="0" w:header="0"/>
        </w:sectPr>
      </w:pPr>
    </w:p>
    <w:bookmarkStart w:id="75" w:name="page76"/>
    <w:bookmarkEnd w:id="75"/>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The Company receives reimbursement for certain development costs, which are capitalized when incurred, up to the reimbursable amount.</w:t>
      </w:r>
    </w:p>
    <w:p>
      <w:pPr>
        <w:spacing w:after="0" w:line="160"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80" w:lineRule="exact"/>
        <w:rPr>
          <w:sz w:val="20"/>
          <w:szCs w:val="20"/>
          <w:color w:val="auto"/>
        </w:rPr>
      </w:pPr>
    </w:p>
    <w:p>
      <w:pPr>
        <w:jc w:val="both"/>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0"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Accounting Standards Adopted in this Report</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2014-09”). The standard provides companies with a single model for use in accounting for revenue arising from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customers and supersedes current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ASU 2014-09 is effective for annual reporting periods beginning after December 15, 2016. Early adoption is not permitted. The guidance permits companies to either apply the requirements retrospectively to all prior periods presented, or apply the requirements in the year of adoption, through a cumulative adjustment. The Company is in the process of evaluating the impact of adoption on its consolidated financial statements.</w:t>
      </w:r>
    </w:p>
    <w:p>
      <w:pPr>
        <w:spacing w:after="0" w:line="18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May 1, 2013, the Company’s board of directors approved, and holders of the requisite number of outstanding shares of our capital stock approved on May 21, 2013, an amendment to our certificate of incorporation to effect a reverse stock split with respect to our securities. Based on the prior board and stockholder approvals, on August 16, 2013 the Company’s board of directors determined that the ratio for the reverse stock split would be 30-to-one. The reverse stock split was effected on August 20, 2013, the date that the amendment to our certificate of incorporation was filed with the Delaware Secretary of State. The reverse stock split is reflected in the accompanying consolidated financial statements and related notes on a retroactive basis for all periods presented.</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092"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C—EARNINGS PER SHARE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restricted stock units and warrants outstanding during the period. In periods with net losses, normally dilutive shares become anti-dilutive. Therefore, basic and dilutive earnings per share are the same.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EPS:</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6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(1,406)</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r>
      <w:tr>
        <w:trPr>
          <w:trHeight w:val="210"/>
        </w:trPr>
        <w:tc>
          <w:tcPr>
            <w:tcW w:w="57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14,307</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of dilutive options and warrants</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Borders>
              <w:top w:val="single" w:sz="8" w:color="EEEEEE"/>
            </w:tcBorders>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6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5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r>
      <w:tr>
        <w:trPr>
          <w:trHeight w:val="234"/>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r>
    </w:tbl>
    <w:p>
      <w:pPr>
        <w:spacing w:after="0" w:line="17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as their effect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780" w:type="dxa"/>
            <w:vAlign w:val="bottom"/>
            <w:gridSpan w:val="2"/>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180" w:type="dxa"/>
            <w:vAlign w:val="bottom"/>
            <w:shd w:val="clear" w:color="auto" w:fill="EEEEEE"/>
          </w:tcPr>
          <w:p>
            <w:pPr>
              <w:spacing w:after="0"/>
              <w:rPr>
                <w:sz w:val="18"/>
                <w:szCs w:val="18"/>
                <w:color w:val="auto"/>
              </w:rPr>
            </w:pPr>
          </w:p>
        </w:tc>
        <w:tc>
          <w:tcPr>
            <w:tcW w:w="1960" w:type="dxa"/>
            <w:vAlign w:val="bottom"/>
            <w:gridSpan w:val="2"/>
            <w:shd w:val="clear" w:color="auto" w:fill="EEEEEE"/>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595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2180" w:type="dxa"/>
            <w:vAlign w:val="bottom"/>
          </w:tcPr>
          <w:p>
            <w:pPr>
              <w:spacing w:after="0"/>
              <w:rPr>
                <w:sz w:val="18"/>
                <w:szCs w:val="18"/>
                <w:color w:val="auto"/>
              </w:rPr>
            </w:pPr>
          </w:p>
        </w:tc>
        <w:tc>
          <w:tcPr>
            <w:tcW w:w="1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3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180" w:type="dxa"/>
            <w:vAlign w:val="bottom"/>
            <w:shd w:val="clear" w:color="auto" w:fill="EEEEEE"/>
          </w:tcPr>
          <w:p>
            <w:pPr>
              <w:spacing w:after="0"/>
              <w:rPr>
                <w:sz w:val="19"/>
                <w:szCs w:val="19"/>
                <w:color w:val="auto"/>
              </w:rPr>
            </w:pPr>
          </w:p>
        </w:tc>
        <w:tc>
          <w:tcPr>
            <w:tcW w:w="1960" w:type="dxa"/>
            <w:vAlign w:val="bottom"/>
            <w:gridSpan w:val="2"/>
            <w:shd w:val="clear" w:color="auto" w:fill="EEEEEE"/>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ind w:left="1880"/>
              <w:spacing w:after="0"/>
              <w:rPr>
                <w:sz w:val="20"/>
                <w:szCs w:val="20"/>
                <w:color w:val="auto"/>
              </w:rPr>
            </w:pPr>
            <w:r>
              <w:rPr>
                <w:rFonts w:ascii="Times New Roman" w:cs="Times New Roman" w:eastAsia="Times New Roman" w:hAnsi="Times New Roman"/>
                <w:sz w:val="18"/>
                <w:szCs w:val="18"/>
                <w:color w:val="auto"/>
              </w:rPr>
              <w:t>F-13</w:t>
            </w: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D—INVENTORIES</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6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At December 31, 2014 and 2013, inventories consisted of the following:</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3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3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780" w:type="dxa"/>
            <w:vAlign w:val="bottom"/>
            <w:gridSpan w:val="2"/>
            <w:shd w:val="clear" w:color="auto" w:fill="EEEEEE"/>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16,243</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8,832</w:t>
            </w:r>
          </w:p>
        </w:tc>
        <w:tc>
          <w:tcPr>
            <w:tcW w:w="60" w:type="dxa"/>
            <w:vAlign w:val="bottom"/>
            <w:shd w:val="clear" w:color="auto" w:fill="EEEEEE"/>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13,379</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8,708</w:t>
            </w:r>
          </w:p>
        </w:tc>
        <w:tc>
          <w:tcPr>
            <w:tcW w:w="60" w:type="dxa"/>
            <w:vAlign w:val="bottom"/>
          </w:tcPr>
          <w:p>
            <w:pPr>
              <w:spacing w:after="0"/>
              <w:rPr>
                <w:sz w:val="18"/>
                <w:szCs w:val="18"/>
                <w:color w:val="auto"/>
              </w:rPr>
            </w:pPr>
          </w:p>
        </w:tc>
      </w:tr>
      <w:tr>
        <w:trPr>
          <w:trHeight w:val="230"/>
        </w:trPr>
        <w:tc>
          <w:tcPr>
            <w:tcW w:w="3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2,068</w:t>
            </w:r>
          </w:p>
        </w:tc>
        <w:tc>
          <w:tcPr>
            <w:tcW w:w="60" w:type="dxa"/>
            <w:vAlign w:val="bottom"/>
            <w:shd w:val="clear" w:color="auto" w:fill="EEEEEE"/>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2013 and 2012, the lower of cost or market adjustment expensed for inventory was $0.9 million, $0.5 million and $0.9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E—PROPERTY, PLANT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2014 and 2013, property, plant and equipment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4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Land improvements</w:t>
            </w:r>
          </w:p>
        </w:tc>
        <w:tc>
          <w:tcPr>
            <w:tcW w:w="1000" w:type="dxa"/>
            <w:vAlign w:val="bottom"/>
            <w:gridSpan w:val="2"/>
            <w:shd w:val="clear" w:color="auto" w:fill="EEEEEE"/>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EEEEEE"/>
          </w:tcPr>
          <w:p>
            <w:pPr>
              <w:spacing w:after="0"/>
              <w:rPr>
                <w:sz w:val="18"/>
                <w:szCs w:val="18"/>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16,196</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16,016</w:t>
            </w:r>
          </w:p>
        </w:tc>
        <w:tc>
          <w:tcPr>
            <w:tcW w:w="60" w:type="dxa"/>
            <w:vAlign w:val="bottom"/>
          </w:tcPr>
          <w:p>
            <w:pPr>
              <w:spacing w:after="0"/>
              <w:rPr>
                <w:sz w:val="18"/>
                <w:szCs w:val="18"/>
                <w:color w:val="auto"/>
              </w:rPr>
            </w:pPr>
          </w:p>
        </w:tc>
      </w:tr>
      <w:tr>
        <w:trPr>
          <w:trHeight w:val="216"/>
        </w:trPr>
        <w:tc>
          <w:tcPr>
            <w:tcW w:w="444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Machinery and equipment</w:t>
            </w: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61,529</w:t>
            </w:r>
          </w:p>
        </w:tc>
        <w:tc>
          <w:tcPr>
            <w:tcW w:w="4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37,490</w:t>
            </w:r>
          </w:p>
        </w:tc>
        <w:tc>
          <w:tcPr>
            <w:tcW w:w="60" w:type="dxa"/>
            <w:vAlign w:val="bottom"/>
            <w:shd w:val="clear" w:color="auto" w:fill="EEEEEE"/>
          </w:tcPr>
          <w:p>
            <w:pPr>
              <w:spacing w:after="0"/>
              <w:rPr>
                <w:sz w:val="18"/>
                <w:szCs w:val="18"/>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Furniture and fixtures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c>
          <w:tcPr>
            <w:tcW w:w="60" w:type="dxa"/>
            <w:vAlign w:val="bottom"/>
          </w:tcPr>
          <w:p>
            <w:pPr>
              <w:spacing w:after="0"/>
              <w:rPr>
                <w:sz w:val="18"/>
                <w:szCs w:val="18"/>
                <w:color w:val="auto"/>
              </w:rPr>
            </w:pPr>
          </w:p>
        </w:tc>
      </w:tr>
      <w:tr>
        <w:trPr>
          <w:trHeight w:val="216"/>
        </w:trPr>
        <w:tc>
          <w:tcPr>
            <w:tcW w:w="444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3,563</w:t>
            </w:r>
          </w:p>
        </w:tc>
        <w:tc>
          <w:tcPr>
            <w:tcW w:w="60" w:type="dxa"/>
            <w:vAlign w:val="bottom"/>
            <w:shd w:val="clear" w:color="auto" w:fill="EEEEEE"/>
          </w:tcPr>
          <w:p>
            <w:pPr>
              <w:spacing w:after="0"/>
              <w:rPr>
                <w:sz w:val="18"/>
                <w:szCs w:val="18"/>
                <w:color w:val="auto"/>
              </w:rPr>
            </w:pPr>
          </w:p>
        </w:tc>
      </w:tr>
      <w:tr>
        <w:trPr>
          <w:trHeight w:val="230"/>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Transportation equipment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w:t>
            </w: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9"/>
                <w:szCs w:val="19"/>
                <w:color w:val="auto"/>
              </w:rPr>
            </w:pPr>
          </w:p>
        </w:tc>
      </w:tr>
      <w:tr>
        <w:trPr>
          <w:trHeight w:val="210"/>
        </w:trPr>
        <w:tc>
          <w:tcPr>
            <w:tcW w:w="4440" w:type="dxa"/>
            <w:vAlign w:val="bottom"/>
            <w:tcBorders>
              <w:top w:val="single" w:sz="8" w:color="EEEEEE"/>
            </w:tcBorders>
            <w:shd w:val="clear" w:color="auto" w:fill="EEEEEE"/>
          </w:tcPr>
          <w:p>
            <w:pPr>
              <w:spacing w:after="0"/>
              <w:rPr>
                <w:sz w:val="18"/>
                <w:szCs w:val="18"/>
                <w:color w:val="auto"/>
              </w:rPr>
            </w:pPr>
          </w:p>
        </w:tc>
        <w:tc>
          <w:tcPr>
            <w:tcW w:w="7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84,748</w:t>
            </w:r>
          </w:p>
        </w:tc>
        <w:tc>
          <w:tcPr>
            <w:tcW w:w="26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58,407</w:t>
            </w: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r>
      <w:tr>
        <w:trPr>
          <w:trHeight w:val="230"/>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(32,412)</w:t>
            </w:r>
          </w:p>
        </w:tc>
        <w:tc>
          <w:tcPr>
            <w:tcW w:w="4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(28,145)</w:t>
            </w:r>
          </w:p>
        </w:tc>
      </w:tr>
      <w:tr>
        <w:trPr>
          <w:trHeight w:val="210"/>
        </w:trPr>
        <w:tc>
          <w:tcPr>
            <w:tcW w:w="4440" w:type="dxa"/>
            <w:vAlign w:val="bottom"/>
            <w:tcBorders>
              <w:top w:val="single" w:sz="8" w:color="EEEEEE"/>
            </w:tcBorders>
            <w:shd w:val="clear" w:color="auto" w:fill="EEEEEE"/>
          </w:tcPr>
          <w:p>
            <w:pPr>
              <w:spacing w:after="0"/>
              <w:rPr>
                <w:sz w:val="18"/>
                <w:szCs w:val="18"/>
                <w:color w:val="auto"/>
              </w:rPr>
            </w:pPr>
          </w:p>
        </w:tc>
        <w:tc>
          <w:tcPr>
            <w:tcW w:w="7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52,336</w:t>
            </w:r>
          </w:p>
        </w:tc>
        <w:tc>
          <w:tcPr>
            <w:tcW w:w="26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30,262</w:t>
            </w: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r>
      <w:tr>
        <w:trPr>
          <w:trHeight w:val="230"/>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9"/>
                <w:szCs w:val="19"/>
                <w:color w:val="auto"/>
              </w:rPr>
            </w:pPr>
          </w:p>
        </w:tc>
      </w:tr>
      <w:tr>
        <w:trPr>
          <w:trHeight w:val="230"/>
        </w:trPr>
        <w:tc>
          <w:tcPr>
            <w:tcW w:w="444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Land</w:t>
            </w:r>
          </w:p>
        </w:tc>
        <w:tc>
          <w:tcPr>
            <w:tcW w:w="7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shd w:val="clear" w:color="auto" w:fill="EEEEEE"/>
          </w:tcPr>
          <w:p>
            <w:pPr>
              <w:spacing w:after="0"/>
              <w:rPr>
                <w:sz w:val="19"/>
                <w:szCs w:val="19"/>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2013 and 2012, depreciation expense of property, plant and equipment was $5.8 million $3.3 million and $2.9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2014 and 2013, intangible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100" w:type="dxa"/>
            <w:vAlign w:val="bottom"/>
          </w:tcPr>
          <w:p>
            <w:pPr>
              <w:spacing w:after="0"/>
              <w:rPr>
                <w:sz w:val="16"/>
                <w:szCs w:val="16"/>
                <w:color w:val="auto"/>
              </w:rPr>
            </w:pPr>
          </w:p>
        </w:tc>
      </w:tr>
      <w:tr>
        <w:trPr>
          <w:trHeight w:val="238"/>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w:t>
            </w:r>
          </w:p>
        </w:tc>
      </w:tr>
      <w:tr>
        <w:trPr>
          <w:trHeight w:val="210"/>
        </w:trPr>
        <w:tc>
          <w:tcPr>
            <w:tcW w:w="3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24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3,827</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5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100" w:type="dxa"/>
            <w:vAlign w:val="bottom"/>
          </w:tcPr>
          <w:p>
            <w:pPr>
              <w:spacing w:after="0"/>
              <w:rPr>
                <w:sz w:val="16"/>
                <w:szCs w:val="16"/>
                <w:color w:val="auto"/>
              </w:rPr>
            </w:pPr>
          </w:p>
        </w:tc>
      </w:tr>
      <w:tr>
        <w:trPr>
          <w:trHeight w:val="238"/>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w:t>
            </w:r>
          </w:p>
        </w:tc>
      </w:tr>
      <w:tr>
        <w:trPr>
          <w:trHeight w:val="210"/>
        </w:trPr>
        <w:tc>
          <w:tcPr>
            <w:tcW w:w="3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24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5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F-14</w:t>
            </w:r>
          </w:p>
        </w:tc>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78" w:name="page79"/>
    <w:bookmarkEnd w:id="78"/>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2014, 2013 and 2012, amortization expense for intangible assets, included in general and administrative expenses on the income statement, was $356,000 $68,000 and $60,000, respectively. The remaining weighted average amortization period for intangible assets is approximately 11 years.</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2014 the Company acquired an intangible asset from an unrelated company in the form of a license to various patents related to transceiver product technology. The weighted-average amortization period for the license is 10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2014, approximate amortization expense for intangible assets was as follows (in thousands):</w:t>
      </w:r>
    </w:p>
    <w:p>
      <w:pPr>
        <w:spacing w:after="0" w:line="24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40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60" w:type="dxa"/>
            <w:vAlign w:val="bottom"/>
            <w:gridSpan w:val="2"/>
            <w:shd w:val="clear" w:color="auto" w:fill="EEEEEE"/>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shd w:val="clear" w:color="auto" w:fill="EEEEEE"/>
          </w:tcPr>
          <w:p>
            <w:pPr>
              <w:spacing w:after="0"/>
              <w:rPr>
                <w:sz w:val="18"/>
                <w:szCs w:val="18"/>
                <w:color w:val="auto"/>
              </w:rPr>
            </w:pPr>
          </w:p>
        </w:tc>
      </w:tr>
      <w:tr>
        <w:trPr>
          <w:trHeight w:val="216"/>
        </w:trPr>
        <w:tc>
          <w:tcPr>
            <w:tcW w:w="2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r>
      <w:tr>
        <w:trPr>
          <w:trHeight w:val="216"/>
        </w:trPr>
        <w:tc>
          <w:tcPr>
            <w:tcW w:w="240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shd w:val="clear" w:color="auto" w:fill="EEEEEE"/>
          </w:tcPr>
          <w:p>
            <w:pPr>
              <w:spacing w:after="0"/>
              <w:rPr>
                <w:sz w:val="18"/>
                <w:szCs w:val="18"/>
                <w:color w:val="auto"/>
              </w:rPr>
            </w:pPr>
          </w:p>
        </w:tc>
      </w:tr>
      <w:tr>
        <w:trPr>
          <w:trHeight w:val="216"/>
        </w:trPr>
        <w:tc>
          <w:tcPr>
            <w:tcW w:w="2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r>
      <w:tr>
        <w:trPr>
          <w:trHeight w:val="216"/>
        </w:trPr>
        <w:tc>
          <w:tcPr>
            <w:tcW w:w="240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shd w:val="clear" w:color="auto" w:fill="EEEEEE"/>
          </w:tcPr>
          <w:p>
            <w:pPr>
              <w:spacing w:after="0"/>
              <w:rPr>
                <w:sz w:val="18"/>
                <w:szCs w:val="18"/>
                <w:color w:val="auto"/>
              </w:rPr>
            </w:pPr>
          </w:p>
        </w:tc>
      </w:tr>
      <w:tr>
        <w:trPr>
          <w:trHeight w:val="230"/>
        </w:trPr>
        <w:tc>
          <w:tcPr>
            <w:tcW w:w="2400" w:type="dxa"/>
            <w:vAlign w:val="bottom"/>
            <w:tcBorders>
              <w:bottom w:val="single" w:sz="8" w:color="EEEEEE"/>
            </w:tcBorders>
          </w:tcPr>
          <w:p>
            <w:pPr>
              <w:jc w:val="right"/>
              <w:ind w:right="29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EEEEEE"/>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tcBorders>
              <w:bottom w:val="single" w:sz="8" w:color="EEEEEE"/>
            </w:tcBorders>
          </w:tcPr>
          <w:p>
            <w:pPr>
              <w:spacing w:after="0"/>
              <w:rPr>
                <w:sz w:val="19"/>
                <w:szCs w:val="19"/>
                <w:color w:val="auto"/>
              </w:rPr>
            </w:pPr>
          </w:p>
        </w:tc>
      </w:tr>
      <w:tr>
        <w:trPr>
          <w:trHeight w:val="223"/>
        </w:trPr>
        <w:tc>
          <w:tcPr>
            <w:tcW w:w="240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EEEEEE"/>
            </w:tcBorders>
            <w:shd w:val="clear" w:color="auto" w:fill="EEEEEE"/>
          </w:tcPr>
          <w:p>
            <w:pPr>
              <w:spacing w:after="0"/>
              <w:rPr>
                <w:sz w:val="19"/>
                <w:szCs w:val="19"/>
                <w:color w:val="auto"/>
              </w:rPr>
            </w:pPr>
          </w:p>
        </w:tc>
        <w:tc>
          <w:tcPr>
            <w:tcW w:w="660" w:type="dxa"/>
            <w:vAlign w:val="bottom"/>
            <w:tcBorders>
              <w:bottom w:val="single" w:sz="8" w:color="auto"/>
            </w:tcBorders>
            <w:shd w:val="clear" w:color="auto" w:fill="EEEEEE"/>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40" w:type="dxa"/>
            <w:vAlign w:val="bottom"/>
            <w:tcBorders>
              <w:bottom w:val="single" w:sz="8" w:color="EEEEEE"/>
            </w:tcBorders>
            <w:shd w:val="clear" w:color="auto" w:fill="EEEEEE"/>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G—FAIR VALUE OF FINANCIAL INSTRUMENTS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as of December 31, 2014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Significant other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active markets 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remaining inputs</w:t>
            </w:r>
          </w:p>
        </w:tc>
        <w:tc>
          <w:tcPr>
            <w:tcW w:w="18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32,175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32,175</w:t>
            </w:r>
          </w:p>
        </w:tc>
      </w:tr>
      <w:tr>
        <w:trPr>
          <w:trHeight w:val="216"/>
        </w:trPr>
        <w:tc>
          <w:tcPr>
            <w:tcW w:w="39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8,189</w:t>
            </w:r>
          </w:p>
        </w:tc>
      </w:tr>
      <w:tr>
        <w:trPr>
          <w:trHeight w:val="230"/>
        </w:trPr>
        <w:tc>
          <w:tcPr>
            <w:tcW w:w="39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r>
      <w:tr>
        <w:trPr>
          <w:trHeight w:val="263"/>
        </w:trPr>
        <w:tc>
          <w:tcPr>
            <w:tcW w:w="39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w:t>
            </w:r>
          </w:p>
        </w:tc>
        <w:tc>
          <w:tcPr>
            <w:tcW w:w="2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41,853</w:t>
            </w:r>
          </w:p>
        </w:tc>
        <w:tc>
          <w:tcPr>
            <w:tcW w:w="100" w:type="dxa"/>
            <w:vAlign w:val="bottom"/>
            <w:tcBorders>
              <w:bottom w:val="single" w:sz="8" w:color="EEEEEE"/>
            </w:tcBorders>
          </w:tcPr>
          <w:p>
            <w:pPr>
              <w:spacing w:after="0"/>
              <w:rPr>
                <w:sz w:val="22"/>
                <w:szCs w:val="22"/>
                <w:color w:val="auto"/>
              </w:rPr>
            </w:pPr>
          </w:p>
        </w:tc>
      </w:tr>
      <w:tr>
        <w:trPr>
          <w:trHeight w:val="197"/>
        </w:trPr>
        <w:tc>
          <w:tcPr>
            <w:tcW w:w="390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acceptance payable</w:t>
            </w:r>
          </w:p>
        </w:tc>
        <w:tc>
          <w:tcPr>
            <w:tcW w:w="1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EEEEEE"/>
          </w:tcPr>
          <w:p>
            <w:pPr>
              <w:ind w:left="128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99"/>
              </w:rPr>
              <w:t>F-15</w:t>
            </w: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79" w:name="page80"/>
    <w:bookmarkEnd w:id="79"/>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as of December 31, 2013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Significant other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active markets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remaining inputs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27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22,006</w:t>
            </w:r>
          </w:p>
        </w:tc>
        <w:tc>
          <w:tcPr>
            <w:tcW w:w="0" w:type="dxa"/>
            <w:vAlign w:val="bottom"/>
          </w:tcPr>
          <w:p>
            <w:pPr>
              <w:spacing w:after="0"/>
              <w:rPr>
                <w:sz w:val="1"/>
                <w:szCs w:val="1"/>
                <w:color w:val="auto"/>
              </w:rPr>
            </w:pPr>
          </w:p>
        </w:tc>
      </w:tr>
      <w:tr>
        <w:trPr>
          <w:trHeight w:val="216"/>
        </w:trPr>
        <w:tc>
          <w:tcPr>
            <w:tcW w:w="2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30"/>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investments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23"/>
        </w:trPr>
        <w:tc>
          <w:tcPr>
            <w:tcW w:w="27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shd w:val="clear" w:color="auto" w:fill="EEEEEE"/>
          </w:tcPr>
          <w:p>
            <w:pPr>
              <w:ind w:left="12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Bank acceptance payable</w:t>
            </w:r>
          </w:p>
        </w:tc>
        <w:tc>
          <w:tcPr>
            <w:tcW w:w="1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2,347</w:t>
            </w:r>
          </w:p>
        </w:tc>
        <w:tc>
          <w:tcPr>
            <w:tcW w:w="24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EEEEE"/>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tcPr>
          <w:p>
            <w:pPr>
              <w:ind w:left="128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H—NOTES PAYABLE AND LONG-TERM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gridSpan w:val="9"/>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prime plus 0.75% (floor</w:t>
            </w: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gridSpan w:val="3"/>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rate: 4%), maturing November 15, 2014</w:t>
            </w:r>
          </w:p>
        </w:tc>
        <w:tc>
          <w:tcPr>
            <w:tcW w:w="15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4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198"/>
        </w:trPr>
        <w:tc>
          <w:tcPr>
            <w:tcW w:w="754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U.S. bank up to $15,000 with interest at LIBOR plus 2.75%, maturing</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July 15, 2017</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198"/>
        </w:trPr>
        <w:tc>
          <w:tcPr>
            <w:tcW w:w="7540" w:type="dxa"/>
            <w:vAlign w:val="bottom"/>
            <w:gridSpan w:val="9"/>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 plus 2.75%,</w:t>
            </w: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maturing July 31, 2019</w:t>
            </w:r>
          </w:p>
        </w:tc>
        <w:tc>
          <w:tcPr>
            <w:tcW w:w="11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5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198"/>
        </w:trPr>
        <w:tc>
          <w:tcPr>
            <w:tcW w:w="754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$12,100 with interest at 108% of China Prime rate</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which ranged from 6.48% in 2013</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198"/>
        </w:trPr>
        <w:tc>
          <w:tcPr>
            <w:tcW w:w="7540" w:type="dxa"/>
            <w:vAlign w:val="bottom"/>
            <w:gridSpan w:val="9"/>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$3,250 with interest ranged from 0.73% to 1.73% with</w:t>
            </w: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gridSpan w:val="5"/>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various maturity dates from February 2015 to March 2015</w:t>
            </w: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1,064</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198"/>
        </w:trPr>
        <w:tc>
          <w:tcPr>
            <w:tcW w:w="754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$4,000 with interest at Taiwan Time Deposit Interest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Rate Index plus 0.41% or LIBOR plus 1.28% maturing on May 24, 2015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198"/>
        </w:trPr>
        <w:tc>
          <w:tcPr>
            <w:tcW w:w="7540" w:type="dxa"/>
            <w:vAlign w:val="bottom"/>
            <w:gridSpan w:val="9"/>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$4,000 with interest at Taiwan Time Deposit Interest</w:t>
            </w: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gridSpan w:val="5"/>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Rate Index plus 0.41% or LIBOR plus 1.28% maturing on June 15, 2015</w:t>
            </w: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3,605</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finance company due in monthly installments with 4.95% interest, maturing July 30,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2015</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2720" w:type="dxa"/>
            <w:vAlign w:val="bottom"/>
            <w:tcBorders>
              <w:top w:val="single" w:sz="8" w:color="EEEEEE"/>
            </w:tcBorders>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26,108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(9,591)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(17,185)</w:t>
            </w:r>
          </w:p>
        </w:tc>
        <w:tc>
          <w:tcPr>
            <w:tcW w:w="0" w:type="dxa"/>
            <w:vAlign w:val="bottom"/>
          </w:tcPr>
          <w:p>
            <w:pPr>
              <w:spacing w:after="0"/>
              <w:rPr>
                <w:sz w:val="1"/>
                <w:szCs w:val="1"/>
                <w:color w:val="auto"/>
              </w:rPr>
            </w:pPr>
          </w:p>
        </w:tc>
      </w:tr>
      <w:tr>
        <w:trPr>
          <w:trHeight w:val="223"/>
        </w:trPr>
        <w:tc>
          <w:tcPr>
            <w:tcW w:w="2720" w:type="dxa"/>
            <w:vAlign w:val="bottom"/>
            <w:tcBorders>
              <w:top w:val="single" w:sz="8" w:color="EEEEEE"/>
              <w:bottom w:val="single" w:sz="8" w:color="EEEEEE"/>
            </w:tcBorders>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Long term portion</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96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Bank Acceptance Payable</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540" w:type="dxa"/>
            <w:vAlign w:val="bottom"/>
            <w:gridSpan w:val="9"/>
            <w:shd w:val="clear" w:color="auto" w:fill="EEEEEE"/>
          </w:tcPr>
          <w:p>
            <w:pPr>
              <w:spacing w:after="0" w:line="191" w:lineRule="exact"/>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 a 30% guarantee deposit</w:t>
            </w:r>
          </w:p>
        </w:tc>
        <w:tc>
          <w:tcPr>
            <w:tcW w:w="2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56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gridSpan w:val="5"/>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of $741, and maturity dates ranging from January 2015 to June 2015</w:t>
            </w: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December 31,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Maturities of notes payable and long-term debt are as follows for the future years ending December 31(in thousands):</w:t>
      </w:r>
    </w:p>
    <w:p>
      <w:pPr>
        <w:spacing w:after="0" w:line="24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2015</w:t>
            </w:r>
          </w:p>
        </w:tc>
        <w:tc>
          <w:tcPr>
            <w:tcW w:w="600" w:type="dxa"/>
            <w:vAlign w:val="bottom"/>
            <w:gridSpan w:val="2"/>
            <w:shd w:val="clear" w:color="auto" w:fill="EEEEEE"/>
          </w:tcPr>
          <w:p>
            <w:pPr>
              <w:jc w:val="right"/>
              <w:ind w:right="46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20" w:type="dxa"/>
            <w:vAlign w:val="bottom"/>
            <w:shd w:val="clear" w:color="auto" w:fill="EEEEEE"/>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r>
      <w:tr>
        <w:trPr>
          <w:trHeight w:val="216"/>
        </w:trPr>
        <w:tc>
          <w:tcPr>
            <w:tcW w:w="2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120" w:type="dxa"/>
            <w:vAlign w:val="bottom"/>
            <w:shd w:val="clear" w:color="auto" w:fill="EEEEEE"/>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r>
      <w:tr>
        <w:trPr>
          <w:trHeight w:val="230"/>
        </w:trPr>
        <w:tc>
          <w:tcPr>
            <w:tcW w:w="2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EEEEEE"/>
          </w:tcPr>
          <w:p>
            <w:pPr>
              <w:spacing w:after="0"/>
              <w:rPr>
                <w:sz w:val="19"/>
                <w:szCs w:val="19"/>
                <w:color w:val="auto"/>
              </w:rPr>
            </w:pPr>
          </w:p>
        </w:tc>
        <w:tc>
          <w:tcPr>
            <w:tcW w:w="58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EEEEEE"/>
          </w:tcPr>
          <w:p>
            <w:pPr>
              <w:spacing w:after="0"/>
              <w:rPr>
                <w:sz w:val="19"/>
                <w:szCs w:val="19"/>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2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agreements with the U.S. banks require us to maintain certain financial covenants, including a minimum current ratio and minimum annual EBITDA. Collateral for the U.S. bank loans and line of credit includes substantially all of the assets of the Company. As of December 31, 2014, the Company was in compliance with all covenants contained in these agreements.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July 15, 2014, the Company renewed its revolving line of credit with a U.S. bank, increasing the line from $7.0 million to $15.0 million, and extending the maturity date to July 15, 2017. The interest rate on this line of credit is the LIBOR Borrowing Rate plus 2.75%.</w:t>
      </w:r>
    </w:p>
    <w:p>
      <w:pPr>
        <w:spacing w:after="0" w:line="162" w:lineRule="exact"/>
        <w:rPr>
          <w:sz w:val="20"/>
          <w:szCs w:val="20"/>
          <w:color w:val="auto"/>
        </w:rPr>
      </w:pPr>
    </w:p>
    <w:p>
      <w:pPr>
        <w:ind w:right="480" w:firstLine="693"/>
        <w:spacing w:after="0" w:line="282" w:lineRule="auto"/>
        <w:rPr>
          <w:sz w:val="20"/>
          <w:szCs w:val="20"/>
          <w:color w:val="auto"/>
        </w:rPr>
      </w:pPr>
      <w:r>
        <w:rPr>
          <w:rFonts w:ascii="Times New Roman" w:cs="Times New Roman" w:eastAsia="Times New Roman" w:hAnsi="Times New Roman"/>
          <w:sz w:val="18"/>
          <w:szCs w:val="18"/>
          <w:color w:val="auto"/>
        </w:rPr>
        <w:t>On July 31, 2014, the Company renewed its $5.0 million credit agreement with a U.S. bank, extending the maturity date to July 31, 2019. The interest rate on this line of credit is the LIBOR Borrowing Rate plus 2.75%.</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through its China subsidiary, established RMB and USD currency lines of credit for $12.1 million and $3.3 million, respectively, with a China bank as of December 31, 2014. The interest rate for the RMB line of credit is 108% of the China prime rate. The interest rate for the USD line of credit ranged from 0.73% to 1.73%. These credit lines are revolving lines that are renewable by its anniversary. Collateral for the loans includes the land use rights, building and equipment located in China.</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extended its equipment financing agreement of $1.0 million with a Taiwan bank in 2013. The financing agreement required equipment collateral. The agreement requires monthly installment payments over 24 months and ends in July 2015. The financing agreement bears interest at the rate of 4.95%.</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through its Taiwan branch, established two $4.0 million revolving lines of credit with Taiwan banks in 2013 totaling $8.0 million. The financing agreements require collateral of its time deposits of $8.0 million that is included in short-term investment. The two revolving lines of credit bear interest at a rate (which adjusts quarterly) equal to the Taiwan Time Deposit Interest Rate Index plus 0.41%, currently 1.78%, and at a base rate equal to TAIBOR plus 1%, currently 1.75%. As of December 31, 2014, $7.1 million was outstanding under these credit facilities.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2014, the Company had $14.3 million of unused borrowing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I—SHORT-TERM LOAN WITH SHAREHOLDERS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2010, the Company borrowed $3.2 million from 12 shareholders under the terms of unsecured promissory note agreements. These notes bore an interest rate of 6% with maturity dates of 18 months from the effective dates of the notes originally maturing on October 21, 2011, but extended to December 31, 2012. The note holders were also issued warrants that expire by April 23, 2020, to purchase 51,200 shares of the Company’s Series F Preferred Stock, with an exercise price of $7.50 per share. As part of the loan maturity date extension, additional warrants to purchase 6,081 shares of the Company’s Series G Preferred Stock were issued in 2011 with an exercise price of $18.00 per share that expire on April 23, 2020.</w:t>
      </w:r>
    </w:p>
    <w:p>
      <w:pPr>
        <w:spacing w:after="0" w:line="18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2011, two of the note holders converted their respective notes into shares of Series G Preferred Stock and four of the notes were repaid in full. In 2012, five of the remaining note holders converted their respective notes into shares of Series G Preferred Stock and one of the notes was repaid. As of December 31, 2012, all principal and interest related to these notes had been fully satisfied.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2013, warrants related to these loans were exercised for 64,219 shares of common stock.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J—ACCRUED LIABILITIES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as of December 31:</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gridSpan w:val="3"/>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3,662</w:t>
            </w:r>
          </w:p>
        </w:tc>
        <w:tc>
          <w:tcPr>
            <w:tcW w:w="2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400" w:type="dxa"/>
            <w:vAlign w:val="bottom"/>
            <w:shd w:val="clear" w:color="auto" w:fill="EEEEEE"/>
          </w:tcPr>
          <w:p>
            <w:pPr>
              <w:spacing w:after="0"/>
              <w:rPr>
                <w:sz w:val="19"/>
                <w:szCs w:val="19"/>
                <w:color w:val="auto"/>
              </w:rPr>
            </w:pPr>
          </w:p>
        </w:tc>
        <w:tc>
          <w:tcPr>
            <w:tcW w:w="1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2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6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K—OTHER INCOME AND EXPENSE</w:t>
            </w: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as of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8"/>
          </w:tcPr>
          <w:p>
            <w:pPr>
              <w:jc w:val="right"/>
              <w:ind w:right="52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98"/>
              </w:rPr>
              <w:t>(1,299)</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7"/>
              </w:rPr>
              <w:t>(342)</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Realized foreign exchange gain (loss)</w:t>
            </w: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non-operating gain (loss)</w:t>
            </w: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EEEEEE"/>
          </w:tcPr>
          <w:p>
            <w:pPr>
              <w:spacing w:after="0"/>
              <w:rPr>
                <w:sz w:val="19"/>
                <w:szCs w:val="19"/>
                <w:color w:val="auto"/>
              </w:rPr>
            </w:pPr>
          </w:p>
        </w:tc>
        <w:tc>
          <w:tcPr>
            <w:tcW w:w="20" w:type="dxa"/>
            <w:vAlign w:val="bottom"/>
            <w:tcBorders>
              <w:top w:val="single" w:sz="8" w:color="auto"/>
              <w:bottom w:val="single" w:sz="8" w:color="auto"/>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Borders>
              <w:top w:val="single" w:sz="8" w:color="EEEEEE"/>
              <w:bottom w:val="single" w:sz="8" w:color="EEEEEE"/>
            </w:tcBorders>
            <w:shd w:val="clear" w:color="auto" w:fill="EEEEEE"/>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L—INCOME TAXES</w:t>
            </w: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The sources of our income or loss from operations before income taxes were as follows: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Domestic</w:t>
            </w:r>
          </w:p>
        </w:tc>
        <w:tc>
          <w:tcPr>
            <w:tcW w:w="1580" w:type="dxa"/>
            <w:vAlign w:val="bottom"/>
            <w:gridSpan w:val="2"/>
            <w:shd w:val="clear" w:color="auto" w:fill="EEEEEE"/>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1,226</w:t>
            </w:r>
          </w:p>
        </w:tc>
        <w:tc>
          <w:tcPr>
            <w:tcW w:w="740" w:type="dxa"/>
            <w:vAlign w:val="bottom"/>
            <w:gridSpan w:val="3"/>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(684)</w:t>
            </w:r>
          </w:p>
        </w:tc>
        <w:tc>
          <w:tcPr>
            <w:tcW w:w="3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Foreign (loss) income</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3,256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23"/>
        </w:trPr>
        <w:tc>
          <w:tcPr>
            <w:tcW w:w="54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income (loss)</w:t>
            </w:r>
          </w:p>
        </w:tc>
        <w:tc>
          <w:tcPr>
            <w:tcW w:w="40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4,482</w:t>
            </w:r>
          </w:p>
        </w:tc>
        <w:tc>
          <w:tcPr>
            <w:tcW w:w="360" w:type="dxa"/>
            <w:vAlign w:val="bottom"/>
            <w:tcBorders>
              <w:top w:val="single" w:sz="8" w:color="EEEEEE"/>
              <w:bottom w:val="single" w:sz="8" w:color="EEEEEE"/>
            </w:tcBorders>
            <w:gridSpan w:val="2"/>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gridSpan w:val="3"/>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w w:val="94"/>
              </w:rPr>
              <w:t>(1,406</w:t>
            </w:r>
          </w:p>
        </w:tc>
        <w:tc>
          <w:tcPr>
            <w:tcW w:w="280" w:type="dxa"/>
            <w:vAlign w:val="bottom"/>
            <w:tcBorders>
              <w:top w:val="single" w:sz="8" w:color="EEEEEE"/>
              <w:bottom w:val="single" w:sz="8" w:color="EEEEEE"/>
            </w:tcBorders>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F-18</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0" w:right="2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The provision for income tax expense for the years ended December 31,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3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Federal</w:t>
            </w:r>
          </w:p>
        </w:tc>
        <w:tc>
          <w:tcPr>
            <w:tcW w:w="3360" w:type="dxa"/>
            <w:vAlign w:val="bottom"/>
            <w:gridSpan w:val="2"/>
            <w:shd w:val="clear" w:color="auto" w:fill="EEEEEE"/>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193</w:t>
            </w:r>
          </w:p>
        </w:tc>
        <w:tc>
          <w:tcPr>
            <w:tcW w:w="1420" w:type="dxa"/>
            <w:vAlign w:val="bottom"/>
            <w:shd w:val="clear" w:color="auto" w:fill="EEEEEE"/>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EEEEEE"/>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w:t>
            </w:r>
          </w:p>
        </w:tc>
        <w:tc>
          <w:tcPr>
            <w:tcW w:w="2200" w:type="dxa"/>
            <w:vAlign w:val="bottom"/>
            <w:shd w:val="clear" w:color="auto" w:fill="EEEEEE"/>
          </w:tcPr>
          <w:p>
            <w:pPr>
              <w:spacing w:after="0"/>
              <w:rPr>
                <w:sz w:val="19"/>
                <w:szCs w:val="19"/>
                <w:color w:val="auto"/>
              </w:rPr>
            </w:pPr>
          </w:p>
        </w:tc>
        <w:tc>
          <w:tcPr>
            <w:tcW w:w="116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spacing w:after="0"/>
              <w:rPr>
                <w:sz w:val="19"/>
                <w:szCs w:val="19"/>
                <w:color w:val="auto"/>
              </w:rPr>
            </w:pPr>
          </w:p>
        </w:tc>
        <w:tc>
          <w:tcPr>
            <w:tcW w:w="3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Pr>
          <w:p>
            <w:pPr>
              <w:spacing w:after="0"/>
              <w:rPr>
                <w:sz w:val="18"/>
                <w:szCs w:val="18"/>
                <w:color w:val="auto"/>
              </w:rPr>
            </w:pPr>
          </w:p>
        </w:tc>
        <w:tc>
          <w:tcPr>
            <w:tcW w:w="116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Pr>
          <w:p>
            <w:pPr>
              <w:spacing w:after="0"/>
              <w:rPr>
                <w:sz w:val="18"/>
                <w:szCs w:val="18"/>
                <w:color w:val="auto"/>
              </w:rPr>
            </w:pPr>
          </w:p>
        </w:tc>
        <w:tc>
          <w:tcPr>
            <w:tcW w:w="142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w:t>
            </w:r>
          </w:p>
        </w:tc>
        <w:tc>
          <w:tcPr>
            <w:tcW w:w="2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3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State</w:t>
            </w:r>
          </w:p>
        </w:tc>
        <w:tc>
          <w:tcPr>
            <w:tcW w:w="2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EEEEEE"/>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EEEEEE"/>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EEEEEE"/>
            </w:tcBorders>
          </w:tcPr>
          <w:p>
            <w:pPr>
              <w:spacing w:after="0"/>
              <w:rPr>
                <w:sz w:val="19"/>
                <w:szCs w:val="19"/>
                <w:color w:val="auto"/>
              </w:rPr>
            </w:pPr>
          </w:p>
        </w:tc>
        <w:tc>
          <w:tcPr>
            <w:tcW w:w="220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Borders>
              <w:bottom w:val="single" w:sz="8" w:color="EEEEEE"/>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57" w:lineRule="auto"/>
        <w:rPr>
          <w:sz w:val="20"/>
          <w:szCs w:val="20"/>
          <w:color w:val="auto"/>
        </w:rPr>
      </w:pPr>
      <w:r>
        <w:rPr>
          <w:rFonts w:ascii="Times New Roman" w:cs="Times New Roman" w:eastAsia="Times New Roman" w:hAnsi="Times New Roman"/>
          <w:sz w:val="18"/>
          <w:szCs w:val="18"/>
          <w:color w:val="auto"/>
        </w:rPr>
        <w:t>Deferred income tax assets and liabilities result principally from net operating losses, different methods of recognizing depreciation, reserve for doubtful accounts, inventory reserves for obsolescence and accrued vacation, together with timing differences between book and tax reporting. At December 31, the net deferred tax assets and liabilities are comprised of the following approximate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NOL carryforward</w:t>
            </w:r>
          </w:p>
        </w:tc>
        <w:tc>
          <w:tcPr>
            <w:tcW w:w="3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12,266</w:t>
            </w:r>
          </w:p>
        </w:tc>
        <w:tc>
          <w:tcPr>
            <w:tcW w:w="640" w:type="dxa"/>
            <w:vAlign w:val="bottom"/>
            <w:gridSpan w:val="2"/>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14,908</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AMT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3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(1,631)</w:t>
            </w: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0"/>
        </w:trPr>
        <w:tc>
          <w:tcPr>
            <w:tcW w:w="77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(12,674)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(14,110)</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60" w:type="dxa"/>
            <w:vAlign w:val="bottom"/>
            <w:tcBorders>
              <w:top w:val="single" w:sz="8" w:color="auto"/>
              <w:bottom w:val="single" w:sz="8" w:color="auto"/>
            </w:tcBorders>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valuation allowance was established to reduce the deferred tax asset for the amount that will likely not be realized. This reduction is primarily necessary due to the uncertainty of the Company’s ability to utilize all of the net operating loss carry forwards. The valuation allowance decreased by $1.5 million in 2014 and decreased by $7.5 million in 2013. The decrease in 2014 was primarily the result of current year changes in deferred income tax assets and liabilities. The 2013 decrease was primarily due to a reduction of the deferred tax asset for our U.S. net operating losses, as a consequence of the changes in ownership discussed below.</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 U.S. net operating loss carry forward of approximately $56.5 million, which expires between 2020 and 2032. The Company has a net operating loss carryforward from its China operations of approximately $5.7 million, which expires between 2015 and 2019. Utilization of net operating losses and tax credit carry forwards are subject to a substantial annual limitation due to the ownership change limitations set forth in Internal Revenue Code Section 382. Based upon analysis performed with respect to Section 382 of the Internal Revenue Code, approximately $21.6 million of the total available U.S. net operating loss carry forwards and $0.3 million of U.S. research and development credits will not be available for utilization as an offset to taxable income in future periods. Because of changes in control that are deemed to have occurred under Section 382, the Company’s net operating loss carry forward available in calendar year 2014 to offset taxable income was limited to $40.7 million, with an additional $3.4 million becoming available between 2015 and 2025. The additional $3.4 million is subject to an annual limitation of the $0.3 million. Additional ownership changes could result in the expiration of the net operating loss and tax credit carryforward before utilization.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approximately $0.6 million of windfall tax benefits from previous stock option exercises that have not been recognized as of December 31, 2014. This amount will not be recognized until the deduction would reduce our U.S. income taxes payable. At such time, the amount will be recorded as an increase in paid-in-capital. The Company uses ASC 740 ordering when determining when excess tax benefits have been realized.</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states and foreign jurisdictions. As of December 31, 2014, the Company’s U.S. and China federal returns for the year ended December 31, 2011 through the current period are still open to examination. In addition, all of the net operating losses and research and development credit carry forwards that may be utilized in future years are still subject to examination. With few exceptions, as of December 31, 2014, the Company is no longer subject to examinations by tax authorities in Taiwan for the taxable years before 2013. The Company is not currently subject to U.S. federal, state and local, or non-U.S. income tax examinations by any tax authorities.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income tax rate of 34% for the years ended December 31, to the Company’s effective income tax rate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4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(benefit) taxes</w:t>
            </w:r>
          </w:p>
        </w:tc>
        <w:tc>
          <w:tcPr>
            <w:tcW w:w="244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(467)</w:t>
            </w:r>
          </w:p>
        </w:tc>
        <w:tc>
          <w:tcPr>
            <w:tcW w:w="480" w:type="dxa"/>
            <w:vAlign w:val="bottom"/>
            <w:gridSpan w:val="2"/>
            <w:shd w:val="clear" w:color="auto" w:fill="EEEEEE"/>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 rate differences</w:t>
            </w:r>
          </w:p>
        </w:tc>
        <w:tc>
          <w:tcPr>
            <w:tcW w:w="13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(7,533)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r>
      <w:tr>
        <w:trPr>
          <w:trHeight w:val="216"/>
        </w:trPr>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Section 382 limitation</w:t>
            </w:r>
          </w:p>
        </w:tc>
        <w:tc>
          <w:tcPr>
            <w:tcW w:w="13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7,423</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4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38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wholly owned subsidiary, Prime World is a tax-exempt entity under the Income Tax Code of the British Virgin Islands.</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Global Technology, Inc. renewed its National high-tech enterprise certificate and was therefore extended its three year tax preferential status from November 2011 to November 2014. An application to extend the tax preferential status to September 2017 has been approved by the Chinese government.</w:t>
      </w:r>
    </w:p>
    <w:p>
      <w:pPr>
        <w:spacing w:after="0" w:line="18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and December 31, 2013, the total amount of unrecognized tax benefit was $1.6 million and $2.2 million, respectively. The following is a tabular reconciliation of the total amounts of unrecognized tax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 — January 1</w:t>
            </w:r>
          </w:p>
        </w:tc>
        <w:tc>
          <w:tcPr>
            <w:tcW w:w="220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w:t>
            </w:r>
          </w:p>
        </w:tc>
        <w:tc>
          <w:tcPr>
            <w:tcW w:w="520" w:type="dxa"/>
            <w:vAlign w:val="bottom"/>
            <w:gridSpan w:val="2"/>
            <w:shd w:val="clear" w:color="auto" w:fill="EEEEEE"/>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(2,200)</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 — December 31</w:t>
            </w: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1,659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we had $1.6 million of unrecognized tax benefits related to US tax benefits recognized for prior branch losses and research and development credits. As of December 31, 2013, we had $2.2 million of unrecognized tax benefits related to US tax benefits recognized for prior year branch losses. If recognized, there would be no impact our effective tax rate as a result of the full valuation allowance previously recognized. We believe that it is reasonably possible that $0.3 million of our remaining unrecognized tax positions may be recognized by the end of 2015.</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accrued related to unrecognized tax benefits and penalties as income tax expense. Related to the unrecognized tax benefits noted above, it has not accrued penalties or interest during 2014 as a result of net operating losses. During 2013, the Company also accrued no penalties or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M—SHARE-BASED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1998 Share Incentive Plan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 Share Incentive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2004 Share Incentive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issues stock options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and restrictive stock units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0" w:type="dxa"/>
            <w:vAlign w:val="bottom"/>
          </w:tcPr>
          <w:p>
            <w:pPr>
              <w:spacing w:after="0"/>
              <w:rPr>
                <w:sz w:val="20"/>
                <w:szCs w:val="20"/>
                <w:color w:val="auto"/>
              </w:rPr>
            </w:pPr>
          </w:p>
        </w:tc>
        <w:tc>
          <w:tcPr>
            <w:tcW w:w="14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(in thousands, except price data)</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January 1, 2012</w:t>
            </w:r>
          </w:p>
        </w:tc>
        <w:tc>
          <w:tcPr>
            <w:tcW w:w="15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5.88</w:t>
            </w:r>
          </w:p>
        </w:tc>
        <w:tc>
          <w:tcPr>
            <w:tcW w:w="164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w:t>
            </w: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6.29</w:t>
            </w:r>
          </w:p>
        </w:tc>
        <w:tc>
          <w:tcPr>
            <w:tcW w:w="164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w:t>
            </w: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EEEEEE"/>
          </w:tcPr>
          <w:p>
            <w:pPr>
              <w:spacing w:after="0"/>
              <w:rPr>
                <w:sz w:val="19"/>
                <w:szCs w:val="19"/>
                <w:color w:val="auto"/>
              </w:rPr>
            </w:pPr>
          </w:p>
        </w:tc>
        <w:tc>
          <w:tcPr>
            <w:tcW w:w="14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5.30</w:t>
            </w:r>
          </w:p>
        </w:tc>
        <w:tc>
          <w:tcPr>
            <w:tcW w:w="1640" w:type="dxa"/>
            <w:vAlign w:val="bottom"/>
            <w:shd w:val="clear" w:color="auto" w:fill="EEEEEE"/>
          </w:tcPr>
          <w:p>
            <w:pPr>
              <w:spacing w:after="0"/>
              <w:rPr>
                <w:sz w:val="19"/>
                <w:szCs w:val="19"/>
                <w:color w:val="auto"/>
              </w:rPr>
            </w:pPr>
          </w:p>
        </w:tc>
        <w:tc>
          <w:tcPr>
            <w:tcW w:w="16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2012</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5.94</w:t>
            </w: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1,099</w:t>
            </w:r>
          </w:p>
        </w:tc>
        <w:tc>
          <w:tcPr>
            <w:tcW w:w="36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9.21</w:t>
            </w:r>
          </w:p>
        </w:tc>
        <w:tc>
          <w:tcPr>
            <w:tcW w:w="164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5.87</w:t>
            </w: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7.10</w:t>
            </w:r>
          </w:p>
        </w:tc>
        <w:tc>
          <w:tcPr>
            <w:tcW w:w="164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5.99</w:t>
            </w:r>
          </w:p>
        </w:tc>
        <w:tc>
          <w:tcPr>
            <w:tcW w:w="1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December 31, 2013</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8.38</w:t>
            </w:r>
          </w:p>
        </w:tc>
        <w:tc>
          <w:tcPr>
            <w:tcW w:w="1640" w:type="dxa"/>
            <w:vAlign w:val="bottom"/>
            <w:tcBorders>
              <w:top w:val="single" w:sz="8" w:color="EEEEEE"/>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4.17</w:t>
            </w:r>
          </w:p>
        </w:tc>
        <w:tc>
          <w:tcPr>
            <w:tcW w:w="16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9,731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13.84</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7.24</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6.22</w:t>
            </w:r>
          </w:p>
        </w:tc>
        <w:tc>
          <w:tcPr>
            <w:tcW w:w="16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2.57</w:t>
            </w:r>
          </w:p>
        </w:tc>
        <w:tc>
          <w:tcPr>
            <w:tcW w:w="16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8.23</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5.43</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EEEEEE"/>
          </w:tcPr>
          <w:p>
            <w:pPr>
              <w:spacing w:after="0"/>
              <w:rPr>
                <w:sz w:val="19"/>
                <w:szCs w:val="19"/>
                <w:color w:val="auto"/>
              </w:rPr>
            </w:pPr>
          </w:p>
        </w:tc>
        <w:tc>
          <w:tcPr>
            <w:tcW w:w="14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6.21</w:t>
            </w:r>
          </w:p>
        </w:tc>
        <w:tc>
          <w:tcPr>
            <w:tcW w:w="16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16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Outstanding, December 31, 2014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0" w:type="dxa"/>
            <w:vAlign w:val="bottom"/>
            <w:tcBorders>
              <w:bottom w:val="single" w:sz="8" w:color="EEEEEE"/>
            </w:tcBorders>
          </w:tcPr>
          <w:p>
            <w:pPr>
              <w:spacing w:after="0"/>
              <w:rPr>
                <w:sz w:val="22"/>
                <w:szCs w:val="22"/>
                <w:color w:val="auto"/>
              </w:rPr>
            </w:pPr>
          </w:p>
        </w:tc>
        <w:tc>
          <w:tcPr>
            <w:tcW w:w="360" w:type="dxa"/>
            <w:vAlign w:val="bottom"/>
            <w:tcBorders>
              <w:bottom w:val="single" w:sz="8" w:color="EEEEEE"/>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EEEEE"/>
            </w:tcBorders>
          </w:tcPr>
          <w:p>
            <w:pPr>
              <w:jc w:val="right"/>
              <w:ind w:right="190"/>
              <w:spacing w:after="0"/>
              <w:rPr>
                <w:sz w:val="20"/>
                <w:szCs w:val="20"/>
                <w:color w:val="auto"/>
              </w:rPr>
            </w:pPr>
            <w:r>
              <w:rPr>
                <w:rFonts w:ascii="Times New Roman" w:cs="Times New Roman" w:eastAsia="Times New Roman" w:hAnsi="Times New Roman"/>
                <w:sz w:val="18"/>
                <w:szCs w:val="18"/>
                <w:color w:val="auto"/>
              </w:rPr>
              <w:t>8.96</w:t>
            </w:r>
          </w:p>
        </w:tc>
        <w:tc>
          <w:tcPr>
            <w:tcW w:w="1640" w:type="dxa"/>
            <w:vAlign w:val="bottom"/>
            <w:tcBorders>
              <w:bottom w:val="single" w:sz="8" w:color="EEEEEE"/>
            </w:tcBorders>
          </w:tcPr>
          <w:p>
            <w:pPr>
              <w:jc w:val="right"/>
              <w:ind w:right="90"/>
              <w:spacing w:after="0"/>
              <w:rPr>
                <w:sz w:val="20"/>
                <w:szCs w:val="20"/>
                <w:color w:val="auto"/>
              </w:rPr>
            </w:pPr>
            <w:r>
              <w:rPr>
                <w:rFonts w:ascii="Times New Roman" w:cs="Times New Roman" w:eastAsia="Times New Roman" w:hAnsi="Times New Roman"/>
                <w:sz w:val="18"/>
                <w:szCs w:val="18"/>
                <w:color w:val="auto"/>
              </w:rPr>
              <w:t>4.48</w:t>
            </w:r>
          </w:p>
        </w:tc>
        <w:tc>
          <w:tcPr>
            <w:tcW w:w="1680" w:type="dxa"/>
            <w:vAlign w:val="bottom"/>
            <w:tcBorders>
              <w:bottom w:val="single" w:sz="8" w:color="EEEEEE"/>
            </w:tcBorders>
          </w:tcPr>
          <w:p>
            <w:pPr>
              <w:jc w:val="right"/>
              <w:ind w:right="70"/>
              <w:spacing w:after="0"/>
              <w:rPr>
                <w:sz w:val="20"/>
                <w:szCs w:val="20"/>
                <w:color w:val="auto"/>
              </w:rPr>
            </w:pPr>
            <w:r>
              <w:rPr>
                <w:rFonts w:ascii="Times New Roman" w:cs="Times New Roman" w:eastAsia="Times New Roman" w:hAnsi="Times New Roman"/>
                <w:sz w:val="18"/>
                <w:szCs w:val="18"/>
                <w:color w:val="auto"/>
              </w:rPr>
              <w:t>8.097</w:t>
            </w:r>
          </w:p>
        </w:tc>
        <w:tc>
          <w:tcPr>
            <w:tcW w:w="26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197"/>
        </w:trPr>
        <w:tc>
          <w:tcPr>
            <w:tcW w:w="3100" w:type="dxa"/>
            <w:vAlign w:val="bottom"/>
            <w:tcBorders>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Exercisable, December 31, 2014</w:t>
            </w:r>
          </w:p>
        </w:tc>
        <w:tc>
          <w:tcPr>
            <w:tcW w:w="138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537</w:t>
            </w:r>
          </w:p>
        </w:tc>
        <w:tc>
          <w:tcPr>
            <w:tcW w:w="2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EEEEEE"/>
            </w:tcBorders>
            <w:shd w:val="clear" w:color="auto" w:fill="EEEEEE"/>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7.68</w:t>
            </w:r>
          </w:p>
        </w:tc>
        <w:tc>
          <w:tcPr>
            <w:tcW w:w="1640" w:type="dxa"/>
            <w:vAlign w:val="bottom"/>
            <w:tcBorders>
              <w:bottom w:val="single" w:sz="8" w:color="EEEEEE"/>
            </w:tcBorders>
            <w:shd w:val="clear" w:color="auto" w:fill="EEEEEE"/>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1680" w:type="dxa"/>
            <w:vAlign w:val="bottom"/>
            <w:tcBorders>
              <w:bottom w:val="single" w:sz="8" w:color="EEEEEE"/>
            </w:tcBorders>
            <w:shd w:val="clear" w:color="auto" w:fill="EEEEEE"/>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7.319</w:t>
            </w:r>
          </w:p>
        </w:tc>
        <w:tc>
          <w:tcPr>
            <w:tcW w:w="260" w:type="dxa"/>
            <w:vAlign w:val="bottom"/>
            <w:tcBorders>
              <w:bottom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8.94</w:t>
            </w:r>
          </w:p>
        </w:tc>
        <w:tc>
          <w:tcPr>
            <w:tcW w:w="16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4.46</w:t>
            </w:r>
          </w:p>
        </w:tc>
        <w:tc>
          <w:tcPr>
            <w:tcW w:w="16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8.087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3,444</w:t>
            </w: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1,397</w:t>
            </w:r>
          </w:p>
        </w:tc>
        <w:tc>
          <w:tcPr>
            <w:tcW w:w="2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F-21</w:t>
            </w:r>
          </w:p>
        </w:tc>
        <w:tc>
          <w:tcPr>
            <w:tcW w:w="1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options outstanding at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80" w:type="dxa"/>
            <w:vAlign w:val="bottom"/>
          </w:tcPr>
          <w:p>
            <w:pPr>
              <w:spacing w:after="0"/>
              <w:rPr>
                <w:sz w:val="18"/>
                <w:szCs w:val="18"/>
                <w:color w:val="auto"/>
              </w:rPr>
            </w:pPr>
          </w:p>
        </w:tc>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6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r>
      <w:tr>
        <w:trPr>
          <w:trHeight w:val="210"/>
        </w:trPr>
        <w:tc>
          <w:tcPr>
            <w:tcW w:w="4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price data)</w:t>
            </w:r>
          </w:p>
        </w:tc>
        <w:tc>
          <w:tcPr>
            <w:tcW w:w="1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$6.00 - $6.75</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16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6.047</w:t>
            </w:r>
          </w:p>
        </w:tc>
        <w:tc>
          <w:tcPr>
            <w:tcW w:w="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6.00</w:t>
            </w: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154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5.906</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$6.76</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$8.25</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8.045</w:t>
            </w:r>
          </w:p>
        </w:tc>
        <w:tc>
          <w:tcPr>
            <w:tcW w:w="28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7.50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8.039</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$8.26</w:t>
            </w:r>
          </w:p>
        </w:tc>
        <w:tc>
          <w:tcPr>
            <w:tcW w:w="15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$9.48</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8.279</w:t>
            </w:r>
          </w:p>
        </w:tc>
        <w:tc>
          <w:tcPr>
            <w:tcW w:w="28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9.00</w:t>
            </w: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8.279</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$9.49</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$11.55</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8.736</w:t>
            </w:r>
          </w:p>
        </w:tc>
        <w:tc>
          <w:tcPr>
            <w:tcW w:w="28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9.96</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8.736</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1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$11.56 - $13.49</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8.808</w:t>
            </w:r>
          </w:p>
        </w:tc>
        <w:tc>
          <w:tcPr>
            <w:tcW w:w="28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13.13</w:t>
            </w: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8.808</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$13.50 - $13.84</w:t>
            </w:r>
          </w:p>
        </w:tc>
        <w:tc>
          <w:tcPr>
            <w:tcW w:w="1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9.080</w:t>
            </w:r>
          </w:p>
        </w:tc>
        <w:tc>
          <w:tcPr>
            <w:tcW w:w="28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13.84</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EEEEEE"/>
              <w:bottom w:val="single" w:sz="8" w:color="EEEEEE"/>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8.097</w:t>
            </w:r>
          </w:p>
        </w:tc>
        <w:tc>
          <w:tcPr>
            <w:tcW w:w="28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EEEEEE"/>
              <w:bottom w:val="single" w:sz="8" w:color="EEEEEE"/>
            </w:tcBorders>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8.96</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540" w:type="dxa"/>
            <w:vAlign w:val="bottom"/>
            <w:tcBorders>
              <w:top w:val="single" w:sz="8" w:color="EEEEEE"/>
              <w:bottom w:val="single" w:sz="8" w:color="EEEEEE"/>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7.319</w:t>
            </w:r>
          </w:p>
        </w:tc>
        <w:tc>
          <w:tcPr>
            <w:tcW w:w="26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r>
      <w:tr>
        <w:trPr>
          <w:trHeight w:val="20"/>
        </w:trPr>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approximately $3.9 million of unrecognized stock option expense, net of estimated forfeitures, which is expected to be recognized over 2.61 years.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RSU activity:</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778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8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7780" w:type="dxa"/>
            <w:vAlign w:val="bottom"/>
          </w:tcPr>
          <w:p>
            <w:pPr>
              <w:spacing w:after="0"/>
              <w:rPr>
                <w:sz w:val="18"/>
                <w:szCs w:val="18"/>
                <w:color w:val="auto"/>
              </w:rPr>
            </w:pPr>
          </w:p>
        </w:tc>
        <w:tc>
          <w:tcPr>
            <w:tcW w:w="354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 except price data)</w:t>
            </w: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January 1, 2013</w:t>
            </w:r>
          </w:p>
        </w:tc>
        <w:tc>
          <w:tcPr>
            <w:tcW w:w="1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Exercised/Released</w:t>
            </w:r>
          </w:p>
        </w:tc>
        <w:tc>
          <w:tcPr>
            <w:tcW w:w="18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EEEEEE"/>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w:t>
            </w: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Exercised/Released</w:t>
            </w:r>
          </w:p>
        </w:tc>
        <w:tc>
          <w:tcPr>
            <w:tcW w:w="18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EEEEEE"/>
              <w:bottom w:val="single" w:sz="8" w:color="EEEEEE"/>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r>
      <w:tr>
        <w:trPr>
          <w:trHeight w:val="20"/>
        </w:trPr>
        <w:tc>
          <w:tcPr>
            <w:tcW w:w="7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RSUs outstanding at December 31, 2014 was $0.2 million. Unrecognized compensation expense related to these RSU’s at December 31, 2014 was $0.1 million. This expense is expected to be recognized over 1.48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applicable vesting term of the award.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6" w:name="page87"/>
    <w:bookmarkEnd w:id="86"/>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employee stock options at the date of the grant using the Black-Scholes option-pricing model with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Borders>
              <w:bottom w:val="single" w:sz="8" w:color="EEEEEE"/>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20" w:type="dxa"/>
            <w:vAlign w:val="bottom"/>
            <w:tcBorders>
              <w:bottom w:val="single" w:sz="8" w:color="EEEEEE"/>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20" w:type="dxa"/>
            <w:vAlign w:val="bottom"/>
            <w:tcBorders>
              <w:bottom w:val="single" w:sz="8" w:color="EEEEEE"/>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2012</w:t>
            </w:r>
          </w:p>
        </w:tc>
      </w:tr>
      <w:tr>
        <w:trPr>
          <w:trHeight w:val="210"/>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2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52 to 70%</w:t>
            </w: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0.96% to 2.97%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r>
      <w:tr>
        <w:trPr>
          <w:trHeight w:val="216"/>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Estimated forfeitures</w:t>
            </w:r>
          </w:p>
        </w:tc>
        <w:tc>
          <w:tcPr>
            <w:tcW w:w="1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5"/>
              </w:rPr>
              <w:t>7.5%</w:t>
            </w:r>
          </w:p>
        </w:tc>
        <w:tc>
          <w:tcPr>
            <w:tcW w:w="2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there had been no market for the Company’s common stock prior to its initial public offering,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The Company uses a risk free interest rate based on the 10-year Treasury as reported during the period. The expected term of the options has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years ended December 31,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23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380" w:type="dxa"/>
            <w:vAlign w:val="bottom"/>
            <w:gridSpan w:val="2"/>
            <w:shd w:val="clear" w:color="auto" w:fill="EEEEEE"/>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8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by award type</w:t>
            </w:r>
          </w:p>
        </w:tc>
        <w:tc>
          <w:tcPr>
            <w:tcW w:w="23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380" w:type="dxa"/>
            <w:vAlign w:val="bottom"/>
            <w:gridSpan w:val="2"/>
            <w:shd w:val="clear" w:color="auto" w:fill="EEEEEE"/>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793</w:t>
            </w:r>
          </w:p>
        </w:tc>
        <w:tc>
          <w:tcPr>
            <w:tcW w:w="340" w:type="dxa"/>
            <w:vAlign w:val="bottom"/>
            <w:gridSpan w:val="2"/>
            <w:shd w:val="clear" w:color="auto" w:fill="EEEEEE"/>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5,000,000 shares of preferred stock under the Company’s Amended and Restated Certificate of Incorporation.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2014, the Company had no outstanding warrants to purchase common or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September 25, 2013, our registration statement on Form S-1 for our initial public offering was declared effective by the Securities and Exchange Commission. The offering commenced on September 26, and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March 19, 2014, the Company sold 2.0 million shares of its common stock in a secondary offering at a price of $24.25 per share, providing proceeds of $45.7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O—SEGMENT AND GEOGRAPHIC INFORMATION</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jc w:val="both"/>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 and asset information by geographic region. Revenue is classified based on the location of product manufacturing plants. Long-lived assets in the tables below comprise only property, plant, equipment and intangible assets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6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c>
          <w:tcPr>
            <w:tcW w:w="3280" w:type="dxa"/>
            <w:vAlign w:val="bottom"/>
            <w:gridSpan w:val="2"/>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30,723</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rPr>
              <w:t>14,705</w:t>
            </w:r>
          </w:p>
        </w:tc>
        <w:tc>
          <w:tcPr>
            <w:tcW w:w="360" w:type="dxa"/>
            <w:vAlign w:val="bottom"/>
            <w:gridSpan w:val="2"/>
            <w:shd w:val="clear" w:color="auto" w:fill="EEEEEE"/>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12,192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Taiwan</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77,680</w:t>
            </w:r>
          </w:p>
        </w:tc>
        <w:tc>
          <w:tcPr>
            <w:tcW w:w="160" w:type="dxa"/>
            <w:vAlign w:val="bottom"/>
          </w:tcPr>
          <w:p>
            <w:pPr>
              <w:spacing w:after="0"/>
              <w:rPr>
                <w:sz w:val="18"/>
                <w:szCs w:val="18"/>
                <w:color w:val="auto"/>
              </w:rPr>
            </w:pPr>
          </w:p>
        </w:tc>
        <w:tc>
          <w:tcPr>
            <w:tcW w:w="17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31,863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22,046</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rPr>
              <w:t>31,856</w:t>
            </w:r>
          </w:p>
        </w:tc>
        <w:tc>
          <w:tcPr>
            <w:tcW w:w="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36,029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130,449</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2"/>
              </w:rPr>
              <w:t>78,424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c>
          <w:tcPr>
            <w:tcW w:w="332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15,875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9,415</w:t>
            </w:r>
          </w:p>
        </w:tc>
        <w:tc>
          <w:tcPr>
            <w:tcW w:w="340" w:type="dxa"/>
            <w:vAlign w:val="bottom"/>
            <w:gridSpan w:val="2"/>
            <w:shd w:val="clear" w:color="auto" w:fill="EEEEEE"/>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Taiwan</w:t>
            </w:r>
          </w:p>
        </w:tc>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35,688</w:t>
            </w: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7,192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22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18,008</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16,337</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13,595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69,571</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72" w:lineRule="auto"/>
        <w:rPr>
          <w:sz w:val="20"/>
          <w:szCs w:val="20"/>
          <w:color w:val="auto"/>
        </w:rPr>
      </w:pPr>
      <w:r>
        <w:rPr>
          <w:rFonts w:ascii="Times New Roman" w:cs="Times New Roman" w:eastAsia="Times New Roman" w:hAnsi="Times New Roman"/>
          <w:sz w:val="17"/>
          <w:szCs w:val="17"/>
          <w:color w:val="auto"/>
        </w:rPr>
        <w:t>The Company serves three primary markets, the CATV, internet data center and FTTH markets. Of the Company’s total revenues in 2014, the Company earned $47.4 million, or 36.6%, from the CATV market, $64.5 million, or 49.4%, from the internet data center market, $13.6 million, or 10.4%, from the FTTH market, and $5.0 million, or 3.9%, from other markets. Of the Company’s total revenues in 2013, the Company earned $47.4 million, or</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60.4%, from the CATV market, $19.4 million, or 24.7%, from the internet data center market, $4.4 million, or 5.6% from the FTTH market, and $7.3 million, or 9.3% from other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NOTE P—MAJOR CUSTOMERS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derives its revenues from customers in the United States and throughout the rest of the world. Generally, the Company does not require deposits or other collateral to support customer receivables. The Company performs an initial and periodic credit evaluation of its customers and maintains an allowance for uncollectible accounts for potential uncollectible accounts. The historical amount of losses on uncollectible accounts has been within the Company’s estimates. The Company generates much of its revenue from a limited number of customers. In 2014, 2013 and 2012, its top ten customers represented 87.2%, 76.9% and 77.6% of its revenue, respectively. In 2014, Amazon represented 45.8% of its revenue, Cisco Systems, Inc. represented 8.9% of its revenue and a leading internet service provider represented 6.7% of its total revenue. The five largest receivable balances for customers represented an aggregate of 70%, and 66% of total accounts receivable at December 31, 2014 and 2013,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Q—EMPLOYEE BENEFIT PLANS</w:t>
      </w:r>
    </w:p>
    <w:p>
      <w:pPr>
        <w:spacing w:after="0" w:line="229"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a contribution of $0.2 million to the 401(k) plan for the year ended December 31, 2014, and no contributions for the years ended December 31, 2013 and 2012, respectively.</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Employees of AOI—Taiwan participates in a pension program under the Taiwan Labor Pension Act. Pension expense for Global was $390,000, $384,000 and $244,000 in 2014, 2013 and 2012, respectively. Pension expense for AOI—Taiwan was $291,000, $203,000 and $168,000 in 2014,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conducts part of its operations from leased facilities and also leases equipment. Rent expense was $0.8 million, $0.6 million and $0.6 million for the years ended December 31, 2014, 2013 and 2012, respectively.</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2014, the approximate minimum rental commitments under noncancellable leases in excess of one year that expire at varying dates through 2029 were as follows:</w:t>
      </w:r>
    </w:p>
    <w:p>
      <w:pPr>
        <w:spacing w:after="0" w:line="129" w:lineRule="exact"/>
        <w:rPr>
          <w:sz w:val="20"/>
          <w:szCs w:val="20"/>
          <w:color w:val="auto"/>
        </w:rPr>
      </w:pPr>
    </w:p>
    <w:tbl>
      <w:tblPr>
        <w:tblLayout w:type="fixed"/>
        <w:tblInd w:w="31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2015</w:t>
            </w:r>
          </w:p>
        </w:tc>
        <w:tc>
          <w:tcPr>
            <w:tcW w:w="2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2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2019</w:t>
            </w:r>
          </w:p>
        </w:tc>
        <w:tc>
          <w:tcPr>
            <w:tcW w:w="2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2020-2029</w:t>
            </w:r>
          </w:p>
        </w:tc>
        <w:tc>
          <w:tcPr>
            <w:tcW w:w="380" w:type="dxa"/>
            <w:vAlign w:val="bottom"/>
            <w:tcBorders>
              <w:bottom w:val="single" w:sz="8" w:color="EEEEEE"/>
            </w:tcBorders>
          </w:tcPr>
          <w:p>
            <w:pPr>
              <w:spacing w:after="0"/>
              <w:rPr>
                <w:sz w:val="19"/>
                <w:szCs w:val="19"/>
                <w:color w:val="auto"/>
              </w:rPr>
            </w:pPr>
          </w:p>
        </w:tc>
        <w:tc>
          <w:tcPr>
            <w:tcW w:w="38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EEEEEE"/>
            </w:tcBorders>
            <w:shd w:val="clear" w:color="auto" w:fill="EEEEEE"/>
          </w:tcPr>
          <w:p>
            <w:pPr>
              <w:spacing w:after="0"/>
              <w:rPr>
                <w:sz w:val="19"/>
                <w:szCs w:val="19"/>
                <w:color w:val="auto"/>
              </w:rPr>
            </w:pPr>
          </w:p>
        </w:tc>
        <w:tc>
          <w:tcPr>
            <w:tcW w:w="2020" w:type="dxa"/>
            <w:vAlign w:val="bottom"/>
            <w:tcBorders>
              <w:bottom w:val="single" w:sz="8" w:color="EEEEEE"/>
            </w:tcBorders>
            <w:shd w:val="clear" w:color="auto" w:fill="EEEEEE"/>
          </w:tcPr>
          <w:p>
            <w:pPr>
              <w:spacing w:after="0"/>
              <w:rPr>
                <w:sz w:val="19"/>
                <w:szCs w:val="19"/>
                <w:color w:val="auto"/>
              </w:rPr>
            </w:pPr>
          </w:p>
        </w:tc>
        <w:tc>
          <w:tcPr>
            <w:tcW w:w="380" w:type="dxa"/>
            <w:vAlign w:val="bottom"/>
            <w:tcBorders>
              <w:bottom w:val="single" w:sz="8" w:color="EEEEEE"/>
            </w:tcBorders>
            <w:shd w:val="clear" w:color="auto" w:fill="EEEEEE"/>
          </w:tcPr>
          <w:p>
            <w:pPr>
              <w:spacing w:after="0"/>
              <w:rPr>
                <w:sz w:val="19"/>
                <w:szCs w:val="19"/>
                <w:color w:val="auto"/>
              </w:rPr>
            </w:pPr>
          </w:p>
        </w:tc>
        <w:tc>
          <w:tcPr>
            <w:tcW w:w="38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and Consultancy Agreements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89" w:name="page90"/>
    <w:bookmarkEnd w:id="89"/>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employment and indemnification agreements with two other executive officers. These agreements provide that if their employment is terminated as a result of a change of control of the Company, the Company will be required to pay a severance payment in an amount equal to their six months of their annual base salary, and other additional compensation due under the terms of the agreements.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2012, the Company entered into consulting agreements with two of its shareholders and board members for a period of one year from June 2012 to June 2013. Each agreement provides that a consulting fee will be paid to the consultant within 30 days after submission of the invoice by the consultant. The Company incurred $35,000 and $41,000 of consulting service fees to these consultants in 2013 and 2012,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may be party to litigation, claims or assessments in the ordinary course of business. Management is not aware of any of these matters that would have a material effect on the financial condition, results of operations or cash flows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S—RELATED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related parties’ activities with its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840" w:type="dxa"/>
            <w:vAlign w:val="bottom"/>
          </w:tcPr>
          <w:p>
            <w:pPr>
              <w:spacing w:after="0"/>
              <w:rPr>
                <w:sz w:val="20"/>
                <w:szCs w:val="20"/>
                <w:color w:val="auto"/>
              </w:rPr>
            </w:pPr>
          </w:p>
        </w:tc>
        <w:tc>
          <w:tcPr>
            <w:tcW w:w="3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3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20" w:type="dxa"/>
            <w:vAlign w:val="bottom"/>
            <w:gridSpan w:val="2"/>
            <w:shd w:val="clear" w:color="auto" w:fill="EEEEEE"/>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Consulting service fees</w:t>
            </w:r>
          </w:p>
        </w:tc>
        <w:tc>
          <w:tcPr>
            <w:tcW w:w="2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evaluated subsequent events through the date the financial statements were available to be issued.</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January 6, 2015, the Company entered into a Credit Facility Agreement (the “Credit Facility”) with CTBC Bank Co. Ltd. in Taipei, Taiwan (the “Bank”) for 90,000,000.00 NTD (New Taiwan Dollars), one year revolving credit facility. Borrowings under the Credit Facility will be used for general corporate purposes. The Company’s obligations under the Credit Facility are unsecured. Borrowings under the Credit Facility will bear interest at a rate based on the Bank’s corporate interest rate swap index plus 1.5%, adjusted monthly. As of the execution of the Credit Facility the Bank’s corporate interest rate swap index is 0.91%. The Credit Facility contains representations and warranties, affirmative, restrictive and financial covenants, and events of default (applicable to the Company) which are customary for credit facilities of this type.</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January 26, 2015, the Company entered into a construction loan agreement with East West Bank for up to $22.0 million dollars to finance the construction of its campus expansion plan in Sugar Land, Texas.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loan agreement, the loan bears interest, at an annual rate based on the one-month LIBOR Borrowing Rate plus 2.75%. In connection with the Company’s campus expansion plan, the Company finalized the terms of its construction agreement with Skanska USA Building Inc. on January 19,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U—SELECTED QUARTERLY FINANCIAL DATA (UNAUDITED)</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Company’s quarterly financial information for each of the four quarters for the years ended December 31, 2014 and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0" w:type="dxa"/>
            <w:vAlign w:val="bottom"/>
          </w:tcPr>
          <w:p>
            <w:pPr>
              <w:spacing w:after="0"/>
              <w:rPr>
                <w:sz w:val="1"/>
                <w:szCs w:val="1"/>
                <w:color w:val="auto"/>
              </w:rPr>
            </w:pPr>
          </w:p>
        </w:tc>
      </w:t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280" w:type="dxa"/>
            <w:vAlign w:val="bottom"/>
          </w:tcPr>
          <w:p>
            <w:pPr>
              <w:spacing w:after="0"/>
              <w:rPr>
                <w:sz w:val="20"/>
                <w:szCs w:val="20"/>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24,859</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36,391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21,462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3,546</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4,009</w:t>
            </w:r>
          </w:p>
        </w:tc>
        <w:tc>
          <w:tcPr>
            <w:tcW w:w="4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4,194</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3,952</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4,458</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1,730</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1,872</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share—basic</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28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4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0" w:type="dxa"/>
            <w:vAlign w:val="bottom"/>
          </w:tcPr>
          <w:p>
            <w:pPr>
              <w:spacing w:after="0"/>
              <w:rPr>
                <w:sz w:val="1"/>
                <w:szCs w:val="1"/>
                <w:color w:val="auto"/>
              </w:rPr>
            </w:pPr>
          </w:p>
        </w:tc>
      </w:t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280" w:type="dxa"/>
            <w:vAlign w:val="bottom"/>
          </w:tcPr>
          <w:p>
            <w:pPr>
              <w:spacing w:after="0"/>
              <w:rPr>
                <w:sz w:val="20"/>
                <w:szCs w:val="20"/>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gridSpan w:val="2"/>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1,898</w:t>
            </w:r>
          </w:p>
        </w:tc>
        <w:tc>
          <w:tcPr>
            <w:tcW w:w="4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2,211</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2,374</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2,447</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gridSpan w:val="2"/>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spacing w:after="0"/>
              <w:rPr>
                <w:sz w:val="18"/>
                <w:szCs w:val="18"/>
                <w:color w:val="auto"/>
              </w:rPr>
            </w:pPr>
          </w:p>
        </w:tc>
        <w:tc>
          <w:tcPr>
            <w:tcW w:w="420" w:type="dxa"/>
            <w:vAlign w:val="bottom"/>
            <w:gridSpan w:val="2"/>
            <w:shd w:val="clear" w:color="auto" w:fill="EEEEEE"/>
          </w:tcPr>
          <w:p>
            <w:pPr>
              <w:spacing w:after="0"/>
              <w:rPr>
                <w:sz w:val="18"/>
                <w:szCs w:val="18"/>
                <w:color w:val="auto"/>
              </w:rPr>
            </w:pPr>
          </w:p>
        </w:tc>
        <w:tc>
          <w:tcPr>
            <w:tcW w:w="1520" w:type="dxa"/>
            <w:vAlign w:val="bottom"/>
            <w:gridSpan w:val="2"/>
            <w:shd w:val="clear" w:color="auto" w:fill="EEEEEE"/>
          </w:tcPr>
          <w:p>
            <w:pPr>
              <w:spacing w:after="0"/>
              <w:rPr>
                <w:sz w:val="18"/>
                <w:szCs w:val="18"/>
                <w:color w:val="auto"/>
              </w:rPr>
            </w:pPr>
          </w:p>
        </w:tc>
        <w:tc>
          <w:tcPr>
            <w:tcW w:w="440" w:type="dxa"/>
            <w:vAlign w:val="bottom"/>
            <w:gridSpan w:val="2"/>
            <w:shd w:val="clear" w:color="auto" w:fill="EEEEEE"/>
          </w:tcPr>
          <w:p>
            <w:pPr>
              <w:spacing w:after="0"/>
              <w:rPr>
                <w:sz w:val="18"/>
                <w:szCs w:val="18"/>
                <w:color w:val="auto"/>
              </w:rPr>
            </w:pPr>
          </w:p>
        </w:tc>
        <w:tc>
          <w:tcPr>
            <w:tcW w:w="1500" w:type="dxa"/>
            <w:vAlign w:val="bottom"/>
            <w:gridSpan w:val="2"/>
            <w:shd w:val="clear" w:color="auto" w:fill="EEEEEE"/>
          </w:tcPr>
          <w:p>
            <w:pPr>
              <w:spacing w:after="0"/>
              <w:rPr>
                <w:sz w:val="18"/>
                <w:szCs w:val="18"/>
                <w:color w:val="auto"/>
              </w:rPr>
            </w:pPr>
          </w:p>
        </w:tc>
        <w:tc>
          <w:tcPr>
            <w:tcW w:w="420" w:type="dxa"/>
            <w:vAlign w:val="bottom"/>
            <w:gridSpan w:val="2"/>
            <w:shd w:val="clear" w:color="auto" w:fill="EEEEEE"/>
          </w:tcPr>
          <w:p>
            <w:pPr>
              <w:spacing w:after="0"/>
              <w:rPr>
                <w:sz w:val="18"/>
                <w:szCs w:val="18"/>
                <w:color w:val="auto"/>
              </w:rPr>
            </w:pPr>
          </w:p>
        </w:tc>
        <w:tc>
          <w:tcPr>
            <w:tcW w:w="1400" w:type="dxa"/>
            <w:vAlign w:val="bottom"/>
            <w:gridSpan w:val="2"/>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per share—diluted</w:t>
            </w:r>
          </w:p>
        </w:tc>
        <w:tc>
          <w:tcPr>
            <w:tcW w:w="28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No.: 1230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TECHNOLOGY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CHINA CONSTRUCTION BANK - NINGBO YINZHOU BRANCH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2" w:name="page93"/>
    <w:bookmarkEnd w:id="92"/>
    <w:p>
      <w:pPr>
        <w:ind w:right="80"/>
        <w:spacing w:after="0" w:line="30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RMB Loan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is entered into in order for the company’s daily operation expense [, including material purchase payment and employee’s salary], by and between:</w:t>
      </w:r>
    </w:p>
    <w:p>
      <w:pPr>
        <w:spacing w:after="0" w:line="12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GLOBAL TECHNOLOGY INC.</w:t>
      </w:r>
      <w:r>
        <w:rPr>
          <w:rFonts w:ascii="Times New Roman" w:cs="Times New Roman" w:eastAsia="Times New Roman" w:hAnsi="Times New Roman"/>
          <w:sz w:val="18"/>
          <w:szCs w:val="18"/>
          <w:color w:val="auto"/>
        </w:rPr>
        <w:t xml:space="preserve">, located at NO. 88, QIUSHI RD, WANGCHUN INDUSTRIAL PART, NINGBO, CHINA, P.C.315176 with CHIH-HSIANG LIN as its legal representative and its fax number 88133820 and its telephone number 574-88133818 as borrower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CHINA CONSTRUCTION BANK - NINGBO YINZHOU BRANCH</w:t>
      </w:r>
      <w:r>
        <w:rPr>
          <w:rFonts w:ascii="Times New Roman" w:cs="Times New Roman" w:eastAsia="Times New Roman" w:hAnsi="Times New Roman"/>
          <w:sz w:val="18"/>
          <w:szCs w:val="18"/>
          <w:color w:val="auto"/>
        </w:rPr>
        <w:t>, located at TAIKANG ZHONG RD S. COMMERCIAL AREA 2ND FL, GUOHUA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INT’L BLDG NO. 500, 315040 with · as its principal officer and its fax number being 87370029 and its telephone number being 87374267, as lender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wishes to apply to Party B for a loan, and Party B agrees to extend to Party A such loan.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AMOUNT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amount of the loan that Party B provides to Party A hereunder shall be RMB </w:t>
      </w:r>
      <w:r>
        <w:rPr>
          <w:rFonts w:ascii="Times New Roman" w:cs="Times New Roman" w:eastAsia="Times New Roman" w:hAnsi="Times New Roman"/>
          <w:sz w:val="18"/>
          <w:szCs w:val="18"/>
          <w:b w:val="1"/>
          <w:bCs w:val="1"/>
          <w:color w:val="auto"/>
        </w:rPr>
        <w:t>[see 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40" w:right="5000" w:hanging="332"/>
        <w:spacing w:after="0" w:line="533" w:lineRule="auto"/>
        <w:tabs>
          <w:tab w:leader="none" w:pos="34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PURPOSE OF THE LOAN AND SOURCES OF FUNDS FOR REPAYMENT </w:t>
      </w:r>
      <w:r>
        <w:rPr>
          <w:rFonts w:ascii="Times New Roman" w:cs="Times New Roman" w:eastAsia="Times New Roman" w:hAnsi="Times New Roman"/>
          <w:sz w:val="17"/>
          <w:szCs w:val="17"/>
          <w:color w:val="auto"/>
        </w:rPr>
        <w:t>Party A shall utilize the loan for the purpose of the routine production operation.</w:t>
      </w:r>
    </w:p>
    <w:p>
      <w:pPr>
        <w:ind w:left="340" w:right="3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information relating to specific purposes of such loan under the Contract and sources of funds for repayment shall be determined in Schedule 1 “</w:t>
      </w:r>
      <w:r>
        <w:rPr>
          <w:rFonts w:ascii="Times New Roman" w:cs="Times New Roman" w:eastAsia="Times New Roman" w:hAnsi="Times New Roman"/>
          <w:sz w:val="18"/>
          <w:szCs w:val="18"/>
          <w:b w:val="1"/>
          <w:bCs w:val="1"/>
          <w:color w:val="auto"/>
        </w:rPr>
        <w:t>Loan Information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THE LOAN</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of the Loan shall be 12 months, commencing from [see Schedule A] and expiring on [see Schedule A]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above commencement date is inconsistent with the date set forth on the loan-to deposit certificate (the “</w:t>
      </w:r>
      <w:r>
        <w:rPr>
          <w:rFonts w:ascii="Times New Roman" w:cs="Times New Roman" w:eastAsia="Times New Roman" w:hAnsi="Times New Roman"/>
          <w:sz w:val="18"/>
          <w:szCs w:val="18"/>
          <w:b w:val="1"/>
          <w:bCs w:val="1"/>
          <w:color w:val="auto"/>
        </w:rPr>
        <w:t>LDC</w:t>
      </w:r>
      <w:r>
        <w:rPr>
          <w:rFonts w:ascii="Times New Roman" w:cs="Times New Roman" w:eastAsia="Times New Roman" w:hAnsi="Times New Roman"/>
          <w:sz w:val="18"/>
          <w:szCs w:val="18"/>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70" w:lineRule="exact"/>
        <w:rPr>
          <w:rFonts w:ascii="Times New Roman" w:cs="Times New Roman" w:eastAsia="Times New Roman" w:hAnsi="Times New Roman"/>
          <w:sz w:val="18"/>
          <w:szCs w:val="18"/>
          <w:b w:val="1"/>
          <w:bCs w:val="1"/>
          <w:color w:val="auto"/>
        </w:rPr>
      </w:pPr>
    </w:p>
    <w:p>
      <w:pPr>
        <w:ind w:left="340" w:right="1740" w:hanging="332"/>
        <w:spacing w:after="0" w:line="503"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RATE ON THE LOAN, DEFAULT INTEREST RATE, INTEREST CALCULATION AND SETTLEMENT </w:t>
      </w:r>
      <w:r>
        <w:rPr>
          <w:rFonts w:ascii="Times New Roman" w:cs="Times New Roman" w:eastAsia="Times New Roman" w:hAnsi="Times New Roman"/>
          <w:sz w:val="18"/>
          <w:szCs w:val="18"/>
          <w:color w:val="auto"/>
        </w:rPr>
        <w:t>4.1 Interest Rate on the Loan (the “</w:t>
      </w:r>
      <w:r>
        <w:rPr>
          <w:rFonts w:ascii="Times New Roman" w:cs="Times New Roman" w:eastAsia="Times New Roman" w:hAnsi="Times New Roman"/>
          <w:sz w:val="18"/>
          <w:szCs w:val="18"/>
          <w:b w:val="1"/>
          <w:bCs w:val="1"/>
          <w:color w:val="auto"/>
        </w:rPr>
        <w:t>Loan Rate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Loan Rate hereunder shall be an annual rate set forth in item (2) below:</w:t>
      </w:r>
    </w:p>
    <w:p>
      <w:pPr>
        <w:spacing w:after="0" w:line="225" w:lineRule="exact"/>
        <w:rPr>
          <w:sz w:val="20"/>
          <w:szCs w:val="20"/>
          <w:color w:val="auto"/>
        </w:rPr>
      </w:pPr>
    </w:p>
    <w:p>
      <w:pPr>
        <w:ind w:left="820"/>
        <w:spacing w:after="0"/>
        <w:tabs>
          <w:tab w:leader="none" w:pos="3700" w:val="left"/>
        </w:tabs>
        <w:rPr>
          <w:sz w:val="20"/>
          <w:szCs w:val="20"/>
          <w:color w:val="auto"/>
        </w:rPr>
      </w:pPr>
      <w:r>
        <w:rPr>
          <w:rFonts w:ascii="Times New Roman" w:cs="Times New Roman" w:eastAsia="Times New Roman" w:hAnsi="Times New Roman"/>
          <w:sz w:val="18"/>
          <w:szCs w:val="18"/>
          <w:color w:val="auto"/>
        </w:rPr>
        <w:t>(1)  a fixed interest rate of</w:t>
      </w:r>
      <w:r>
        <w:rPr>
          <w:sz w:val="20"/>
          <w:szCs w:val="20"/>
          <w:color w:val="auto"/>
        </w:rPr>
        <w:tab/>
      </w:r>
      <w:r>
        <w:rPr>
          <w:rFonts w:ascii="Times New Roman" w:cs="Times New Roman" w:eastAsia="Times New Roman" w:hAnsi="Times New Roman"/>
          <w:sz w:val="17"/>
          <w:szCs w:val="17"/>
          <w:color w:val="auto"/>
        </w:rPr>
        <w:t>% which shall remain the same during the Term;</w:t>
      </w:r>
    </w:p>
    <w:p>
      <w:pPr>
        <w:spacing w:after="0" w:line="221" w:lineRule="exact"/>
        <w:rPr>
          <w:sz w:val="20"/>
          <w:szCs w:val="20"/>
          <w:color w:val="auto"/>
        </w:rPr>
      </w:pPr>
    </w:p>
    <w:p>
      <w:pPr>
        <w:ind w:left="1140" w:right="20" w:hanging="322"/>
        <w:spacing w:after="0" w:line="286" w:lineRule="auto"/>
        <w:tabs>
          <w:tab w:leader="none" w:pos="11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[See Schedule A] </w:t>
      </w:r>
      <w:r>
        <w:rPr>
          <w:rFonts w:ascii="Times New Roman" w:cs="Times New Roman" w:eastAsia="Times New Roman" w:hAnsi="Times New Roman"/>
          <w:sz w:val="18"/>
          <w:szCs w:val="18"/>
          <w:color w:val="auto"/>
        </w:rPr>
        <w:t>on the date when interest commences to accrue (the “</w:t>
      </w:r>
      <w:r>
        <w:rPr>
          <w:rFonts w:ascii="Times New Roman" w:cs="Times New Roman" w:eastAsia="Times New Roman" w:hAnsi="Times New Roman"/>
          <w:sz w:val="18"/>
          <w:szCs w:val="18"/>
          <w:b w:val="1"/>
          <w:bCs w:val="1"/>
          <w:color w:val="auto"/>
        </w:rPr>
        <w:t>Interest Commencement Date</w:t>
      </w:r>
      <w:r>
        <w:rPr>
          <w:rFonts w:ascii="Times New Roman" w:cs="Times New Roman" w:eastAsia="Times New Roman" w:hAnsi="Times New Roman"/>
          <w:sz w:val="18"/>
          <w:szCs w:val="18"/>
          <w:color w:val="auto"/>
        </w:rPr>
        <w:t>”). Such interest rate shall remain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during the Term; or</w:t>
      </w:r>
    </w:p>
    <w:p>
      <w:pPr>
        <w:spacing w:after="0" w:line="155" w:lineRule="exact"/>
        <w:rPr>
          <w:sz w:val="20"/>
          <w:szCs w:val="20"/>
          <w:color w:val="auto"/>
        </w:rPr>
      </w:pPr>
    </w:p>
    <w:p>
      <w:pPr>
        <w:ind w:left="1140" w:hanging="323"/>
        <w:spacing w:after="0" w:line="257" w:lineRule="auto"/>
        <w:rPr>
          <w:sz w:val="20"/>
          <w:szCs w:val="20"/>
          <w:color w:val="auto"/>
        </w:rPr>
      </w:pPr>
      <w:r>
        <w:rPr>
          <w:rFonts w:ascii="Times New Roman" w:cs="Times New Roman" w:eastAsia="Times New Roman" w:hAnsi="Times New Roman"/>
          <w:sz w:val="18"/>
          <w:szCs w:val="18"/>
          <w:color w:val="auto"/>
        </w:rPr>
        <w:t>(3) a floating interest rate equal to</w:t>
      </w:r>
      <w:r>
        <w:rPr>
          <w:sz w:val="20"/>
          <w:szCs w:val="20"/>
          <w:color w:val="auto"/>
        </w:rPr>
        <w:t xml:space="preserve"> </w:t>
      </w:r>
      <w:r>
        <w:rPr>
          <w:rFonts w:ascii="Times New Roman" w:cs="Times New Roman" w:eastAsia="Times New Roman" w:hAnsi="Times New Roman"/>
          <w:sz w:val="18"/>
          <w:szCs w:val="18"/>
          <w:color w:val="auto"/>
        </w:rPr>
        <w:t>(100% a floating percentage of %) (the “</w:t>
      </w:r>
      <w:r>
        <w:rPr>
          <w:rFonts w:ascii="Times New Roman" w:cs="Times New Roman" w:eastAsia="Times New Roman" w:hAnsi="Times New Roman"/>
          <w:sz w:val="18"/>
          <w:szCs w:val="18"/>
          <w:b w:val="1"/>
          <w:bCs w:val="1"/>
          <w:color w:val="auto"/>
        </w:rPr>
        <w:t>Floating Percentage</w:t>
      </w:r>
      <w:r>
        <w:rPr>
          <w:rFonts w:ascii="Times New Roman" w:cs="Times New Roman" w:eastAsia="Times New Roman" w:hAnsi="Times New Roman"/>
          <w:sz w:val="18"/>
          <w:szCs w:val="18"/>
          <w:color w:val="auto"/>
        </w:rPr>
        <w:t>”) of the Base Rate (as defined below) on the date when interest commences to accrue (the “</w:t>
      </w:r>
      <w:r>
        <w:rPr>
          <w:rFonts w:ascii="Times New Roman" w:cs="Times New Roman" w:eastAsia="Times New Roman" w:hAnsi="Times New Roman"/>
          <w:sz w:val="18"/>
          <w:szCs w:val="18"/>
          <w:b w:val="1"/>
          <w:bCs w:val="1"/>
          <w:color w:val="auto"/>
        </w:rPr>
        <w:t>Interest Commencement Date</w:t>
      </w:r>
      <w:r>
        <w:rPr>
          <w:rFonts w:ascii="Times New Roman" w:cs="Times New Roman" w:eastAsia="Times New Roman" w:hAnsi="Times New Roman"/>
          <w:sz w:val="18"/>
          <w:szCs w:val="18"/>
          <w:color w:val="auto"/>
        </w:rPr>
        <w:t>”). The Loan Rate shall, during the period between the Interest Commencement Date and the date when all the principal amount and interest accrued thereon under the Contract have been fully repaid, be adjusted once every months in accordance with the Base Rate on the interest rate adjustment date and the Floating Percentage.</w:t>
      </w:r>
    </w:p>
    <w:p>
      <w:pPr>
        <w:ind w:left="1140"/>
        <w:spacing w:after="0"/>
        <w:rPr>
          <w:sz w:val="20"/>
          <w:szCs w:val="20"/>
          <w:color w:val="auto"/>
        </w:rPr>
      </w:pPr>
      <w:r>
        <w:rPr>
          <w:rFonts w:ascii="Times New Roman" w:cs="Times New Roman" w:eastAsia="Times New Roman" w:hAnsi="Times New Roman"/>
          <w:sz w:val="18"/>
          <w:szCs w:val="18"/>
          <w:color w:val="auto"/>
        </w:rPr>
        <w:t>The interest rate adjustment date shall be a date corresponding to the Interest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3" w:right="339" w:bottom="1440" w:gutter="0" w:footer="0" w:header="0"/>
        </w:sectPr>
      </w:pPr>
    </w:p>
    <w:bookmarkStart w:id="94" w:name="page95"/>
    <w:bookmarkEnd w:id="94"/>
    <w:p>
      <w:pPr>
        <w:ind w:left="800" w:right="340"/>
        <w:spacing w:after="0" w:line="282" w:lineRule="auto"/>
        <w:rPr>
          <w:sz w:val="20"/>
          <w:szCs w:val="20"/>
          <w:color w:val="auto"/>
        </w:rPr>
      </w:pPr>
      <w:r>
        <w:rPr>
          <w:rFonts w:ascii="Times New Roman" w:cs="Times New Roman" w:eastAsia="Times New Roman" w:hAnsi="Times New Roman"/>
          <w:sz w:val="18"/>
          <w:szCs w:val="18"/>
          <w:color w:val="auto"/>
        </w:rPr>
        <w:t>Commencement Date in the month when such interest is adjusted. If there is no such a date corresponding to the Interest Commencement Date in such month, the adjustment date for the interest rate shall be the last day of such month.</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Default Interest Rate</w:t>
      </w:r>
    </w:p>
    <w:p>
      <w:pPr>
        <w:spacing w:after="0" w:line="221" w:lineRule="exact"/>
        <w:rPr>
          <w:sz w:val="20"/>
          <w:szCs w:val="20"/>
          <w:color w:val="auto"/>
        </w:rPr>
      </w:pPr>
    </w:p>
    <w:p>
      <w:pPr>
        <w:ind w:left="800" w:hanging="322"/>
        <w:spacing w:after="0" w:line="268" w:lineRule="auto"/>
        <w:tabs>
          <w:tab w:leader="none" w:pos="8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does not use the Loan hereunder for purposes set forth herein (“</w:t>
      </w:r>
      <w:r>
        <w:rPr>
          <w:rFonts w:ascii="Times New Roman" w:cs="Times New Roman" w:eastAsia="Times New Roman" w:hAnsi="Times New Roman"/>
          <w:sz w:val="18"/>
          <w:szCs w:val="18"/>
          <w:b w:val="1"/>
          <w:bCs w:val="1"/>
          <w:color w:val="auto"/>
        </w:rPr>
        <w:t>Misappropriation</w:t>
      </w:r>
      <w:r>
        <w:rPr>
          <w:rFonts w:ascii="Times New Roman" w:cs="Times New Roman" w:eastAsia="Times New Roman" w:hAnsi="Times New Roman"/>
          <w:sz w:val="18"/>
          <w:szCs w:val="18"/>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74" w:lineRule="exact"/>
        <w:rPr>
          <w:rFonts w:ascii="Times New Roman" w:cs="Times New Roman" w:eastAsia="Times New Roman" w:hAnsi="Times New Roman"/>
          <w:sz w:val="18"/>
          <w:szCs w:val="18"/>
          <w:color w:val="auto"/>
        </w:rPr>
      </w:pPr>
    </w:p>
    <w:p>
      <w:pPr>
        <w:ind w:left="800" w:hanging="322"/>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interest rate on overdue Loan shall be (100% plus 50 %) of the Loan Rate. If the Loan Rate is adjusted according to Article 4.1</w:t>
      </w:r>
    </w:p>
    <w:p>
      <w:pPr>
        <w:spacing w:after="0" w:line="27" w:lineRule="exact"/>
        <w:rPr>
          <w:rFonts w:ascii="Times New Roman" w:cs="Times New Roman" w:eastAsia="Times New Roman" w:hAnsi="Times New Roman"/>
          <w:sz w:val="18"/>
          <w:szCs w:val="18"/>
          <w:color w:val="auto"/>
        </w:rPr>
      </w:pPr>
    </w:p>
    <w:p>
      <w:pPr>
        <w:ind w:left="80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above, such default interest rate shall be adjusted in accordance with the adjusted Loan Rate and the upward floating percentage set out in this Article 4.2 (2).</w:t>
      </w:r>
    </w:p>
    <w:p>
      <w:pPr>
        <w:spacing w:after="0" w:line="179" w:lineRule="exact"/>
        <w:rPr>
          <w:rFonts w:ascii="Times New Roman" w:cs="Times New Roman" w:eastAsia="Times New Roman" w:hAnsi="Times New Roman"/>
          <w:sz w:val="18"/>
          <w:szCs w:val="18"/>
          <w:color w:val="auto"/>
        </w:rPr>
      </w:pPr>
    </w:p>
    <w:p>
      <w:pPr>
        <w:ind w:left="800" w:right="80" w:hanging="322"/>
        <w:spacing w:after="0" w:line="282" w:lineRule="auto"/>
        <w:tabs>
          <w:tab w:leader="none" w:pos="8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62" w:lineRule="exact"/>
        <w:rPr>
          <w:sz w:val="20"/>
          <w:szCs w:val="20"/>
          <w:color w:val="auto"/>
        </w:rPr>
      </w:pPr>
    </w:p>
    <w:p>
      <w:pPr>
        <w:ind w:left="400" w:right="160" w:hanging="404"/>
        <w:spacing w:after="0" w:line="282" w:lineRule="auto"/>
        <w:tabs>
          <w:tab w:leader="none" w:pos="380" w:val="left"/>
        </w:tabs>
        <w:rPr>
          <w:sz w:val="20"/>
          <w:szCs w:val="20"/>
          <w:color w:val="auto"/>
        </w:rPr>
      </w:pPr>
      <w:r>
        <w:rPr>
          <w:rFonts w:ascii="Times New Roman" w:cs="Times New Roman" w:eastAsia="Times New Roman" w:hAnsi="Times New Roman"/>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Times New Roman" w:cs="Times New Roman" w:eastAsia="Times New Roman" w:hAnsi="Times New Roman"/>
          <w:sz w:val="18"/>
          <w:szCs w:val="18"/>
          <w:b w:val="1"/>
          <w:bCs w:val="1"/>
          <w:color w:val="auto"/>
        </w:rPr>
        <w:t>Loan Disbursement Account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00" w:right="40" w:firstLine="2"/>
        <w:spacing w:after="0" w:line="256" w:lineRule="auto"/>
        <w:rPr>
          <w:sz w:val="20"/>
          <w:szCs w:val="20"/>
          <w:color w:val="auto"/>
        </w:rPr>
      </w:pPr>
      <w:r>
        <w:rPr>
          <w:rFonts w:ascii="Times New Roman" w:cs="Times New Roman" w:eastAsia="Times New Roman" w:hAnsi="Times New Roman"/>
          <w:sz w:val="18"/>
          <w:szCs w:val="18"/>
          <w:color w:val="auto"/>
        </w:rPr>
        <w:t>For the first advance of the Loan, the Base Rate refers to the lending interest rate quoted by the People’s Bank of China (the “</w:t>
      </w:r>
      <w:r>
        <w:rPr>
          <w:rFonts w:ascii="Times New Roman" w:cs="Times New Roman" w:eastAsia="Times New Roman" w:hAnsi="Times New Roman"/>
          <w:sz w:val="18"/>
          <w:szCs w:val="18"/>
          <w:b w:val="1"/>
          <w:bCs w:val="1"/>
          <w:color w:val="auto"/>
        </w:rPr>
        <w:t>PBOC</w:t>
      </w:r>
      <w:r>
        <w:rPr>
          <w:rFonts w:ascii="Times New Roman" w:cs="Times New Roman" w:eastAsia="Times New Roman" w:hAnsi="Times New Roman"/>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87" w:lineRule="exact"/>
        <w:rPr>
          <w:sz w:val="20"/>
          <w:szCs w:val="20"/>
          <w:color w:val="auto"/>
        </w:rPr>
      </w:pPr>
    </w:p>
    <w:p>
      <w:pPr>
        <w:ind w:left="400" w:right="20" w:hanging="404"/>
        <w:spacing w:after="0" w:line="261" w:lineRule="auto"/>
        <w:tabs>
          <w:tab w:leader="none" w:pos="380" w:val="left"/>
        </w:tabs>
        <w:rPr>
          <w:sz w:val="20"/>
          <w:szCs w:val="20"/>
          <w:color w:val="auto"/>
        </w:rPr>
      </w:pPr>
      <w:r>
        <w:rPr>
          <w:rFonts w:ascii="Times New Roman" w:cs="Times New Roman" w:eastAsia="Times New Roman" w:hAnsi="Times New Roman"/>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Interest Settlement</w:t>
      </w:r>
    </w:p>
    <w:p>
      <w:pPr>
        <w:spacing w:after="0" w:line="225" w:lineRule="exact"/>
        <w:rPr>
          <w:sz w:val="20"/>
          <w:szCs w:val="20"/>
          <w:color w:val="auto"/>
        </w:rPr>
      </w:pPr>
    </w:p>
    <w:p>
      <w:pPr>
        <w:jc w:val="both"/>
        <w:ind w:left="1080" w:hanging="485"/>
        <w:spacing w:after="0" w:line="266" w:lineRule="auto"/>
        <w:tabs>
          <w:tab w:leader="none" w:pos="10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w:t>
      </w:r>
    </w:p>
    <w:p>
      <w:pPr>
        <w:spacing w:after="0" w:line="3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878" w:right="279" w:bottom="1440" w:gutter="0" w:footer="0" w:header="0"/>
        </w:sectPr>
      </w:pPr>
    </w:p>
    <w:bookmarkStart w:id="95" w:name="page96"/>
    <w:bookmarkEnd w:id="95"/>
    <w:p>
      <w:pPr>
        <w:ind w:left="1292"/>
        <w:spacing w:after="0" w:line="266" w:lineRule="auto"/>
        <w:rPr>
          <w:sz w:val="20"/>
          <w:szCs w:val="20"/>
          <w:color w:val="auto"/>
        </w:rPr>
      </w:pPr>
      <w:r>
        <w:rPr>
          <w:rFonts w:ascii="Times New Roman" w:cs="Times New Roman" w:eastAsia="Times New Roman" w:hAnsi="Times New Roman"/>
          <w:sz w:val="18"/>
          <w:szCs w:val="18"/>
          <w:color w:val="auto"/>
        </w:rPr>
        <w:t>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76" w:lineRule="exact"/>
        <w:rPr>
          <w:sz w:val="20"/>
          <w:szCs w:val="20"/>
          <w:color w:val="auto"/>
        </w:rPr>
      </w:pPr>
    </w:p>
    <w:p>
      <w:pPr>
        <w:ind w:left="1272" w:hanging="345"/>
        <w:spacing w:after="0"/>
        <w:tabs>
          <w:tab w:leader="none" w:pos="12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accrued on the Loan hereunder shall be settled in accordance with (i) of the following:</w:t>
      </w:r>
    </w:p>
    <w:p>
      <w:pPr>
        <w:spacing w:after="0" w:line="225" w:lineRule="exact"/>
        <w:rPr>
          <w:rFonts w:ascii="Times New Roman" w:cs="Times New Roman" w:eastAsia="Times New Roman" w:hAnsi="Times New Roman"/>
          <w:sz w:val="18"/>
          <w:szCs w:val="18"/>
          <w:color w:val="auto"/>
        </w:rPr>
      </w:pPr>
    </w:p>
    <w:p>
      <w:pPr>
        <w:ind w:left="1712" w:hanging="419"/>
        <w:spacing w:after="0"/>
        <w:tabs>
          <w:tab w:leader="none" w:pos="171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monthly basis and the interest settlement date shall be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each month;</w:t>
      </w:r>
    </w:p>
    <w:p>
      <w:pPr>
        <w:spacing w:after="0" w:line="167" w:lineRule="exact"/>
        <w:rPr>
          <w:rFonts w:ascii="Times New Roman" w:cs="Times New Roman" w:eastAsia="Times New Roman" w:hAnsi="Times New Roman"/>
          <w:sz w:val="18"/>
          <w:szCs w:val="18"/>
          <w:color w:val="auto"/>
        </w:rPr>
      </w:pPr>
    </w:p>
    <w:p>
      <w:pPr>
        <w:ind w:left="1732" w:hanging="435"/>
        <w:spacing w:after="0"/>
        <w:tabs>
          <w:tab w:leader="none" w:pos="173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quarterly basis and the interest settlement date shall be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last month of the relevant quarter;</w:t>
      </w:r>
    </w:p>
    <w:p>
      <w:pPr>
        <w:spacing w:after="0" w:line="168" w:lineRule="exact"/>
        <w:rPr>
          <w:sz w:val="20"/>
          <w:szCs w:val="20"/>
          <w:color w:val="auto"/>
        </w:rPr>
      </w:pPr>
    </w:p>
    <w:p>
      <w:pPr>
        <w:ind w:left="1292"/>
        <w:spacing w:after="0"/>
        <w:tabs>
          <w:tab w:leader="none" w:pos="1732" w:val="left"/>
          <w:tab w:leader="none" w:pos="4792" w:val="left"/>
        </w:tabs>
        <w:rPr>
          <w:sz w:val="20"/>
          <w:szCs w:val="20"/>
          <w:color w:val="auto"/>
        </w:rPr>
      </w:pPr>
      <w:r>
        <w:rPr>
          <w:rFonts w:ascii="Times New Roman" w:cs="Times New Roman" w:eastAsia="Times New Roman" w:hAnsi="Times New Roman"/>
          <w:sz w:val="18"/>
          <w:szCs w:val="18"/>
          <w:color w:val="auto"/>
        </w:rPr>
        <w:t>(iii)</w:t>
        <w:tab/>
        <w:t>other method:</w:t>
      </w:r>
      <w:r>
        <w:rPr>
          <w:sz w:val="20"/>
          <w:szCs w:val="20"/>
          <w:color w:val="auto"/>
        </w:rPr>
        <w:tab/>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ind w:left="332" w:hanging="332"/>
        <w:spacing w:after="0"/>
        <w:tabs>
          <w:tab w:leader="none" w:pos="33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AND DRAWDOWN</w:t>
      </w:r>
    </w:p>
    <w:p>
      <w:pPr>
        <w:spacing w:after="0" w:line="22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5.1 Conditions Precedent to Advance</w:t>
      </w:r>
    </w:p>
    <w:p>
      <w:pPr>
        <w:spacing w:after="0" w:line="225" w:lineRule="exact"/>
        <w:rPr>
          <w:sz w:val="20"/>
          <w:szCs w:val="20"/>
          <w:color w:val="auto"/>
        </w:rPr>
      </w:pPr>
    </w:p>
    <w:p>
      <w:pPr>
        <w:ind w:left="812" w:right="660"/>
        <w:spacing w:after="0" w:line="282" w:lineRule="auto"/>
        <w:rPr>
          <w:sz w:val="20"/>
          <w:szCs w:val="20"/>
          <w:color w:val="auto"/>
        </w:rPr>
      </w:pPr>
      <w:r>
        <w:rPr>
          <w:rFonts w:ascii="Times New Roman" w:cs="Times New Roman" w:eastAsia="Times New Roman" w:hAnsi="Times New Roman"/>
          <w:sz w:val="18"/>
          <w:szCs w:val="18"/>
          <w:color w:val="auto"/>
        </w:rPr>
        <w:t>Unless Party B waives all or part of the following conditions, Party B shall be obligated to advance any amount of the Loan only if all the following conditions continuously remain satisfied:</w:t>
      </w:r>
    </w:p>
    <w:p>
      <w:pPr>
        <w:spacing w:after="0" w:line="162" w:lineRule="exact"/>
        <w:rPr>
          <w:sz w:val="20"/>
          <w:szCs w:val="20"/>
          <w:color w:val="auto"/>
        </w:rPr>
      </w:pPr>
    </w:p>
    <w:p>
      <w:pPr>
        <w:ind w:left="1312" w:hanging="502"/>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completed all the approval, registration, delivery, insurance and other statutory procedures in relation to the Loan hereunder;</w:t>
      </w:r>
    </w:p>
    <w:p>
      <w:pPr>
        <w:spacing w:after="0" w:line="225" w:lineRule="exact"/>
        <w:rPr>
          <w:rFonts w:ascii="Times New Roman" w:cs="Times New Roman" w:eastAsia="Times New Roman" w:hAnsi="Times New Roman"/>
          <w:sz w:val="18"/>
          <w:szCs w:val="18"/>
          <w:color w:val="auto"/>
        </w:rPr>
      </w:pPr>
    </w:p>
    <w:p>
      <w:pPr>
        <w:ind w:left="1312" w:hanging="502"/>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has become and remains effective, if a security is established for the Contract;</w:t>
      </w:r>
    </w:p>
    <w:p>
      <w:pPr>
        <w:spacing w:after="0" w:line="225" w:lineRule="exact"/>
        <w:rPr>
          <w:rFonts w:ascii="Times New Roman" w:cs="Times New Roman" w:eastAsia="Times New Roman" w:hAnsi="Times New Roman"/>
          <w:sz w:val="18"/>
          <w:szCs w:val="18"/>
          <w:color w:val="auto"/>
        </w:rPr>
      </w:pPr>
    </w:p>
    <w:p>
      <w:pPr>
        <w:ind w:left="1312" w:hanging="502"/>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opened the bank accounts for drawdown and debt service purposes as Party B requests;</w:t>
      </w:r>
    </w:p>
    <w:p>
      <w:pPr>
        <w:spacing w:after="0" w:line="225" w:lineRule="exact"/>
        <w:rPr>
          <w:rFonts w:ascii="Times New Roman" w:cs="Times New Roman" w:eastAsia="Times New Roman" w:hAnsi="Times New Roman"/>
          <w:sz w:val="18"/>
          <w:szCs w:val="18"/>
          <w:color w:val="auto"/>
        </w:rPr>
      </w:pPr>
    </w:p>
    <w:p>
      <w:pPr>
        <w:ind w:left="1312" w:hanging="502"/>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not triggered any event of default hereunder;</w:t>
      </w:r>
    </w:p>
    <w:p>
      <w:pPr>
        <w:spacing w:after="0" w:line="225" w:lineRule="exact"/>
        <w:rPr>
          <w:rFonts w:ascii="Times New Roman" w:cs="Times New Roman" w:eastAsia="Times New Roman" w:hAnsi="Times New Roman"/>
          <w:sz w:val="18"/>
          <w:szCs w:val="18"/>
          <w:color w:val="auto"/>
        </w:rPr>
      </w:pPr>
    </w:p>
    <w:p>
      <w:pPr>
        <w:ind w:left="1312" w:hanging="502"/>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that may adversely impact Party B’s rights as a creditor;</w:t>
      </w:r>
    </w:p>
    <w:p>
      <w:pPr>
        <w:spacing w:after="0" w:line="225" w:lineRule="exact"/>
        <w:rPr>
          <w:rFonts w:ascii="Times New Roman" w:cs="Times New Roman" w:eastAsia="Times New Roman" w:hAnsi="Times New Roman"/>
          <w:sz w:val="18"/>
          <w:szCs w:val="18"/>
          <w:color w:val="auto"/>
        </w:rPr>
      </w:pPr>
    </w:p>
    <w:p>
      <w:pPr>
        <w:ind w:left="1312" w:hanging="502"/>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to be made by Party B is not prohibited or restricted by any laws, regulations, rules or competent authorities; and</w:t>
      </w:r>
    </w:p>
    <w:p>
      <w:pPr>
        <w:spacing w:after="0" w:line="225" w:lineRule="exact"/>
        <w:rPr>
          <w:rFonts w:ascii="Times New Roman" w:cs="Times New Roman" w:eastAsia="Times New Roman" w:hAnsi="Times New Roman"/>
          <w:sz w:val="18"/>
          <w:szCs w:val="18"/>
          <w:color w:val="auto"/>
        </w:rPr>
      </w:pPr>
    </w:p>
    <w:p>
      <w:pPr>
        <w:ind w:left="1292" w:right="80" w:hanging="482"/>
        <w:spacing w:after="0" w:line="282" w:lineRule="auto"/>
        <w:tabs>
          <w:tab w:leader="none" w:pos="12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indicators of Party A shall, at all time, continue to meet the requirements specified in Schedule 2 Terms relating to Mandatory Financial Indicators;</w:t>
      </w:r>
    </w:p>
    <w:p>
      <w:pPr>
        <w:spacing w:after="0" w:line="161" w:lineRule="exact"/>
        <w:rPr>
          <w:rFonts w:ascii="Times New Roman" w:cs="Times New Roman" w:eastAsia="Times New Roman" w:hAnsi="Times New Roman"/>
          <w:sz w:val="18"/>
          <w:szCs w:val="18"/>
          <w:color w:val="auto"/>
        </w:rPr>
      </w:pPr>
    </w:p>
    <w:p>
      <w:pPr>
        <w:ind w:left="1312" w:hanging="502"/>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submitted such materials as required in this Contract before any loan drawdown;</w:t>
      </w:r>
    </w:p>
    <w:p>
      <w:pPr>
        <w:spacing w:after="0" w:line="225" w:lineRule="exact"/>
        <w:rPr>
          <w:rFonts w:ascii="Times New Roman" w:cs="Times New Roman" w:eastAsia="Times New Roman" w:hAnsi="Times New Roman"/>
          <w:sz w:val="18"/>
          <w:szCs w:val="18"/>
          <w:color w:val="auto"/>
        </w:rPr>
      </w:pPr>
    </w:p>
    <w:p>
      <w:pPr>
        <w:ind w:left="1292" w:right="40" w:hanging="482"/>
        <w:spacing w:after="0" w:line="282" w:lineRule="auto"/>
        <w:tabs>
          <w:tab w:leader="none" w:pos="12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materials submitted by Party A are legal, authenticated, complete, accurate, valid and be in accordance with other requirements of Party B;</w:t>
      </w:r>
    </w:p>
    <w:p>
      <w:pPr>
        <w:spacing w:after="0" w:line="161" w:lineRule="exact"/>
        <w:rPr>
          <w:rFonts w:ascii="Times New Roman" w:cs="Times New Roman" w:eastAsia="Times New Roman" w:hAnsi="Times New Roman"/>
          <w:sz w:val="18"/>
          <w:szCs w:val="18"/>
          <w:color w:val="auto"/>
        </w:rPr>
      </w:pPr>
    </w:p>
    <w:p>
      <w:pPr>
        <w:ind w:left="1312" w:hanging="496"/>
        <w:spacing w:after="0"/>
        <w:tabs>
          <w:tab w:leader="none" w:pos="1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77" w:right="259" w:bottom="1440" w:gutter="0" w:footer="0" w:header="0"/>
        </w:sectPr>
      </w:pPr>
    </w:p>
    <w:bookmarkStart w:id="96" w:name="page97"/>
    <w:bookmarkEnd w:id="96"/>
    <w:p>
      <w:pPr>
        <w:spacing w:after="0"/>
        <w:tabs>
          <w:tab w:leader="none" w:pos="4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Drawdown Schedule</w:t>
      </w:r>
    </w:p>
    <w:p>
      <w:pPr>
        <w:spacing w:after="0" w:line="225" w:lineRule="exact"/>
        <w:rPr>
          <w:sz w:val="20"/>
          <w:szCs w:val="20"/>
          <w:color w:val="auto"/>
        </w:rPr>
      </w:pPr>
    </w:p>
    <w:p>
      <w:pPr>
        <w:ind w:left="480"/>
        <w:spacing w:after="0" w:line="282" w:lineRule="auto"/>
        <w:rPr>
          <w:sz w:val="20"/>
          <w:szCs w:val="20"/>
          <w:color w:val="auto"/>
        </w:rPr>
      </w:pPr>
      <w:r>
        <w:rPr>
          <w:rFonts w:ascii="Times New Roman" w:cs="Times New Roman" w:eastAsia="Times New Roman" w:hAnsi="Times New Roman"/>
          <w:sz w:val="18"/>
          <w:szCs w:val="18"/>
          <w:color w:val="auto"/>
        </w:rPr>
        <w:t>“Drawdown” referred to in this Contract shall mean disbursements by Party B of the funds to the Loan Disbursement Account in accordance with Party A’s Application and this Contract.</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The drawdown schedule hereunder shall be item </w:t>
      </w:r>
      <w:r>
        <w:rPr>
          <w:rFonts w:ascii="Times New Roman" w:cs="Times New Roman" w:eastAsia="Times New Roman" w:hAnsi="Times New Roman"/>
          <w:sz w:val="18"/>
          <w:szCs w:val="18"/>
          <w:b w:val="1"/>
          <w:bCs w:val="1"/>
          <w:color w:val="auto"/>
        </w:rPr>
        <w:t>[see Schedule A]</w:t>
      </w:r>
      <w:r>
        <w:rPr>
          <w:rFonts w:ascii="Times New Roman" w:cs="Times New Roman" w:eastAsia="Times New Roman" w:hAnsi="Times New Roman"/>
          <w:sz w:val="18"/>
          <w:szCs w:val="18"/>
          <w:color w:val="auto"/>
        </w:rPr>
        <w:t xml:space="preserve"> of the following:</w:t>
      </w:r>
    </w:p>
    <w:p>
      <w:pPr>
        <w:spacing w:after="0" w:line="229" w:lineRule="exact"/>
        <w:rPr>
          <w:sz w:val="20"/>
          <w:szCs w:val="20"/>
          <w:color w:val="auto"/>
        </w:rPr>
      </w:pPr>
    </w:p>
    <w:p>
      <w:pPr>
        <w:ind w:left="900" w:hanging="422"/>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drawdown schedule shall be as follows:</w:t>
      </w:r>
    </w:p>
    <w:p>
      <w:pPr>
        <w:spacing w:after="0" w:line="225" w:lineRule="exact"/>
        <w:rPr>
          <w:sz w:val="20"/>
          <w:szCs w:val="20"/>
          <w:color w:val="auto"/>
        </w:rPr>
      </w:pPr>
    </w:p>
    <w:p>
      <w:pPr>
        <w:ind w:left="1660"/>
        <w:spacing w:after="0"/>
        <w:tabs>
          <w:tab w:leader="none" w:pos="8100" w:val="left"/>
        </w:tabs>
        <w:rPr>
          <w:sz w:val="20"/>
          <w:szCs w:val="20"/>
          <w:color w:val="auto"/>
        </w:rPr>
      </w:pPr>
      <w:r>
        <w:rPr>
          <w:rFonts w:ascii="Times New Roman" w:cs="Times New Roman" w:eastAsia="Times New Roman" w:hAnsi="Times New Roman"/>
          <w:sz w:val="18"/>
          <w:szCs w:val="18"/>
          <w:color w:val="auto"/>
        </w:rPr>
        <w:t>Drawdown Date (mm/dd/yyyy)</w:t>
      </w:r>
      <w:r>
        <w:rPr>
          <w:sz w:val="20"/>
          <w:szCs w:val="20"/>
          <w:color w:val="auto"/>
        </w:rPr>
        <w:tab/>
      </w:r>
      <w:r>
        <w:rPr>
          <w:rFonts w:ascii="Times New Roman" w:cs="Times New Roman" w:eastAsia="Times New Roman" w:hAnsi="Times New Roman"/>
          <w:sz w:val="18"/>
          <w:szCs w:val="18"/>
          <w:color w:val="auto"/>
        </w:rPr>
        <w:t>Amount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w:t>
      </w:r>
    </w:p>
    <w:p>
      <w:pPr>
        <w:spacing w:after="0" w:line="225" w:lineRule="exact"/>
        <w:rPr>
          <w:sz w:val="20"/>
          <w:szCs w:val="20"/>
          <w:color w:val="auto"/>
        </w:rPr>
      </w:pPr>
    </w:p>
    <w:p>
      <w:pPr>
        <w:ind w:left="900" w:hanging="422"/>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drawdown schedule shall be as follows: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 from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(ii) from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(iii) from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(iv) from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 from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(vi) from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198" w:lineRule="exact"/>
        <w:rPr>
          <w:sz w:val="20"/>
          <w:szCs w:val="20"/>
          <w:color w:val="auto"/>
        </w:rPr>
      </w:pPr>
    </w:p>
    <w:p>
      <w:pPr>
        <w:ind w:left="840" w:hanging="261"/>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as required by Party A .</w:t>
      </w:r>
    </w:p>
    <w:p>
      <w:pPr>
        <w:spacing w:after="0" w:line="225"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580" w:top="877" w:right="339" w:bottom="1440" w:gutter="0" w:footer="0" w:header="0"/>
        </w:sectPr>
      </w:pPr>
    </w:p>
    <w:bookmarkStart w:id="97" w:name="page98"/>
    <w:bookmarkEnd w:id="97"/>
    <w:p>
      <w:pPr>
        <w:ind w:left="400" w:right="300" w:hanging="404"/>
        <w:spacing w:after="0" w:line="282" w:lineRule="auto"/>
        <w:tabs>
          <w:tab w:leader="none" w:pos="380" w:val="left"/>
        </w:tabs>
        <w:rPr>
          <w:sz w:val="20"/>
          <w:szCs w:val="20"/>
          <w:color w:val="auto"/>
        </w:rPr>
      </w:pPr>
      <w:r>
        <w:rPr>
          <w:rFonts w:ascii="Times New Roman" w:cs="Times New Roman" w:eastAsia="Times New Roman" w:hAnsi="Times New Roman"/>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respect of materials required to be submitted by Party A, the Parties agree that Item A applies [choose A or B]:</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Where the situation described in Item (1) [choose (1) or (2)] arises:</w:t>
      </w:r>
    </w:p>
    <w:p>
      <w:pPr>
        <w:spacing w:after="0" w:line="225" w:lineRule="exact"/>
        <w:rPr>
          <w:sz w:val="20"/>
          <w:szCs w:val="20"/>
          <w:color w:val="auto"/>
        </w:rPr>
      </w:pPr>
    </w:p>
    <w:p>
      <w:pPr>
        <w:ind w:left="720" w:right="160" w:hanging="326"/>
        <w:spacing w:after="0" w:line="282" w:lineRule="auto"/>
        <w:tabs>
          <w:tab w:leader="none" w:pos="7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particular drawdown is more than RMB TEN million and the amount of any scheduled payment out of such drawdown is more than RMB TEN million;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Party A shall submit to Party B the following materials no later than ONE working days before the date of such drawdown:</w:t>
      </w:r>
    </w:p>
    <w:p>
      <w:pPr>
        <w:spacing w:after="0" w:line="225" w:lineRule="exact"/>
        <w:rPr>
          <w:sz w:val="20"/>
          <w:szCs w:val="20"/>
          <w:color w:val="auto"/>
        </w:rPr>
      </w:pPr>
    </w:p>
    <w:p>
      <w:pPr>
        <w:ind w:left="740" w:hanging="346"/>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LDC signed by Party A and payment/settlement certificate(s) signed by Party A;</w:t>
      </w:r>
    </w:p>
    <w:p>
      <w:pPr>
        <w:spacing w:after="0" w:line="225" w:lineRule="exact"/>
        <w:rPr>
          <w:rFonts w:ascii="Times New Roman" w:cs="Times New Roman" w:eastAsia="Times New Roman" w:hAnsi="Times New Roman"/>
          <w:sz w:val="18"/>
          <w:szCs w:val="18"/>
          <w:color w:val="auto"/>
        </w:rPr>
      </w:pPr>
    </w:p>
    <w:p>
      <w:pPr>
        <w:ind w:left="720" w:right="340" w:hanging="326"/>
        <w:spacing w:after="0" w:line="282" w:lineRule="auto"/>
        <w:tabs>
          <w:tab w:leader="none" w:pos="7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394"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Situation NO. 2</w:t>
      </w:r>
    </w:p>
    <w:p>
      <w:pPr>
        <w:spacing w:after="0" w:line="225" w:lineRule="exact"/>
        <w:rPr>
          <w:sz w:val="20"/>
          <w:szCs w:val="20"/>
          <w:color w:val="auto"/>
        </w:rPr>
      </w:pPr>
    </w:p>
    <w:p>
      <w:pPr>
        <w:ind w:left="400" w:right="100"/>
        <w:spacing w:after="0" w:line="266" w:lineRule="auto"/>
        <w:rPr>
          <w:sz w:val="20"/>
          <w:szCs w:val="20"/>
          <w:color w:val="auto"/>
        </w:rPr>
      </w:pPr>
      <w:r>
        <w:rPr>
          <w:rFonts w:ascii="Times New Roman" w:cs="Times New Roman" w:eastAsia="Times New Roman" w:hAnsi="Times New Roman"/>
          <w:sz w:val="18"/>
          <w:szCs w:val="18"/>
          <w:color w:val="auto"/>
        </w:rPr>
        <w:t>If Party B determines, after reviewing the aforementioned materials, that Party may initiate the payment in accordance with Article 5.7 of this Contract, or a situation other than Situation NO. 1 arises, Party A shall submit to Party B the following materials no later than ONE working days before the date of such drawdown:</w:t>
      </w:r>
    </w:p>
    <w:p>
      <w:pPr>
        <w:spacing w:after="0" w:line="39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580" w:top="877" w:right="339" w:bottom="1440" w:gutter="0" w:footer="0" w:header="0"/>
        </w:sectPr>
      </w:pPr>
    </w:p>
    <w:bookmarkStart w:id="98" w:name="page99"/>
    <w:bookmarkEnd w:id="98"/>
    <w:p>
      <w:pPr>
        <w:ind w:left="880" w:hanging="486"/>
        <w:spacing w:after="0"/>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drawdown schedule corresponding to the proposed loan drawdown(The drawdown schedule being in the form of Schedule 3);</w:t>
      </w:r>
    </w:p>
    <w:p>
      <w:pPr>
        <w:spacing w:after="0" w:line="225" w:lineRule="exact"/>
        <w:rPr>
          <w:rFonts w:ascii="Times New Roman" w:cs="Times New Roman" w:eastAsia="Times New Roman" w:hAnsi="Times New Roman"/>
          <w:sz w:val="18"/>
          <w:szCs w:val="18"/>
          <w:color w:val="auto"/>
        </w:rPr>
      </w:pPr>
    </w:p>
    <w:p>
      <w:pPr>
        <w:ind w:left="880" w:hanging="486"/>
        <w:spacing w:after="0"/>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LDC signed by Party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right="60"/>
        <w:spacing w:after="0" w:line="282" w:lineRule="auto"/>
        <w:rPr>
          <w:sz w:val="20"/>
          <w:szCs w:val="20"/>
          <w:color w:val="auto"/>
        </w:rPr>
      </w:pPr>
      <w:r>
        <w:rPr>
          <w:rFonts w:ascii="Times New Roman" w:cs="Times New Roman" w:eastAsia="Times New Roman" w:hAnsi="Times New Roman"/>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Party A shall submit to Party B the following materials no later than ONE working days before the date of such drawdown regardless of the amount of any particular drawdown:</w:t>
      </w:r>
    </w:p>
    <w:p>
      <w:pPr>
        <w:spacing w:after="0" w:line="162" w:lineRule="exact"/>
        <w:rPr>
          <w:sz w:val="20"/>
          <w:szCs w:val="20"/>
          <w:color w:val="auto"/>
        </w:rPr>
      </w:pPr>
    </w:p>
    <w:p>
      <w:pPr>
        <w:ind w:left="880" w:hanging="486"/>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LDC signed by Party A and payment/settlement certificate (s) signed by Party A;</w:t>
      </w:r>
    </w:p>
    <w:p>
      <w:pPr>
        <w:spacing w:after="0" w:line="225" w:lineRule="exact"/>
        <w:rPr>
          <w:rFonts w:ascii="Times New Roman" w:cs="Times New Roman" w:eastAsia="Times New Roman" w:hAnsi="Times New Roman"/>
          <w:sz w:val="18"/>
          <w:szCs w:val="18"/>
          <w:color w:val="auto"/>
        </w:rPr>
      </w:pPr>
    </w:p>
    <w:p>
      <w:pPr>
        <w:ind w:left="880" w:right="260" w:hanging="486"/>
        <w:spacing w:after="0" w:line="282" w:lineRule="auto"/>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right="100"/>
        <w:spacing w:after="0" w:line="282" w:lineRule="auto"/>
        <w:rPr>
          <w:sz w:val="20"/>
          <w:szCs w:val="20"/>
          <w:color w:val="auto"/>
        </w:rPr>
      </w:pPr>
      <w:r>
        <w:rPr>
          <w:rFonts w:ascii="Times New Roman" w:cs="Times New Roman" w:eastAsia="Times New Roman" w:hAnsi="Times New Roman"/>
          <w:sz w:val="18"/>
          <w:szCs w:val="18"/>
          <w:color w:val="auto"/>
        </w:rPr>
        <w:t>And other materials required by Party B(including without limitation business license, letter of authorization, articles of association, resolutions of Shareholders’ meeting/Board of directors of Party A ‘s counterparty).</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Entrusted Payment through Party B</w:t>
      </w:r>
    </w:p>
    <w:p>
      <w:pPr>
        <w:spacing w:after="0" w:line="225" w:lineRule="exact"/>
        <w:rPr>
          <w:sz w:val="20"/>
          <w:szCs w:val="20"/>
          <w:color w:val="auto"/>
        </w:rPr>
      </w:pPr>
    </w:p>
    <w:p>
      <w:pPr>
        <w:ind w:left="880" w:hanging="486"/>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Situations where Entrusted Payment applies to Party B</w:t>
      </w:r>
    </w:p>
    <w:p>
      <w:pPr>
        <w:spacing w:after="0" w:line="225" w:lineRule="exact"/>
        <w:rPr>
          <w:rFonts w:ascii="Times New Roman" w:cs="Times New Roman" w:eastAsia="Times New Roman" w:hAnsi="Times New Roman"/>
          <w:sz w:val="18"/>
          <w:szCs w:val="18"/>
          <w:color w:val="auto"/>
        </w:rPr>
      </w:pPr>
    </w:p>
    <w:p>
      <w:pPr>
        <w:ind w:left="88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situation described in (i) arises, , Entrusted Payment shall apply, i.e. Party A hereby irrevocably entrusts Party B to pay the amount of the drawdown to Party A’s counterparty. Party A shall not pay such amount directly to such counterparty or any other third party.</w:t>
      </w:r>
    </w:p>
    <w:p>
      <w:pPr>
        <w:spacing w:after="0" w:line="161" w:lineRule="exact"/>
        <w:rPr>
          <w:rFonts w:ascii="Times New Roman" w:cs="Times New Roman" w:eastAsia="Times New Roman" w:hAnsi="Times New Roman"/>
          <w:sz w:val="18"/>
          <w:szCs w:val="18"/>
          <w:color w:val="auto"/>
        </w:rPr>
      </w:pPr>
    </w:p>
    <w:p>
      <w:pPr>
        <w:jc w:val="both"/>
        <w:ind w:left="1080" w:hanging="206"/>
        <w:spacing w:after="0" w:line="266" w:lineRule="auto"/>
        <w:tabs>
          <w:tab w:leader="none" w:pos="111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particular drawdown is more than RMB TEN million and the amount of any scheduled payment out of such drawdown is more than RMB TEN million, and Party B determines, after reviewing the materials submitted by Party A, that recipient of the payment is specific and identifiable;</w:t>
      </w:r>
    </w:p>
    <w:p>
      <w:pPr>
        <w:spacing w:after="0" w:line="3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904" w:right="279" w:bottom="1440" w:gutter="0" w:footer="0" w:header="0"/>
        </w:sectPr>
      </w:pPr>
    </w:p>
    <w:bookmarkStart w:id="99" w:name="page100"/>
    <w:bookmarkEnd w:id="99"/>
    <w:p>
      <w:pPr>
        <w:ind w:left="746" w:hanging="266"/>
        <w:spacing w:after="0"/>
        <w:tabs>
          <w:tab w:leader="none" w:pos="7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Entrusted Payment applies regardless of the amount of any particular drawdown;</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1"/>
          <w:numId w:val="71"/>
        </w:numPr>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both"/>
        <w:ind w:left="486" w:right="460" w:hanging="486"/>
        <w:spacing w:after="0" w:line="266" w:lineRule="auto"/>
        <w:tabs>
          <w:tab w:leader="none" w:pos="4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76" w:lineRule="exact"/>
        <w:rPr>
          <w:rFonts w:ascii="Times New Roman" w:cs="Times New Roman" w:eastAsia="Times New Roman" w:hAnsi="Times New Roman"/>
          <w:sz w:val="18"/>
          <w:szCs w:val="18"/>
          <w:color w:val="auto"/>
        </w:rPr>
      </w:pPr>
    </w:p>
    <w:p>
      <w:pPr>
        <w:ind w:left="486" w:hanging="486"/>
        <w:spacing w:after="0" w:line="255" w:lineRule="auto"/>
        <w:tabs>
          <w:tab w:leader="none" w:pos="4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89" w:lineRule="exact"/>
        <w:rPr>
          <w:rFonts w:ascii="Times New Roman" w:cs="Times New Roman" w:eastAsia="Times New Roman" w:hAnsi="Times New Roman"/>
          <w:sz w:val="18"/>
          <w:szCs w:val="18"/>
          <w:color w:val="auto"/>
        </w:rPr>
      </w:pPr>
    </w:p>
    <w:p>
      <w:pPr>
        <w:ind w:left="486" w:right="100" w:hanging="486"/>
        <w:spacing w:after="0" w:line="258" w:lineRule="auto"/>
        <w:tabs>
          <w:tab w:leader="none" w:pos="4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warranty or representation by Party B in respect of the truthfulness or legality or compliance with regulations of the underlying 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83" w:lineRule="exact"/>
        <w:rPr>
          <w:rFonts w:ascii="Times New Roman" w:cs="Times New Roman" w:eastAsia="Times New Roman" w:hAnsi="Times New Roman"/>
          <w:sz w:val="18"/>
          <w:szCs w:val="18"/>
          <w:color w:val="auto"/>
        </w:rPr>
      </w:pPr>
    </w:p>
    <w:p>
      <w:pPr>
        <w:jc w:val="both"/>
        <w:ind w:left="486" w:right="240" w:hanging="486"/>
        <w:spacing w:after="0" w:line="266" w:lineRule="auto"/>
        <w:tabs>
          <w:tab w:leader="none" w:pos="4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76" w:lineRule="exact"/>
        <w:rPr>
          <w:rFonts w:ascii="Times New Roman" w:cs="Times New Roman" w:eastAsia="Times New Roman" w:hAnsi="Times New Roman"/>
          <w:sz w:val="18"/>
          <w:szCs w:val="18"/>
          <w:color w:val="auto"/>
        </w:rPr>
      </w:pPr>
    </w:p>
    <w:p>
      <w:pPr>
        <w:ind w:left="926" w:right="60" w:hanging="446"/>
        <w:spacing w:after="0" w:line="282" w:lineRule="auto"/>
        <w:tabs>
          <w:tab w:leader="none" w:pos="9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161" w:lineRule="exact"/>
        <w:rPr>
          <w:rFonts w:ascii="Times New Roman" w:cs="Times New Roman" w:eastAsia="Times New Roman" w:hAnsi="Times New Roman"/>
          <w:sz w:val="18"/>
          <w:szCs w:val="18"/>
          <w:color w:val="auto"/>
        </w:rPr>
      </w:pPr>
    </w:p>
    <w:p>
      <w:pPr>
        <w:ind w:left="926" w:right="60" w:hanging="446"/>
        <w:spacing w:after="0" w:line="282"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not dispose of any of such drawdown amount in anyway (including without limitation account transfer or withdrawal of cash);</w:t>
      </w:r>
    </w:p>
    <w:p>
      <w:pPr>
        <w:spacing w:after="0" w:line="161" w:lineRule="exact"/>
        <w:rPr>
          <w:rFonts w:ascii="Times New Roman" w:cs="Times New Roman" w:eastAsia="Times New Roman" w:hAnsi="Times New Roman"/>
          <w:sz w:val="18"/>
          <w:szCs w:val="18"/>
          <w:color w:val="auto"/>
        </w:rPr>
      </w:pPr>
    </w:p>
    <w:p>
      <w:pPr>
        <w:ind w:left="986" w:hanging="506"/>
        <w:spacing w:after="0"/>
        <w:tabs>
          <w:tab w:leader="none" w:pos="98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resubmit materials, make corrections and/or perform other activities as instructed by Party B within ONE working days;</w:t>
      </w:r>
    </w:p>
    <w:p>
      <w:pPr>
        <w:spacing w:after="0" w:line="200" w:lineRule="exact"/>
        <w:rPr>
          <w:sz w:val="20"/>
          <w:szCs w:val="20"/>
          <w:color w:val="auto"/>
        </w:rPr>
      </w:pPr>
    </w:p>
    <w:p>
      <w:pPr>
        <w:spacing w:after="0" w:line="241" w:lineRule="exact"/>
        <w:rPr>
          <w:sz w:val="20"/>
          <w:szCs w:val="20"/>
          <w:color w:val="auto"/>
        </w:rPr>
      </w:pPr>
    </w:p>
    <w:p>
      <w:pPr>
        <w:ind w:left="4926"/>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6"/>
          </w:cols>
          <w:pgMar w:left="974" w:top="877" w:right="279" w:bottom="1440" w:gutter="0" w:footer="0" w:header="0"/>
        </w:sectPr>
      </w:pPr>
    </w:p>
    <w:bookmarkStart w:id="100" w:name="page101"/>
    <w:bookmarkEnd w:id="100"/>
    <w:p>
      <w:pPr>
        <w:ind w:left="1180"/>
        <w:spacing w:after="0"/>
        <w:rPr>
          <w:sz w:val="20"/>
          <w:szCs w:val="20"/>
          <w:color w:val="auto"/>
        </w:rPr>
      </w:pPr>
      <w:r>
        <w:rPr>
          <w:rFonts w:ascii="Times New Roman" w:cs="Times New Roman" w:eastAsia="Times New Roman" w:hAnsi="Times New Roman"/>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ind w:left="1220" w:right="360" w:hanging="486"/>
        <w:spacing w:after="0" w:line="313"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3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Payment on Party A’s own initiative</w:t>
      </w:r>
    </w:p>
    <w:p>
      <w:pPr>
        <w:spacing w:after="0" w:line="225" w:lineRule="exact"/>
        <w:rPr>
          <w:sz w:val="20"/>
          <w:szCs w:val="20"/>
          <w:color w:val="auto"/>
        </w:rPr>
      </w:pPr>
    </w:p>
    <w:p>
      <w:pPr>
        <w:ind w:left="740" w:right="220"/>
        <w:spacing w:after="0" w:line="261" w:lineRule="auto"/>
        <w:rPr>
          <w:sz w:val="20"/>
          <w:szCs w:val="20"/>
          <w:color w:val="auto"/>
        </w:rPr>
      </w:pPr>
      <w:r>
        <w:rPr>
          <w:rFonts w:ascii="Times New Roman" w:cs="Times New Roman" w:eastAsia="Times New Roman" w:hAnsi="Times New Roman"/>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0" w:lineRule="exact"/>
        <w:rPr>
          <w:sz w:val="20"/>
          <w:szCs w:val="20"/>
          <w:color w:val="auto"/>
        </w:rPr>
      </w:pPr>
    </w:p>
    <w:p>
      <w:pPr>
        <w:jc w:val="both"/>
        <w:ind w:left="740" w:hanging="404"/>
        <w:spacing w:after="0" w:line="261" w:lineRule="auto"/>
        <w:tabs>
          <w:tab w:leader="none" w:pos="720" w:val="left"/>
        </w:tabs>
        <w:rPr>
          <w:sz w:val="20"/>
          <w:szCs w:val="20"/>
          <w:color w:val="auto"/>
        </w:rPr>
      </w:pPr>
      <w:r>
        <w:rPr>
          <w:rFonts w:ascii="Times New Roman" w:cs="Times New Roman" w:eastAsia="Times New Roman" w:hAnsi="Times New Roman"/>
          <w:sz w:val="18"/>
          <w:szCs w:val="18"/>
          <w:color w:val="auto"/>
        </w:rPr>
        <w:t>5.8</w:t>
        <w:tab/>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8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Change of means of payment</w:t>
      </w:r>
    </w:p>
    <w:p>
      <w:pPr>
        <w:spacing w:after="0" w:line="225" w:lineRule="exact"/>
        <w:rPr>
          <w:sz w:val="20"/>
          <w:szCs w:val="20"/>
          <w:color w:val="auto"/>
        </w:rPr>
      </w:pPr>
    </w:p>
    <w:p>
      <w:pPr>
        <w:jc w:val="both"/>
        <w:ind w:left="740" w:right="340"/>
        <w:spacing w:after="0" w:line="266" w:lineRule="auto"/>
        <w:rPr>
          <w:sz w:val="20"/>
          <w:szCs w:val="20"/>
          <w:color w:val="auto"/>
        </w:rPr>
      </w:pPr>
      <w:r>
        <w:rPr>
          <w:rFonts w:ascii="Times New Roman" w:cs="Times New Roman" w:eastAsia="Times New Roman" w:hAnsi="Times New Roman"/>
          <w:sz w:val="18"/>
          <w:szCs w:val="18"/>
          <w:color w:val="auto"/>
        </w:rPr>
        <w:t>Party B is entitled to change the means of payment if any of the following circumstances arises, including without limitation re-determining the situations where Entrusted Payment applies,(e.g. changing the threshold amount for Entrusted Payment) and changing the means of payment in respect of any particular drawdown:</w:t>
      </w:r>
    </w:p>
    <w:p>
      <w:pPr>
        <w:spacing w:after="0" w:line="176" w:lineRule="exact"/>
        <w:rPr>
          <w:sz w:val="20"/>
          <w:szCs w:val="20"/>
          <w:color w:val="auto"/>
        </w:rPr>
      </w:pPr>
    </w:p>
    <w:p>
      <w:pPr>
        <w:ind w:left="1060" w:hanging="326"/>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by Party A arises;</w:t>
      </w:r>
    </w:p>
    <w:p>
      <w:pPr>
        <w:spacing w:after="0" w:line="225" w:lineRule="exact"/>
        <w:rPr>
          <w:rFonts w:ascii="Times New Roman" w:cs="Times New Roman" w:eastAsia="Times New Roman" w:hAnsi="Times New Roman"/>
          <w:sz w:val="18"/>
          <w:szCs w:val="18"/>
          <w:color w:val="auto"/>
        </w:rPr>
      </w:pPr>
    </w:p>
    <w:p>
      <w:pPr>
        <w:ind w:left="1060" w:hanging="326"/>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arises any event that may adversely impact Party B’s rights as a creditor;</w:t>
      </w:r>
    </w:p>
    <w:p>
      <w:pPr>
        <w:spacing w:after="0" w:line="225" w:lineRule="exact"/>
        <w:rPr>
          <w:rFonts w:ascii="Times New Roman" w:cs="Times New Roman" w:eastAsia="Times New Roman" w:hAnsi="Times New Roman"/>
          <w:sz w:val="18"/>
          <w:szCs w:val="18"/>
          <w:color w:val="auto"/>
        </w:rPr>
      </w:pPr>
    </w:p>
    <w:p>
      <w:pPr>
        <w:ind w:left="1060" w:hanging="326"/>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where Party B deems necessary to change the means of payment.</w:t>
      </w:r>
    </w:p>
    <w:p>
      <w:pPr>
        <w:spacing w:after="0" w:line="225" w:lineRule="exact"/>
        <w:rPr>
          <w:sz w:val="20"/>
          <w:szCs w:val="20"/>
          <w:color w:val="auto"/>
        </w:rPr>
      </w:pPr>
    </w:p>
    <w:p>
      <w:pPr>
        <w:ind w:left="740" w:right="420"/>
        <w:spacing w:after="0" w:line="282" w:lineRule="auto"/>
        <w:rPr>
          <w:sz w:val="20"/>
          <w:szCs w:val="20"/>
          <w:color w:val="auto"/>
        </w:rPr>
      </w:pPr>
      <w:r>
        <w:rPr>
          <w:rFonts w:ascii="Times New Roman" w:cs="Times New Roman" w:eastAsia="Times New Roman" w:hAnsi="Times New Roman"/>
          <w:sz w:val="18"/>
          <w:szCs w:val="18"/>
          <w:color w:val="auto"/>
        </w:rPr>
        <w:t>Where Party B changes the means of payment, Party A shall resubmit the materials or perform other activities as required by this Contract and Party B.</w:t>
      </w:r>
    </w:p>
    <w:p>
      <w:pPr>
        <w:spacing w:after="0" w:line="158" w:lineRule="exact"/>
        <w:rPr>
          <w:sz w:val="20"/>
          <w:szCs w:val="20"/>
          <w:color w:val="auto"/>
        </w:rPr>
      </w:pPr>
    </w:p>
    <w:p>
      <w:pPr>
        <w:ind w:left="860" w:right="7360" w:hanging="852"/>
        <w:spacing w:after="0" w:line="533" w:lineRule="auto"/>
        <w:tabs>
          <w:tab w:leader="none" w:pos="665"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USE AND SUPERVISION OF ACCOUNTS </w:t>
      </w:r>
      <w:r>
        <w:rPr>
          <w:rFonts w:ascii="Times New Roman" w:cs="Times New Roman" w:eastAsia="Times New Roman" w:hAnsi="Times New Roman"/>
          <w:sz w:val="17"/>
          <w:szCs w:val="17"/>
          <w:color w:val="auto"/>
        </w:rPr>
        <w:t>6.1 Loan Disbursement Account</w:t>
      </w:r>
    </w:p>
    <w:p>
      <w:pPr>
        <w:ind w:left="1300"/>
        <w:spacing w:after="0"/>
        <w:rPr>
          <w:sz w:val="20"/>
          <w:szCs w:val="20"/>
          <w:color w:val="auto"/>
        </w:rPr>
      </w:pPr>
      <w:r>
        <w:rPr>
          <w:rFonts w:ascii="Times New Roman" w:cs="Times New Roman" w:eastAsia="Times New Roman" w:hAnsi="Times New Roman"/>
          <w:sz w:val="18"/>
          <w:szCs w:val="18"/>
          <w:color w:val="auto"/>
        </w:rPr>
        <w:t>The Loan Disbursement Account herein shall be determined in accordance with (2):</w:t>
      </w:r>
    </w:p>
    <w:p>
      <w:pPr>
        <w:spacing w:after="0" w:line="225" w:lineRule="exact"/>
        <w:rPr>
          <w:sz w:val="20"/>
          <w:szCs w:val="20"/>
          <w:color w:val="auto"/>
        </w:rPr>
      </w:pPr>
    </w:p>
    <w:p>
      <w:pPr>
        <w:ind w:left="1300"/>
        <w:spacing w:after="0"/>
        <w:tabs>
          <w:tab w:leader="none" w:pos="1760" w:val="left"/>
          <w:tab w:leader="none" w:pos="2580" w:val="left"/>
        </w:tabs>
        <w:rPr>
          <w:sz w:val="20"/>
          <w:szCs w:val="20"/>
          <w:color w:val="auto"/>
        </w:rPr>
      </w:pPr>
      <w:r>
        <w:rPr>
          <w:rFonts w:ascii="Times New Roman" w:cs="Times New Roman" w:eastAsia="Times New Roman" w:hAnsi="Times New Roman"/>
          <w:sz w:val="18"/>
          <w:szCs w:val="18"/>
          <w:color w:val="auto"/>
        </w:rPr>
        <w:t>(1)</w:t>
        <w:tab/>
        <w:t>within</w:t>
      </w:r>
      <w:r>
        <w:rPr>
          <w:sz w:val="20"/>
          <w:szCs w:val="20"/>
          <w:color w:val="auto"/>
        </w:rPr>
        <w:tab/>
      </w:r>
      <w:r>
        <w:rPr>
          <w:rFonts w:ascii="Times New Roman" w:cs="Times New Roman" w:eastAsia="Times New Roman" w:hAnsi="Times New Roman"/>
          <w:sz w:val="17"/>
          <w:szCs w:val="17"/>
          <w:color w:val="auto"/>
        </w:rPr>
        <w:t>working days from the date of coming into effect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1" w:name="page102"/>
    <w:bookmarkEnd w:id="101"/>
    <w:p>
      <w:pPr>
        <w:ind w:left="900" w:right="700"/>
        <w:spacing w:after="0" w:line="282" w:lineRule="auto"/>
        <w:rPr>
          <w:sz w:val="20"/>
          <w:szCs w:val="20"/>
          <w:color w:val="auto"/>
        </w:rPr>
      </w:pPr>
      <w:r>
        <w:rPr>
          <w:rFonts w:ascii="Times New Roman" w:cs="Times New Roman" w:eastAsia="Times New Roman" w:hAnsi="Times New Roman"/>
          <w:sz w:val="18"/>
          <w:szCs w:val="18"/>
          <w:color w:val="auto"/>
        </w:rPr>
        <w:t>this Contract and before the date of first drawdown, Party A shall open an account within Party B for the sole purpose of the disbursement and payment of all loan amount under this Contract.</w:t>
      </w:r>
    </w:p>
    <w:p>
      <w:pPr>
        <w:spacing w:after="0" w:line="162" w:lineRule="exact"/>
        <w:rPr>
          <w:sz w:val="20"/>
          <w:szCs w:val="20"/>
          <w:color w:val="auto"/>
        </w:rPr>
      </w:pPr>
    </w:p>
    <w:p>
      <w:pPr>
        <w:ind w:left="440"/>
        <w:spacing w:after="0"/>
        <w:tabs>
          <w:tab w:leader="none" w:pos="900" w:val="left"/>
          <w:tab w:leader="none" w:pos="7720" w:val="left"/>
        </w:tabs>
        <w:rPr>
          <w:sz w:val="20"/>
          <w:szCs w:val="20"/>
          <w:color w:val="auto"/>
        </w:rPr>
      </w:pPr>
      <w:r>
        <w:rPr>
          <w:rFonts w:ascii="Times New Roman" w:cs="Times New Roman" w:eastAsia="Times New Roman" w:hAnsi="Times New Roman"/>
          <w:sz w:val="18"/>
          <w:szCs w:val="18"/>
          <w:color w:val="auto"/>
        </w:rPr>
        <w:t>(2)</w:t>
        <w:tab/>
        <w:t>other account opened by Party A within Party B (Account Number:</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6.2</w:t>
        <w:tab/>
        <w:t>Account to collect sale proceeds</w:t>
      </w:r>
    </w:p>
    <w:p>
      <w:pPr>
        <w:spacing w:after="0" w:line="225" w:lineRule="exact"/>
        <w:rPr>
          <w:sz w:val="20"/>
          <w:szCs w:val="20"/>
          <w:color w:val="auto"/>
        </w:rPr>
      </w:pPr>
    </w:p>
    <w:p>
      <w:pPr>
        <w:ind w:left="800" w:right="240" w:hanging="355"/>
        <w:spacing w:after="0" w:line="261" w:lineRule="auto"/>
        <w:tabs>
          <w:tab w:leader="none" w:pos="8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working days from the date of coming into effect of this Contract, Party A shall open an account within Party B for the purpose of collecting sale proceeds or designate an existing account within Party B as such (Account Number:</w:t>
      </w:r>
    </w:p>
    <w:p>
      <w:pPr>
        <w:ind w:left="274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800" w:hanging="355"/>
        <w:spacing w:after="0" w:line="266" w:lineRule="auto"/>
        <w:tabs>
          <w:tab w:leader="none" w:pos="80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on a monthly basis (choose “monthly” or “quarterly”), submit a report to Party B on the incoming and outgoing amounts of such account. Party A shall submit such report for the immediately preceding month or quarter (as the case may be) within the first FIVE working days of each month or quarter.</w:t>
      </w:r>
    </w:p>
    <w:p>
      <w:pPr>
        <w:spacing w:after="0" w:line="176" w:lineRule="exact"/>
        <w:rPr>
          <w:rFonts w:ascii="Times New Roman" w:cs="Times New Roman" w:eastAsia="Times New Roman" w:hAnsi="Times New Roman"/>
          <w:sz w:val="18"/>
          <w:szCs w:val="18"/>
          <w:color w:val="auto"/>
        </w:rPr>
      </w:pPr>
    </w:p>
    <w:p>
      <w:pPr>
        <w:ind w:left="800" w:right="180" w:hanging="355"/>
        <w:spacing w:after="0" w:line="282" w:lineRule="auto"/>
        <w:tabs>
          <w:tab w:leader="none" w:pos="80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entitled to manage the incoming and outgoing amounts of such account. In particular, such account shall be in compliance with (vi) (one or more of the following requirements may be selected):</w:t>
      </w:r>
    </w:p>
    <w:p>
      <w:pPr>
        <w:spacing w:after="0" w:line="161"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of such account: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for incoming payment being deposited into such account: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300" w:hanging="493"/>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the overall sale proceeds of Party A that are to be deposited into such account: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260" w:hanging="453"/>
        <w:spacing w:after="0"/>
        <w:tabs>
          <w:tab w:leader="none" w:pos="1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limit for any particular outgoing payment of such account: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260" w:hanging="453"/>
        <w:spacing w:after="0"/>
        <w:tabs>
          <w:tab w:leader="none" w:pos="1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limit for daily outgoing payment (s) of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17145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1100" w:top="878" w:right="259" w:bottom="1440" w:gutter="0" w:footer="0" w:header="0"/>
        </w:sectPr>
      </w:pPr>
    </w:p>
    <w:bookmarkStart w:id="102" w:name="page103"/>
    <w:bookmarkEnd w:id="102"/>
    <w:p>
      <w:pPr>
        <w:ind w:left="2112" w:hanging="453"/>
        <w:spacing w:after="0"/>
        <w:tabs>
          <w:tab w:leader="none" w:pos="211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internet-banking functions of such account: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2132" w:hanging="473"/>
        <w:spacing w:after="0"/>
        <w:tabs>
          <w:tab w:leader="none" w:pos="21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outgoing payment shall be made without Party B’s prior consent;</w:t>
      </w:r>
    </w:p>
    <w:p>
      <w:pPr>
        <w:spacing w:after="0" w:line="225" w:lineRule="exact"/>
        <w:rPr>
          <w:rFonts w:ascii="Times New Roman" w:cs="Times New Roman" w:eastAsia="Times New Roman" w:hAnsi="Times New Roman"/>
          <w:sz w:val="18"/>
          <w:szCs w:val="18"/>
          <w:color w:val="auto"/>
        </w:rPr>
      </w:pPr>
    </w:p>
    <w:p>
      <w:pPr>
        <w:ind w:left="2112" w:right="540" w:hanging="453"/>
        <w:spacing w:after="0" w:line="282" w:lineRule="auto"/>
        <w:tabs>
          <w:tab w:leader="none" w:pos="2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account shall be used only for the purposes of collecting sale proceeds and repaying the loan, and not for any other purpose;</w:t>
      </w:r>
    </w:p>
    <w:p>
      <w:pPr>
        <w:spacing w:after="0" w:line="162"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(ix)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12" w:hanging="453"/>
        <w:spacing w:after="0"/>
        <w:tabs>
          <w:tab w:leader="none" w:pos="211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requirements by Party B;</w:t>
      </w:r>
    </w:p>
    <w:p>
      <w:pPr>
        <w:spacing w:after="0" w:line="225" w:lineRule="exact"/>
        <w:rPr>
          <w:rFonts w:ascii="Times New Roman" w:cs="Times New Roman" w:eastAsia="Times New Roman" w:hAnsi="Times New Roman"/>
          <w:sz w:val="18"/>
          <w:szCs w:val="18"/>
          <w:color w:val="auto"/>
        </w:rPr>
      </w:pPr>
    </w:p>
    <w:p>
      <w:pPr>
        <w:ind w:left="2112" w:hanging="453"/>
        <w:spacing w:after="0"/>
        <w:tabs>
          <w:tab w:leader="none" w:pos="211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Account Management Agreement signed by both Parties shall be complied with.</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7.1 General Principles for Repayment</w:t>
      </w:r>
    </w:p>
    <w:p>
      <w:pPr>
        <w:spacing w:after="0" w:line="225" w:lineRule="exact"/>
        <w:rPr>
          <w:sz w:val="20"/>
          <w:szCs w:val="20"/>
          <w:color w:val="auto"/>
        </w:rPr>
      </w:pPr>
    </w:p>
    <w:p>
      <w:pPr>
        <w:ind w:left="972"/>
        <w:spacing w:after="0" w:line="261" w:lineRule="auto"/>
        <w:rPr>
          <w:sz w:val="20"/>
          <w:szCs w:val="20"/>
          <w:color w:val="auto"/>
        </w:rPr>
      </w:pPr>
      <w:r>
        <w:rPr>
          <w:rFonts w:ascii="Times New Roman" w:cs="Times New Roman" w:eastAsia="Times New Roman" w:hAnsi="Times New Roman"/>
          <w:sz w:val="18"/>
          <w:szCs w:val="18"/>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80" w:lineRule="exact"/>
        <w:rPr>
          <w:sz w:val="20"/>
          <w:szCs w:val="20"/>
          <w:color w:val="auto"/>
        </w:rPr>
      </w:pPr>
    </w:p>
    <w:p>
      <w:pPr>
        <w:ind w:left="972"/>
        <w:spacing w:after="0" w:line="261" w:lineRule="auto"/>
        <w:rPr>
          <w:sz w:val="20"/>
          <w:szCs w:val="20"/>
          <w:color w:val="auto"/>
        </w:rPr>
      </w:pPr>
      <w:r>
        <w:rPr>
          <w:rFonts w:ascii="Times New Roman" w:cs="Times New Roman" w:eastAsia="Times New Roman" w:hAnsi="Times New Roman"/>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7.2 Payment of Interest</w:t>
      </w:r>
    </w:p>
    <w:p>
      <w:pPr>
        <w:spacing w:after="0" w:line="225" w:lineRule="exact"/>
        <w:rPr>
          <w:sz w:val="20"/>
          <w:szCs w:val="20"/>
          <w:color w:val="auto"/>
        </w:rPr>
      </w:pPr>
    </w:p>
    <w:p>
      <w:pPr>
        <w:ind w:left="972" w:right="100"/>
        <w:spacing w:after="0" w:line="282" w:lineRule="auto"/>
        <w:rPr>
          <w:sz w:val="20"/>
          <w:szCs w:val="20"/>
          <w:color w:val="auto"/>
        </w:rPr>
      </w:pPr>
      <w:r>
        <w:rPr>
          <w:rFonts w:ascii="Times New Roman" w:cs="Times New Roman" w:eastAsia="Times New Roman" w:hAnsi="Times New Roman"/>
          <w:sz w:val="18"/>
          <w:szCs w:val="18"/>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6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7.3 Schedule for Repayment of the Principal</w:t>
      </w:r>
    </w:p>
    <w:p>
      <w:pPr>
        <w:spacing w:after="0" w:line="221"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 xml:space="preserve">The repayment schedule hereunder shall be determined in accordance with item </w:t>
      </w:r>
      <w:r>
        <w:rPr>
          <w:rFonts w:ascii="Times New Roman" w:cs="Times New Roman" w:eastAsia="Times New Roman" w:hAnsi="Times New Roman"/>
          <w:sz w:val="18"/>
          <w:szCs w:val="18"/>
          <w:b w:val="1"/>
          <w:bCs w:val="1"/>
          <w:color w:val="auto"/>
        </w:rPr>
        <w:t>[see Schedule A]</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4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77" w:right="299" w:bottom="1440" w:gutter="0" w:footer="0" w:header="0"/>
        </w:sectPr>
      </w:pPr>
    </w:p>
    <w:bookmarkStart w:id="103" w:name="page104"/>
    <w:bookmarkEnd w:id="103"/>
    <w:p>
      <w:pPr>
        <w:ind w:left="1300" w:hanging="980"/>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schedule shall be as follows:</w:t>
      </w:r>
    </w:p>
    <w:p>
      <w:pPr>
        <w:spacing w:after="0" w:line="225" w:lineRule="exact"/>
        <w:rPr>
          <w:sz w:val="20"/>
          <w:szCs w:val="20"/>
          <w:color w:val="auto"/>
        </w:rPr>
      </w:pPr>
    </w:p>
    <w:p>
      <w:pPr>
        <w:ind w:left="1480"/>
        <w:spacing w:after="0"/>
        <w:tabs>
          <w:tab w:leader="none" w:pos="5480" w:val="left"/>
        </w:tabs>
        <w:rPr>
          <w:sz w:val="20"/>
          <w:szCs w:val="20"/>
          <w:color w:val="auto"/>
        </w:rPr>
      </w:pPr>
      <w:r>
        <w:rPr>
          <w:rFonts w:ascii="Times New Roman" w:cs="Times New Roman" w:eastAsia="Times New Roman" w:hAnsi="Times New Roman"/>
          <w:sz w:val="18"/>
          <w:szCs w:val="18"/>
          <w:color w:val="auto"/>
        </w:rPr>
        <w:t>Repayment Date(mm/dd/yyyy)</w:t>
      </w:r>
      <w:r>
        <w:rPr>
          <w:sz w:val="20"/>
          <w:szCs w:val="20"/>
          <w:color w:val="auto"/>
        </w:rPr>
        <w:tab/>
      </w:r>
      <w:r>
        <w:rPr>
          <w:rFonts w:ascii="Times New Roman" w:cs="Times New Roman" w:eastAsia="Times New Roman" w:hAnsi="Times New Roman"/>
          <w:sz w:val="18"/>
          <w:szCs w:val="18"/>
          <w:color w:val="auto"/>
        </w:rPr>
        <w:t>Amount</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w:t>
      </w:r>
    </w:p>
    <w:p>
      <w:pPr>
        <w:spacing w:after="0" w:line="2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(iv)</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(vi)</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Repayment Method</w:t>
      </w:r>
    </w:p>
    <w:p>
      <w:pPr>
        <w:spacing w:after="0" w:line="225" w:lineRule="exact"/>
        <w:rPr>
          <w:sz w:val="20"/>
          <w:szCs w:val="20"/>
          <w:color w:val="auto"/>
        </w:rPr>
      </w:pPr>
    </w:p>
    <w:p>
      <w:pPr>
        <w:jc w:val="both"/>
        <w:ind w:left="320" w:right="200"/>
        <w:spacing w:after="0" w:line="266" w:lineRule="auto"/>
        <w:rPr>
          <w:sz w:val="20"/>
          <w:szCs w:val="20"/>
          <w:color w:val="auto"/>
        </w:rPr>
      </w:pPr>
      <w:r>
        <w:rPr>
          <w:rFonts w:ascii="Times New Roman" w:cs="Times New Roman" w:eastAsia="Times New Roman" w:hAnsi="Times New Roman"/>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Prepayment</w:t>
      </w:r>
    </w:p>
    <w:p>
      <w:pPr>
        <w:spacing w:after="0" w:line="225" w:lineRule="exact"/>
        <w:rPr>
          <w:sz w:val="20"/>
          <w:szCs w:val="20"/>
          <w:color w:val="auto"/>
        </w:rPr>
      </w:pPr>
    </w:p>
    <w:p>
      <w:pPr>
        <w:ind w:left="320" w:right="280"/>
        <w:spacing w:after="0" w:line="282" w:lineRule="auto"/>
        <w:rPr>
          <w:sz w:val="20"/>
          <w:szCs w:val="20"/>
          <w:color w:val="auto"/>
        </w:rPr>
      </w:pPr>
      <w:r>
        <w:rPr>
          <w:rFonts w:ascii="Times New Roman" w:cs="Times New Roman" w:eastAsia="Times New Roman" w:hAnsi="Times New Roman"/>
          <w:sz w:val="18"/>
          <w:szCs w:val="18"/>
          <w:color w:val="auto"/>
        </w:rPr>
        <w:t>Party A may prepay the principals in full or in part upon approval by Party B of a written application submitted to Party B THIRTY working days in advance.</w:t>
      </w:r>
    </w:p>
    <w:p>
      <w:pPr>
        <w:spacing w:after="0" w:line="162" w:lineRule="exact"/>
        <w:rPr>
          <w:sz w:val="20"/>
          <w:szCs w:val="20"/>
          <w:color w:val="auto"/>
        </w:rPr>
      </w:pPr>
    </w:p>
    <w:p>
      <w:pPr>
        <w:ind w:left="320" w:right="500"/>
        <w:spacing w:after="0" w:line="282" w:lineRule="auto"/>
        <w:rPr>
          <w:sz w:val="20"/>
          <w:szCs w:val="20"/>
          <w:color w:val="auto"/>
        </w:rPr>
      </w:pPr>
      <w:r>
        <w:rPr>
          <w:rFonts w:ascii="Times New Roman" w:cs="Times New Roman" w:eastAsia="Times New Roman" w:hAnsi="Times New Roman"/>
          <w:sz w:val="18"/>
          <w:szCs w:val="18"/>
          <w:color w:val="auto"/>
        </w:rPr>
        <w:t>The interest accrued on the principals to be prepaid shall be calculated on the basis of the actual number of days lapsed and the Loan Rate provided herein.</w:t>
      </w:r>
    </w:p>
    <w:p>
      <w:pPr>
        <w:spacing w:after="0" w:line="162" w:lineRule="exact"/>
        <w:rPr>
          <w:sz w:val="20"/>
          <w:szCs w:val="20"/>
          <w:color w:val="auto"/>
        </w:rPr>
      </w:pPr>
    </w:p>
    <w:p>
      <w:pPr>
        <w:ind w:left="320" w:right="720"/>
        <w:spacing w:after="0" w:line="282" w:lineRule="auto"/>
        <w:rPr>
          <w:sz w:val="20"/>
          <w:szCs w:val="20"/>
          <w:color w:val="auto"/>
        </w:rPr>
      </w:pPr>
      <w:r>
        <w:rPr>
          <w:rFonts w:ascii="Times New Roman" w:cs="Times New Roman" w:eastAsia="Times New Roman" w:hAnsi="Times New Roman"/>
          <w:sz w:val="18"/>
          <w:szCs w:val="18"/>
          <w:color w:val="auto"/>
        </w:rPr>
        <w:t>If Party B approves the prepayment by Party A, Party B shall have the right to charge Party A the compensation fee in an amount to be determined in accordance with the (1) of the following methods:</w:t>
      </w:r>
    </w:p>
    <w:p>
      <w:pPr>
        <w:spacing w:after="0" w:line="158" w:lineRule="exact"/>
        <w:rPr>
          <w:sz w:val="20"/>
          <w:szCs w:val="20"/>
          <w:color w:val="auto"/>
        </w:rPr>
      </w:pPr>
    </w:p>
    <w:p>
      <w:pPr>
        <w:ind w:left="660" w:right="160" w:hanging="340"/>
        <w:spacing w:after="0" w:line="317" w:lineRule="auto"/>
        <w:tabs>
          <w:tab w:leader="none" w:pos="66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fee = amount of the principal prepaid × number of months remaining until the scheduled repayment date(the “</w:t>
      </w:r>
      <w:r>
        <w:rPr>
          <w:rFonts w:ascii="Times New Roman" w:cs="Times New Roman" w:eastAsia="Times New Roman" w:hAnsi="Times New Roman"/>
          <w:sz w:val="17"/>
          <w:szCs w:val="17"/>
          <w:b w:val="1"/>
          <w:bCs w:val="1"/>
          <w:color w:val="auto"/>
        </w:rPr>
        <w:t>Remaining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 1%; provided, however, that the part of the Remaining Period that falls short of a month shall be calculated as a full month; or</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line="282" w:lineRule="auto"/>
        <w:rPr>
          <w:sz w:val="20"/>
          <w:szCs w:val="20"/>
          <w:color w:val="auto"/>
        </w:rPr>
      </w:pPr>
      <w:r>
        <w:rPr>
          <w:rFonts w:ascii="Times New Roman" w:cs="Times New Roman" w:eastAsia="Times New Roman" w:hAnsi="Times New Roman"/>
          <w:sz w:val="18"/>
          <w:szCs w:val="18"/>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877" w:right="259" w:bottom="1440" w:gutter="0" w:footer="0" w:header="0"/>
        </w:sectPr>
      </w:pPr>
    </w:p>
    <w:bookmarkStart w:id="104" w:name="page105"/>
    <w:bookmarkEnd w:id="104"/>
    <w:p>
      <w:pPr>
        <w:ind w:left="972" w:right="7020" w:hanging="972"/>
        <w:spacing w:after="0" w:line="503" w:lineRule="auto"/>
        <w:tabs>
          <w:tab w:leader="none" w:pos="97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PARTY A’S RIGHTS AND OBLIGATIONS </w:t>
      </w:r>
      <w:r>
        <w:rPr>
          <w:rFonts w:ascii="Times New Roman" w:cs="Times New Roman" w:eastAsia="Times New Roman" w:hAnsi="Times New Roman"/>
          <w:sz w:val="18"/>
          <w:szCs w:val="18"/>
          <w:color w:val="auto"/>
        </w:rPr>
        <w:t>8.1 Party A’s Rights</w:t>
      </w:r>
    </w:p>
    <w:p>
      <w:pPr>
        <w:ind w:left="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A has the rights to:</w:t>
      </w:r>
    </w:p>
    <w:p>
      <w:pPr>
        <w:spacing w:after="0" w:line="225" w:lineRule="exact"/>
        <w:rPr>
          <w:rFonts w:ascii="Times New Roman" w:cs="Times New Roman" w:eastAsia="Times New Roman" w:hAnsi="Times New Roman"/>
          <w:sz w:val="18"/>
          <w:szCs w:val="18"/>
          <w:b w:val="1"/>
          <w:bCs w:val="1"/>
          <w:color w:val="auto"/>
        </w:rPr>
      </w:pPr>
    </w:p>
    <w:p>
      <w:pPr>
        <w:ind w:left="1452" w:hanging="341"/>
        <w:spacing w:after="0"/>
        <w:tabs>
          <w:tab w:leader="none" w:pos="145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Party B to release each advance of the Loan as provided hereunder;</w:t>
      </w:r>
    </w:p>
    <w:p>
      <w:pPr>
        <w:spacing w:after="0" w:line="225" w:lineRule="exact"/>
        <w:rPr>
          <w:rFonts w:ascii="Times New Roman" w:cs="Times New Roman" w:eastAsia="Times New Roman" w:hAnsi="Times New Roman"/>
          <w:sz w:val="18"/>
          <w:szCs w:val="18"/>
          <w:color w:val="auto"/>
        </w:rPr>
      </w:pPr>
    </w:p>
    <w:p>
      <w:pPr>
        <w:ind w:left="1452" w:hanging="341"/>
        <w:spacing w:after="0"/>
        <w:tabs>
          <w:tab w:leader="none" w:pos="145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Loan for the purposes provided for hereunder;</w:t>
      </w:r>
    </w:p>
    <w:p>
      <w:pPr>
        <w:spacing w:after="0" w:line="225" w:lineRule="exact"/>
        <w:rPr>
          <w:rFonts w:ascii="Times New Roman" w:cs="Times New Roman" w:eastAsia="Times New Roman" w:hAnsi="Times New Roman"/>
          <w:sz w:val="18"/>
          <w:szCs w:val="18"/>
          <w:color w:val="auto"/>
        </w:rPr>
      </w:pPr>
    </w:p>
    <w:p>
      <w:pPr>
        <w:ind w:left="1452" w:hanging="341"/>
        <w:spacing w:after="0"/>
        <w:tabs>
          <w:tab w:leader="none" w:pos="145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Party B for extension of the Term hereunder provided that it has satisfied all the conditions as Party B requests;</w:t>
      </w:r>
    </w:p>
    <w:p>
      <w:pPr>
        <w:spacing w:after="0" w:line="225" w:lineRule="exact"/>
        <w:rPr>
          <w:rFonts w:ascii="Times New Roman" w:cs="Times New Roman" w:eastAsia="Times New Roman" w:hAnsi="Times New Roman"/>
          <w:sz w:val="18"/>
          <w:szCs w:val="18"/>
          <w:color w:val="auto"/>
        </w:rPr>
      </w:pPr>
    </w:p>
    <w:p>
      <w:pPr>
        <w:ind w:left="1452" w:hanging="341"/>
        <w:spacing w:after="0" w:line="266" w:lineRule="auto"/>
        <w:tabs>
          <w:tab w:leader="none" w:pos="14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76" w:lineRule="exact"/>
        <w:rPr>
          <w:rFonts w:ascii="Times New Roman" w:cs="Times New Roman" w:eastAsia="Times New Roman" w:hAnsi="Times New Roman"/>
          <w:sz w:val="18"/>
          <w:szCs w:val="18"/>
          <w:color w:val="auto"/>
        </w:rPr>
      </w:pPr>
    </w:p>
    <w:p>
      <w:pPr>
        <w:ind w:left="1452" w:right="60" w:hanging="345"/>
        <w:spacing w:after="0" w:line="313" w:lineRule="auto"/>
        <w:tabs>
          <w:tab w:leader="none" w:pos="145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3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8.2 Party A’s Obligations</w:t>
      </w:r>
    </w:p>
    <w:p>
      <w:pPr>
        <w:spacing w:after="0" w:line="225" w:lineRule="exact"/>
        <w:rPr>
          <w:sz w:val="20"/>
          <w:szCs w:val="20"/>
          <w:color w:val="auto"/>
        </w:rPr>
      </w:pPr>
    </w:p>
    <w:p>
      <w:pPr>
        <w:ind w:left="1592" w:right="180" w:hanging="481"/>
        <w:spacing w:after="0" w:line="282" w:lineRule="auto"/>
        <w:tabs>
          <w:tab w:leader="none" w:pos="1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draw the Loan and repay the principal and interest in full as provided herein, and bear the expenses and fees as provided herein;</w:t>
      </w:r>
    </w:p>
    <w:p>
      <w:pPr>
        <w:spacing w:after="0" w:line="161" w:lineRule="exact"/>
        <w:rPr>
          <w:rFonts w:ascii="Times New Roman" w:cs="Times New Roman" w:eastAsia="Times New Roman" w:hAnsi="Times New Roman"/>
          <w:sz w:val="18"/>
          <w:szCs w:val="18"/>
          <w:color w:val="auto"/>
        </w:rPr>
      </w:pPr>
    </w:p>
    <w:p>
      <w:pPr>
        <w:ind w:left="1592" w:right="120" w:hanging="481"/>
        <w:spacing w:after="0" w:line="256" w:lineRule="auto"/>
        <w:tabs>
          <w:tab w:leader="none" w:pos="1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provide its financial, accounting as well as manufacturing and operating information and other materials as the Party B may request, and among other things, on or before the TWENTY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87" w:lineRule="exact"/>
        <w:rPr>
          <w:rFonts w:ascii="Times New Roman" w:cs="Times New Roman" w:eastAsia="Times New Roman" w:hAnsi="Times New Roman"/>
          <w:sz w:val="18"/>
          <w:szCs w:val="18"/>
          <w:color w:val="auto"/>
        </w:rPr>
      </w:pPr>
    </w:p>
    <w:p>
      <w:pPr>
        <w:ind w:left="1592" w:right="20" w:hanging="481"/>
        <w:spacing w:after="0" w:line="258" w:lineRule="auto"/>
        <w:tabs>
          <w:tab w:leader="none" w:pos="1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83" w:lineRule="exact"/>
        <w:rPr>
          <w:rFonts w:ascii="Times New Roman" w:cs="Times New Roman" w:eastAsia="Times New Roman" w:hAnsi="Times New Roman"/>
          <w:sz w:val="18"/>
          <w:szCs w:val="18"/>
          <w:color w:val="auto"/>
        </w:rPr>
      </w:pPr>
    </w:p>
    <w:p>
      <w:pPr>
        <w:jc w:val="both"/>
        <w:ind w:left="1592" w:right="160" w:hanging="481"/>
        <w:spacing w:after="0" w:line="289" w:lineRule="auto"/>
        <w:tabs>
          <w:tab w:leader="none" w:pos="16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w:t>
      </w:r>
    </w:p>
    <w:p>
      <w:pPr>
        <w:spacing w:after="0" w:line="3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387" w:right="239" w:bottom="1440" w:gutter="0" w:footer="0" w:header="0"/>
        </w:sectPr>
      </w:pPr>
    </w:p>
    <w:bookmarkStart w:id="105" w:name="page106"/>
    <w:bookmarkEnd w:id="105"/>
    <w:p>
      <w:pPr>
        <w:ind w:left="1592"/>
        <w:spacing w:after="0" w:line="255" w:lineRule="auto"/>
        <w:rPr>
          <w:sz w:val="20"/>
          <w:szCs w:val="20"/>
          <w:color w:val="auto"/>
        </w:rPr>
      </w:pPr>
      <w:r>
        <w:rPr>
          <w:rFonts w:ascii="Times New Roman" w:cs="Times New Roman" w:eastAsia="Times New Roman" w:hAnsi="Times New Roman"/>
          <w:sz w:val="18"/>
          <w:szCs w:val="18"/>
          <w:color w:val="auto"/>
        </w:rPr>
        <w:t>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89" w:lineRule="exact"/>
        <w:rPr>
          <w:sz w:val="20"/>
          <w:szCs w:val="20"/>
          <w:color w:val="auto"/>
        </w:rPr>
      </w:pPr>
    </w:p>
    <w:p>
      <w:pPr>
        <w:ind w:left="1512" w:hanging="401"/>
        <w:spacing w:after="0" w:line="282" w:lineRule="auto"/>
        <w:tabs>
          <w:tab w:leader="none" w:pos="154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comply with the regulations relating to environmental protection, if the Loan hereunder shall be utilized for manufacturing or project construction;</w:t>
      </w:r>
    </w:p>
    <w:p>
      <w:pPr>
        <w:spacing w:after="0" w:line="161" w:lineRule="exact"/>
        <w:rPr>
          <w:rFonts w:ascii="Times New Roman" w:cs="Times New Roman" w:eastAsia="Times New Roman" w:hAnsi="Times New Roman"/>
          <w:sz w:val="18"/>
          <w:szCs w:val="18"/>
          <w:color w:val="auto"/>
        </w:rPr>
      </w:pPr>
    </w:p>
    <w:p>
      <w:pPr>
        <w:ind w:left="1512" w:right="60" w:hanging="401"/>
        <w:spacing w:after="0" w:line="282" w:lineRule="auto"/>
        <w:tabs>
          <w:tab w:leader="none" w:pos="154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61" w:lineRule="exact"/>
        <w:rPr>
          <w:rFonts w:ascii="Times New Roman" w:cs="Times New Roman" w:eastAsia="Times New Roman" w:hAnsi="Times New Roman"/>
          <w:sz w:val="18"/>
          <w:szCs w:val="18"/>
          <w:color w:val="auto"/>
        </w:rPr>
      </w:pPr>
    </w:p>
    <w:p>
      <w:pPr>
        <w:ind w:left="1512" w:right="180" w:hanging="401"/>
        <w:spacing w:after="0" w:line="261" w:lineRule="auto"/>
        <w:tabs>
          <w:tab w:leader="none" w:pos="154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0" w:lineRule="exact"/>
        <w:rPr>
          <w:rFonts w:ascii="Times New Roman" w:cs="Times New Roman" w:eastAsia="Times New Roman" w:hAnsi="Times New Roman"/>
          <w:sz w:val="18"/>
          <w:szCs w:val="18"/>
          <w:color w:val="auto"/>
        </w:rPr>
      </w:pPr>
    </w:p>
    <w:p>
      <w:pPr>
        <w:ind w:left="1512" w:right="200" w:hanging="401"/>
        <w:spacing w:after="0" w:line="261" w:lineRule="auto"/>
        <w:tabs>
          <w:tab w:leader="none" w:pos="154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0" w:lineRule="exact"/>
        <w:rPr>
          <w:rFonts w:ascii="Times New Roman" w:cs="Times New Roman" w:eastAsia="Times New Roman" w:hAnsi="Times New Roman"/>
          <w:sz w:val="18"/>
          <w:szCs w:val="18"/>
          <w:color w:val="auto"/>
        </w:rPr>
      </w:pPr>
    </w:p>
    <w:p>
      <w:pPr>
        <w:jc w:val="both"/>
        <w:ind w:left="1512" w:right="20" w:hanging="401"/>
        <w:spacing w:after="0" w:line="261" w:lineRule="auto"/>
        <w:tabs>
          <w:tab w:leader="none" w:pos="154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payment at Party A’s own initiative, Party A shall submit reports to Party B on the use and payment of loan amounts on a monthly basis. Party A shall submit such report for the immediately preceding month within the first TEN working days of each month, together with a list of actual uses of loan amounts, until the date of repayment of all the loan. Such report shall be in the form attached in Schedule 4.</w:t>
      </w:r>
    </w:p>
    <w:p>
      <w:pPr>
        <w:spacing w:after="0" w:line="176"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B’S RIGHTS AND OBLIGATIONS</w:t>
      </w:r>
    </w:p>
    <w:p>
      <w:pPr>
        <w:spacing w:after="0" w:line="229" w:lineRule="exact"/>
        <w:rPr>
          <w:rFonts w:ascii="Times New Roman" w:cs="Times New Roman" w:eastAsia="Times New Roman" w:hAnsi="Times New Roman"/>
          <w:sz w:val="18"/>
          <w:szCs w:val="18"/>
          <w:b w:val="1"/>
          <w:bCs w:val="1"/>
          <w:color w:val="auto"/>
        </w:rPr>
      </w:pPr>
    </w:p>
    <w:p>
      <w:pPr>
        <w:ind w:left="1212" w:right="20" w:hanging="571"/>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0" w:lineRule="exact"/>
        <w:rPr>
          <w:rFonts w:ascii="Times New Roman" w:cs="Times New Roman" w:eastAsia="Times New Roman" w:hAnsi="Times New Roman"/>
          <w:sz w:val="18"/>
          <w:szCs w:val="18"/>
          <w:b w:val="1"/>
          <w:bCs w:val="1"/>
          <w:color w:val="auto"/>
        </w:rPr>
      </w:pPr>
    </w:p>
    <w:p>
      <w:pPr>
        <w:ind w:left="1212" w:right="160" w:hanging="57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9.2Party B is entitled to engage in Party A’s large-amount financing (The total amount of such financing shall be more than RMB SEVENTY-FOUR MILLION or Foreign Exchange equivalent) , sale of assets, merger, split-up,</w:t>
      </w:r>
    </w:p>
    <w:p>
      <w:pPr>
        <w:spacing w:after="0" w:line="37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77" w:right="279" w:bottom="1440" w:gutter="0" w:footer="0" w:header="0"/>
        </w:sectPr>
      </w:pPr>
    </w:p>
    <w:bookmarkStart w:id="106" w:name="page107"/>
    <w:bookmarkEnd w:id="106"/>
    <w:p>
      <w:pPr>
        <w:ind w:left="1232" w:right="580"/>
        <w:spacing w:after="0" w:line="282" w:lineRule="auto"/>
        <w:rPr>
          <w:sz w:val="20"/>
          <w:szCs w:val="20"/>
          <w:color w:val="auto"/>
        </w:rPr>
      </w:pPr>
      <w:r>
        <w:rPr>
          <w:rFonts w:ascii="Times New Roman" w:cs="Times New Roman" w:eastAsia="Times New Roman" w:hAnsi="Times New Roman"/>
          <w:sz w:val="18"/>
          <w:szCs w:val="18"/>
          <w:color w:val="auto"/>
        </w:rPr>
        <w:t>stock-company restructuring, bankruptcy, liquidation and other activities for the purpose of protecting Party B’s rights. The way(s) of engagement shall be (1) (multiple choices are allowed)</w:t>
      </w:r>
    </w:p>
    <w:p>
      <w:pPr>
        <w:spacing w:after="0" w:line="162" w:lineRule="exact"/>
        <w:rPr>
          <w:sz w:val="20"/>
          <w:szCs w:val="20"/>
          <w:color w:val="auto"/>
        </w:rPr>
      </w:pPr>
    </w:p>
    <w:p>
      <w:pPr>
        <w:ind w:left="1492" w:hanging="260"/>
        <w:spacing w:after="0"/>
        <w:tabs>
          <w:tab w:leader="none" w:pos="14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seek Party B’s prior written consent before carrying out any of the above activities;</w:t>
      </w:r>
    </w:p>
    <w:p>
      <w:pPr>
        <w:spacing w:after="0" w:line="225" w:lineRule="exact"/>
        <w:rPr>
          <w:rFonts w:ascii="Times New Roman" w:cs="Times New Roman" w:eastAsia="Times New Roman" w:hAnsi="Times New Roman"/>
          <w:sz w:val="18"/>
          <w:szCs w:val="18"/>
          <w:color w:val="auto"/>
        </w:rPr>
      </w:pPr>
    </w:p>
    <w:p>
      <w:pPr>
        <w:ind w:left="1492" w:hanging="260"/>
        <w:spacing w:after="0"/>
        <w:tabs>
          <w:tab w:leader="none" w:pos="14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entitled to arrange for Party A’s large-amount financings;</w:t>
      </w:r>
    </w:p>
    <w:p>
      <w:pPr>
        <w:spacing w:after="0" w:line="225" w:lineRule="exact"/>
        <w:rPr>
          <w:rFonts w:ascii="Times New Roman" w:cs="Times New Roman" w:eastAsia="Times New Roman" w:hAnsi="Times New Roman"/>
          <w:sz w:val="18"/>
          <w:szCs w:val="18"/>
          <w:color w:val="auto"/>
        </w:rPr>
      </w:pPr>
    </w:p>
    <w:p>
      <w:pPr>
        <w:ind w:left="1492" w:hanging="260"/>
        <w:spacing w:after="0"/>
        <w:tabs>
          <w:tab w:leader="none" w:pos="14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price and buyer of the assets shall be in compliance with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Times New Roman" w:cs="Times New Roman" w:eastAsia="Times New Roman" w:hAnsi="Times New Roman"/>
          <w:sz w:val="18"/>
          <w:szCs w:val="18"/>
          <w:color w:val="auto"/>
        </w:rPr>
        <w:t>(5) other ways Party B deems fit.</w:t>
      </w:r>
    </w:p>
    <w:p>
      <w:pPr>
        <w:spacing w:after="0" w:line="225" w:lineRule="exact"/>
        <w:rPr>
          <w:sz w:val="20"/>
          <w:szCs w:val="20"/>
          <w:color w:val="auto"/>
        </w:rPr>
      </w:pPr>
    </w:p>
    <w:p>
      <w:pPr>
        <w:ind w:left="1212" w:right="240" w:hanging="566"/>
        <w:spacing w:after="0" w:line="282" w:lineRule="auto"/>
        <w:tabs>
          <w:tab w:leader="none" w:pos="1192"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62" w:lineRule="exact"/>
        <w:rPr>
          <w:sz w:val="20"/>
          <w:szCs w:val="20"/>
          <w:color w:val="auto"/>
        </w:rPr>
      </w:pPr>
    </w:p>
    <w:p>
      <w:pPr>
        <w:ind w:left="1212" w:right="160" w:hanging="566"/>
        <w:spacing w:after="0" w:line="313" w:lineRule="auto"/>
        <w:tabs>
          <w:tab w:leader="none" w:pos="1192"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38"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Party B shall not bribe Party A or its employees, nor request any bribe or accept any bribe offered by Party A.</w:t>
      </w:r>
    </w:p>
    <w:p>
      <w:pPr>
        <w:spacing w:after="0" w:line="225"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color w:val="auto"/>
        </w:rPr>
        <w:t>Party B shall not engage in any activity which is dishonest or will be detrimental to Party A’s lawful interests.</w:t>
      </w:r>
    </w:p>
    <w:p>
      <w:pPr>
        <w:spacing w:after="0" w:line="221" w:lineRule="exact"/>
        <w:rPr>
          <w:sz w:val="20"/>
          <w:szCs w:val="20"/>
          <w:color w:val="auto"/>
        </w:rPr>
      </w:pPr>
    </w:p>
    <w:p>
      <w:pPr>
        <w:ind w:left="652" w:hanging="652"/>
        <w:spacing w:after="0"/>
        <w:tabs>
          <w:tab w:leader="none" w:pos="65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 AND REMEDY</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10.1 Events of Default by Party B and Liabilities</w:t>
      </w:r>
    </w:p>
    <w:p>
      <w:pPr>
        <w:spacing w:after="0" w:line="225" w:lineRule="exact"/>
        <w:rPr>
          <w:sz w:val="20"/>
          <w:szCs w:val="20"/>
          <w:color w:val="auto"/>
        </w:rPr>
      </w:pPr>
    </w:p>
    <w:p>
      <w:pPr>
        <w:ind w:left="1732" w:right="100" w:hanging="347"/>
        <w:spacing w:after="0" w:line="282" w:lineRule="auto"/>
        <w:tabs>
          <w:tab w:leader="none" w:pos="17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does not advance the Loan as provided herein without justifiable reason, Party A may request Party B to advance the Loan in accordance with the Contract.</w:t>
      </w:r>
    </w:p>
    <w:p>
      <w:pPr>
        <w:spacing w:after="0" w:line="161" w:lineRule="exact"/>
        <w:rPr>
          <w:rFonts w:ascii="Times New Roman" w:cs="Times New Roman" w:eastAsia="Times New Roman" w:hAnsi="Times New Roman"/>
          <w:sz w:val="18"/>
          <w:szCs w:val="18"/>
          <w:color w:val="auto"/>
        </w:rPr>
      </w:pPr>
    </w:p>
    <w:p>
      <w:pPr>
        <w:ind w:left="1732" w:hanging="347"/>
        <w:spacing w:after="0" w:line="282" w:lineRule="auto"/>
        <w:tabs>
          <w:tab w:leader="none" w:pos="17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charges any interest or fee which is prohibited by the laws or regulations, Party A may request Party B to refund the interest or fee charged.</w:t>
      </w:r>
    </w:p>
    <w:p>
      <w:pPr>
        <w:spacing w:after="0" w:line="16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10.2 Events of Default by Party A</w:t>
      </w:r>
    </w:p>
    <w:p>
      <w:pPr>
        <w:spacing w:after="0" w:line="225"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The events of default by Party A shall include:</w:t>
      </w:r>
    </w:p>
    <w:p>
      <w:pPr>
        <w:spacing w:after="0" w:line="225" w:lineRule="exact"/>
        <w:rPr>
          <w:sz w:val="20"/>
          <w:szCs w:val="20"/>
          <w:color w:val="auto"/>
        </w:rPr>
      </w:pPr>
    </w:p>
    <w:p>
      <w:pPr>
        <w:ind w:left="5612" w:right="3540" w:hanging="4223"/>
        <w:spacing w:after="0" w:line="783" w:lineRule="auto"/>
        <w:tabs>
          <w:tab w:leader="none" w:pos="1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breaches any statutory obligation or any contractual obligation hereunder;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8" w:right="239" w:bottom="1440" w:gutter="0" w:footer="0" w:header="0"/>
        </w:sectPr>
      </w:pPr>
    </w:p>
    <w:bookmarkStart w:id="107" w:name="page108"/>
    <w:bookmarkEnd w:id="107"/>
    <w:p>
      <w:pPr>
        <w:ind w:left="-393" w:right="4220" w:firstLine="637"/>
        <w:spacing w:after="0" w:line="501" w:lineRule="auto"/>
        <w:tabs>
          <w:tab w:leader="none" w:pos="49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repudiated its obligations hereunder expressly or by its conduct. 10.3 Events that may Adversely Impact Creditor’s Rights</w:t>
      </w:r>
    </w:p>
    <w:p>
      <w:pPr>
        <w:ind w:left="287" w:hanging="287"/>
        <w:spacing w:after="0"/>
        <w:tabs>
          <w:tab w:leader="none" w:pos="2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upon Party A which Party B believes may adversely impact its creditor’s rights:</w:t>
      </w:r>
    </w:p>
    <w:p>
      <w:pPr>
        <w:spacing w:after="0" w:line="225" w:lineRule="exact"/>
        <w:rPr>
          <w:rFonts w:ascii="Times New Roman" w:cs="Times New Roman" w:eastAsia="Times New Roman" w:hAnsi="Times New Roman"/>
          <w:sz w:val="18"/>
          <w:szCs w:val="18"/>
          <w:color w:val="auto"/>
        </w:rPr>
      </w:pPr>
    </w:p>
    <w:p>
      <w:pPr>
        <w:ind w:left="267" w:right="40" w:firstLine="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89" w:lineRule="exact"/>
        <w:rPr>
          <w:rFonts w:ascii="Times New Roman" w:cs="Times New Roman" w:eastAsia="Times New Roman" w:hAnsi="Times New Roman"/>
          <w:sz w:val="18"/>
          <w:szCs w:val="18"/>
          <w:color w:val="auto"/>
        </w:rPr>
      </w:pPr>
    </w:p>
    <w:p>
      <w:pPr>
        <w:ind w:left="287" w:hanging="287"/>
        <w:spacing w:after="0"/>
        <w:tabs>
          <w:tab w:leader="none" w:pos="2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which Party B believes may adversely impact its creditor’s rights:</w:t>
      </w:r>
    </w:p>
    <w:p>
      <w:pPr>
        <w:spacing w:after="0" w:line="225" w:lineRule="exact"/>
        <w:rPr>
          <w:rFonts w:ascii="Times New Roman" w:cs="Times New Roman" w:eastAsia="Times New Roman" w:hAnsi="Times New Roman"/>
          <w:sz w:val="18"/>
          <w:szCs w:val="18"/>
          <w:color w:val="auto"/>
        </w:rPr>
      </w:pPr>
    </w:p>
    <w:p>
      <w:pPr>
        <w:ind w:left="267" w:firstLine="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 ; there are grave cross-defaults by Party A; profit-making capability of Party A’s core business is undesirable; there is irregularity in the use of loan;</w:t>
      </w:r>
    </w:p>
    <w:p>
      <w:pPr>
        <w:spacing w:after="0" w:line="187" w:lineRule="exact"/>
        <w:rPr>
          <w:rFonts w:ascii="Times New Roman" w:cs="Times New Roman" w:eastAsia="Times New Roman" w:hAnsi="Times New Roman"/>
          <w:sz w:val="18"/>
          <w:szCs w:val="18"/>
          <w:color w:val="auto"/>
        </w:rPr>
      </w:pPr>
    </w:p>
    <w:p>
      <w:pPr>
        <w:ind w:left="267" w:right="80" w:hanging="267"/>
        <w:spacing w:after="0" w:line="282" w:lineRule="auto"/>
        <w:tabs>
          <w:tab w:leader="none" w:pos="2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61" w:lineRule="exact"/>
        <w:rPr>
          <w:rFonts w:ascii="Times New Roman" w:cs="Times New Roman" w:eastAsia="Times New Roman" w:hAnsi="Times New Roman"/>
          <w:sz w:val="18"/>
          <w:szCs w:val="18"/>
          <w:color w:val="auto"/>
        </w:rPr>
      </w:pPr>
    </w:p>
    <w:p>
      <w:pPr>
        <w:ind w:left="287" w:hanging="287"/>
        <w:spacing w:after="0"/>
        <w:tabs>
          <w:tab w:leader="none" w:pos="2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conditions precedent to advance the Loan has not been satisfied continuously;</w:t>
      </w:r>
    </w:p>
    <w:p>
      <w:pPr>
        <w:spacing w:after="0" w:line="225" w:lineRule="exact"/>
        <w:rPr>
          <w:rFonts w:ascii="Times New Roman" w:cs="Times New Roman" w:eastAsia="Times New Roman" w:hAnsi="Times New Roman"/>
          <w:sz w:val="18"/>
          <w:szCs w:val="18"/>
          <w:color w:val="auto"/>
        </w:rPr>
      </w:pPr>
    </w:p>
    <w:p>
      <w:pPr>
        <w:ind w:left="287" w:hanging="287"/>
        <w:spacing w:after="0"/>
        <w:tabs>
          <w:tab w:leader="none" w:pos="2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upon the guarantor which Party B believes may adversely impact its creditor’s rights:</w:t>
      </w:r>
    </w:p>
    <w:p>
      <w:pPr>
        <w:spacing w:after="0" w:line="225" w:lineRule="exact"/>
        <w:rPr>
          <w:rFonts w:ascii="Times New Roman" w:cs="Times New Roman" w:eastAsia="Times New Roman" w:hAnsi="Times New Roman"/>
          <w:sz w:val="18"/>
          <w:szCs w:val="18"/>
          <w:color w:val="auto"/>
        </w:rPr>
      </w:pPr>
    </w:p>
    <w:p>
      <w:pPr>
        <w:ind w:left="527" w:right="140" w:hanging="267"/>
        <w:spacing w:after="0" w:line="282" w:lineRule="auto"/>
        <w:tabs>
          <w:tab w:leader="none" w:pos="54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breaches any provision of the guarantee contract, or any of the representations and warranties it has made proves to be false, wrong or incomplete;</w:t>
      </w:r>
    </w:p>
    <w:p>
      <w:pPr>
        <w:spacing w:after="0" w:line="161" w:lineRule="exact"/>
        <w:rPr>
          <w:rFonts w:ascii="Times New Roman" w:cs="Times New Roman" w:eastAsia="Times New Roman" w:hAnsi="Times New Roman"/>
          <w:sz w:val="18"/>
          <w:szCs w:val="18"/>
          <w:color w:val="auto"/>
        </w:rPr>
      </w:pPr>
    </w:p>
    <w:p>
      <w:pPr>
        <w:ind w:left="527" w:right="120" w:hanging="267"/>
        <w:spacing w:after="0" w:line="313" w:lineRule="auto"/>
        <w:tabs>
          <w:tab w:leader="none" w:pos="558" w:val="left"/>
        </w:tabs>
        <w:numPr>
          <w:ilvl w:val="2"/>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w:t>
      </w:r>
    </w:p>
    <w:p>
      <w:pPr>
        <w:spacing w:after="0" w:line="354" w:lineRule="exact"/>
        <w:rPr>
          <w:sz w:val="20"/>
          <w:szCs w:val="20"/>
          <w:color w:val="auto"/>
        </w:rPr>
      </w:pPr>
    </w:p>
    <w:p>
      <w:pPr>
        <w:ind w:left="4467"/>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17145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7"/>
          </w:cols>
          <w:pgMar w:left="1393" w:top="877" w:right="299" w:bottom="1440" w:gutter="0" w:footer="0" w:header="0"/>
        </w:sectPr>
      </w:pPr>
    </w:p>
    <w:bookmarkStart w:id="108" w:name="page109"/>
    <w:bookmarkEnd w:id="108"/>
    <w:p>
      <w:pPr>
        <w:ind w:left="640" w:right="220" w:firstLine="2"/>
        <w:spacing w:after="0" w:line="255" w:lineRule="auto"/>
        <w:rPr>
          <w:sz w:val="20"/>
          <w:szCs w:val="20"/>
          <w:color w:val="auto"/>
        </w:rPr>
      </w:pPr>
      <w:r>
        <w:rPr>
          <w:rFonts w:ascii="Times New Roman" w:cs="Times New Roman" w:eastAsia="Times New Roman" w:hAnsi="Times New Roman"/>
          <w:sz w:val="18"/>
          <w:szCs w:val="18"/>
          <w:color w:val="auto"/>
        </w:rPr>
        <w:t>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(iii) other events in which the guarantor has lost or may lose its capability as guarantor.</w:t>
      </w:r>
    </w:p>
    <w:p>
      <w:pPr>
        <w:spacing w:after="0" w:line="225" w:lineRule="exact"/>
        <w:rPr>
          <w:sz w:val="20"/>
          <w:szCs w:val="20"/>
          <w:color w:val="auto"/>
        </w:rPr>
      </w:pPr>
    </w:p>
    <w:p>
      <w:pPr>
        <w:ind w:left="620" w:right="440" w:hanging="463"/>
        <w:spacing w:after="0" w:line="282" w:lineRule="auto"/>
        <w:tabs>
          <w:tab w:leader="none" w:pos="6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on the mortgage or pledge which Party B believes may adversely impact its creditor’s rights:</w:t>
      </w:r>
    </w:p>
    <w:p>
      <w:pPr>
        <w:spacing w:after="0" w:line="161" w:lineRule="exact"/>
        <w:rPr>
          <w:rFonts w:ascii="Times New Roman" w:cs="Times New Roman" w:eastAsia="Times New Roman" w:hAnsi="Times New Roman"/>
          <w:sz w:val="18"/>
          <w:szCs w:val="18"/>
          <w:color w:val="auto"/>
        </w:rPr>
      </w:pPr>
    </w:p>
    <w:p>
      <w:pPr>
        <w:ind w:left="1040" w:right="160" w:hanging="407"/>
        <w:spacing w:after="0" w:line="313" w:lineRule="auto"/>
        <w:tabs>
          <w:tab w:leader="none" w:pos="1061"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38" w:lineRule="exact"/>
        <w:rPr>
          <w:rFonts w:ascii="Times New Roman" w:cs="Times New Roman" w:eastAsia="Times New Roman" w:hAnsi="Times New Roman"/>
          <w:sz w:val="17"/>
          <w:szCs w:val="17"/>
          <w:color w:val="auto"/>
        </w:rPr>
      </w:pPr>
    </w:p>
    <w:p>
      <w:pPr>
        <w:ind w:left="1040" w:right="40" w:hanging="407"/>
        <w:spacing w:after="0" w:line="282" w:lineRule="auto"/>
        <w:tabs>
          <w:tab w:leader="none" w:pos="107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61" w:lineRule="exact"/>
        <w:rPr>
          <w:rFonts w:ascii="Times New Roman" w:cs="Times New Roman" w:eastAsia="Times New Roman" w:hAnsi="Times New Roman"/>
          <w:sz w:val="18"/>
          <w:szCs w:val="18"/>
          <w:color w:val="auto"/>
        </w:rPr>
      </w:pPr>
    </w:p>
    <w:p>
      <w:pPr>
        <w:ind w:left="1040" w:hanging="407"/>
        <w:spacing w:after="0" w:line="282" w:lineRule="auto"/>
        <w:tabs>
          <w:tab w:leader="none" w:pos="10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mortgagor or pledgor breaches any provision of the mortgage/pledge contract, or any of the representations and warranties it has made proves to be false, wrong or incomplete;</w:t>
      </w:r>
    </w:p>
    <w:p>
      <w:pPr>
        <w:spacing w:after="0" w:line="161" w:lineRule="exact"/>
        <w:rPr>
          <w:rFonts w:ascii="Times New Roman" w:cs="Times New Roman" w:eastAsia="Times New Roman" w:hAnsi="Times New Roman"/>
          <w:sz w:val="18"/>
          <w:szCs w:val="18"/>
          <w:color w:val="auto"/>
        </w:rPr>
      </w:pPr>
    </w:p>
    <w:p>
      <w:pPr>
        <w:ind w:left="1060" w:hanging="427"/>
        <w:spacing w:after="0"/>
        <w:tabs>
          <w:tab w:leader="none" w:pos="10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that may adversely impact Party B’s ability to realize its mortgage or pledge.</w:t>
      </w:r>
    </w:p>
    <w:p>
      <w:pPr>
        <w:spacing w:after="0" w:line="225" w:lineRule="exact"/>
        <w:rPr>
          <w:rFonts w:ascii="Times New Roman" w:cs="Times New Roman" w:eastAsia="Times New Roman" w:hAnsi="Times New Roman"/>
          <w:sz w:val="18"/>
          <w:szCs w:val="18"/>
          <w:color w:val="auto"/>
        </w:rPr>
      </w:pPr>
    </w:p>
    <w:p>
      <w:pPr>
        <w:ind w:left="620" w:right="220" w:hanging="463"/>
        <w:spacing w:after="0" w:line="266" w:lineRule="auto"/>
        <w:tabs>
          <w:tab w:leader="none" w:pos="6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76" w:lineRule="exact"/>
        <w:rPr>
          <w:rFonts w:ascii="Times New Roman" w:cs="Times New Roman" w:eastAsia="Times New Roman" w:hAnsi="Times New Roman"/>
          <w:sz w:val="18"/>
          <w:szCs w:val="18"/>
          <w:color w:val="auto"/>
        </w:rPr>
      </w:pPr>
    </w:p>
    <w:p>
      <w:pPr>
        <w:ind w:left="640" w:hanging="48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Party B’s Remedy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180" w:hanging="547"/>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stop advancing the Loan;</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1020" w:top="877" w:right="279" w:bottom="1440" w:gutter="0" w:footer="0" w:header="0"/>
        </w:sectPr>
      </w:pPr>
    </w:p>
    <w:bookmarkStart w:id="109" w:name="page110"/>
    <w:bookmarkEnd w:id="109"/>
    <w:p>
      <w:pPr>
        <w:ind w:left="600" w:hanging="387"/>
        <w:spacing w:after="0"/>
        <w:tabs>
          <w:tab w:leader="none" w:pos="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for more conditions precedent for loan advance and payment;</w:t>
      </w:r>
    </w:p>
    <w:p>
      <w:pPr>
        <w:spacing w:after="0" w:line="225" w:lineRule="exact"/>
        <w:rPr>
          <w:rFonts w:ascii="Times New Roman" w:cs="Times New Roman" w:eastAsia="Times New Roman" w:hAnsi="Times New Roman"/>
          <w:sz w:val="18"/>
          <w:szCs w:val="18"/>
          <w:color w:val="auto"/>
        </w:rPr>
      </w:pPr>
    </w:p>
    <w:p>
      <w:pPr>
        <w:ind w:left="600" w:hanging="387"/>
        <w:spacing w:after="0"/>
        <w:tabs>
          <w:tab w:leader="none" w:pos="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means of payment of loan in accordance with this Contract;</w:t>
      </w:r>
    </w:p>
    <w:p>
      <w:pPr>
        <w:spacing w:after="0" w:line="225" w:lineRule="exact"/>
        <w:rPr>
          <w:rFonts w:ascii="Times New Roman" w:cs="Times New Roman" w:eastAsia="Times New Roman" w:hAnsi="Times New Roman"/>
          <w:sz w:val="18"/>
          <w:szCs w:val="18"/>
          <w:color w:val="auto"/>
        </w:rPr>
      </w:pPr>
    </w:p>
    <w:p>
      <w:pPr>
        <w:ind w:left="580" w:right="80" w:hanging="367"/>
        <w:spacing w:after="0" w:line="282" w:lineRule="auto"/>
        <w:tabs>
          <w:tab w:leader="none" w:pos="5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declare the Loan immediately due and payable, and request Party A to repay immediately all the due and undue principal, interest and fees;</w:t>
      </w:r>
    </w:p>
    <w:p>
      <w:pPr>
        <w:spacing w:after="0" w:line="161" w:lineRule="exact"/>
        <w:rPr>
          <w:rFonts w:ascii="Times New Roman" w:cs="Times New Roman" w:eastAsia="Times New Roman" w:hAnsi="Times New Roman"/>
          <w:sz w:val="18"/>
          <w:szCs w:val="18"/>
          <w:color w:val="auto"/>
        </w:rPr>
      </w:pPr>
    </w:p>
    <w:p>
      <w:pPr>
        <w:ind w:left="600" w:hanging="387"/>
        <w:spacing w:after="0"/>
        <w:tabs>
          <w:tab w:leader="none" w:pos="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fails to make any drawdown in accordance with the Contract, Party B may hold Party A liable to pay a penalty equal to 0</w:t>
      </w:r>
    </w:p>
    <w:p>
      <w:pPr>
        <w:spacing w:after="0" w:line="27" w:lineRule="exact"/>
        <w:rPr>
          <w:rFonts w:ascii="Times New Roman" w:cs="Times New Roman" w:eastAsia="Times New Roman" w:hAnsi="Times New Roman"/>
          <w:sz w:val="18"/>
          <w:szCs w:val="18"/>
          <w:color w:val="auto"/>
        </w:rPr>
      </w:pPr>
    </w:p>
    <w:p>
      <w:pPr>
        <w:ind w:left="780" w:hanging="191"/>
        <w:spacing w:after="0"/>
        <w:tabs>
          <w:tab w:leader="none" w:pos="7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Loan proceeds not drawn and may reject Party A’s request for drawing such Loan;</w:t>
      </w:r>
    </w:p>
    <w:p>
      <w:pPr>
        <w:spacing w:after="0" w:line="206" w:lineRule="exact"/>
        <w:rPr>
          <w:rFonts w:ascii="Times New Roman" w:cs="Times New Roman" w:eastAsia="Times New Roman" w:hAnsi="Times New Roman"/>
          <w:sz w:val="18"/>
          <w:szCs w:val="18"/>
          <w:color w:val="auto"/>
        </w:rPr>
      </w:pPr>
    </w:p>
    <w:p>
      <w:pPr>
        <w:ind w:left="580" w:hanging="367"/>
        <w:spacing w:after="0" w:line="266" w:lineRule="auto"/>
        <w:tabs>
          <w:tab w:leader="none" w:pos="5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76" w:lineRule="exact"/>
        <w:rPr>
          <w:rFonts w:ascii="Times New Roman" w:cs="Times New Roman" w:eastAsia="Times New Roman" w:hAnsi="Times New Roman"/>
          <w:sz w:val="18"/>
          <w:szCs w:val="18"/>
          <w:color w:val="auto"/>
        </w:rPr>
      </w:pPr>
    </w:p>
    <w:p>
      <w:pPr>
        <w:ind w:left="580" w:right="120" w:hanging="367"/>
        <w:spacing w:after="0" w:line="261" w:lineRule="auto"/>
        <w:tabs>
          <w:tab w:leader="none" w:pos="5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0" w:lineRule="exact"/>
        <w:rPr>
          <w:rFonts w:ascii="Times New Roman" w:cs="Times New Roman" w:eastAsia="Times New Roman" w:hAnsi="Times New Roman"/>
          <w:sz w:val="18"/>
          <w:szCs w:val="18"/>
          <w:color w:val="auto"/>
        </w:rPr>
      </w:pPr>
    </w:p>
    <w:p>
      <w:pPr>
        <w:ind w:left="60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61" w:lineRule="exact"/>
        <w:rPr>
          <w:rFonts w:ascii="Times New Roman" w:cs="Times New Roman" w:eastAsia="Times New Roman" w:hAnsi="Times New Roman"/>
          <w:sz w:val="18"/>
          <w:szCs w:val="18"/>
          <w:color w:val="auto"/>
        </w:rPr>
      </w:pPr>
    </w:p>
    <w:p>
      <w:pPr>
        <w:ind w:left="600" w:right="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principal is overdue, the overdue interest shall be compounded in accordance with the interest rate and the interest settlement method as provided herein;</w:t>
      </w:r>
    </w:p>
    <w:p>
      <w:pPr>
        <w:spacing w:after="0" w:line="161" w:lineRule="exact"/>
        <w:rPr>
          <w:rFonts w:ascii="Times New Roman" w:cs="Times New Roman" w:eastAsia="Times New Roman" w:hAnsi="Times New Roman"/>
          <w:sz w:val="18"/>
          <w:szCs w:val="18"/>
          <w:color w:val="auto"/>
        </w:rPr>
      </w:pPr>
    </w:p>
    <w:p>
      <w:pPr>
        <w:ind w:left="600" w:hanging="387"/>
        <w:spacing w:after="0"/>
        <w:tabs>
          <w:tab w:leader="none" w:pos="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remedies, including but not limited to:</w:t>
      </w:r>
    </w:p>
    <w:p>
      <w:pPr>
        <w:spacing w:after="0" w:line="225" w:lineRule="exact"/>
        <w:rPr>
          <w:rFonts w:ascii="Times New Roman" w:cs="Times New Roman" w:eastAsia="Times New Roman" w:hAnsi="Times New Roman"/>
          <w:sz w:val="18"/>
          <w:szCs w:val="18"/>
          <w:color w:val="auto"/>
        </w:rPr>
      </w:pPr>
    </w:p>
    <w:p>
      <w:pPr>
        <w:ind w:left="1340" w:right="220" w:hanging="544"/>
        <w:spacing w:after="0" w:line="282" w:lineRule="auto"/>
        <w:tabs>
          <w:tab w:leader="none" w:pos="136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debit Party A’s accounts at China Construction Bank in RMB or other currencies with corresponding amount without prior notice to Party A;</w:t>
      </w:r>
    </w:p>
    <w:p>
      <w:pPr>
        <w:spacing w:after="0" w:line="161" w:lineRule="exact"/>
        <w:rPr>
          <w:rFonts w:ascii="Times New Roman" w:cs="Times New Roman" w:eastAsia="Times New Roman" w:hAnsi="Times New Roman"/>
          <w:sz w:val="18"/>
          <w:szCs w:val="18"/>
          <w:color w:val="auto"/>
        </w:rPr>
      </w:pPr>
    </w:p>
    <w:p>
      <w:pPr>
        <w:ind w:left="1380" w:hanging="584"/>
        <w:spacing w:after="0"/>
        <w:tabs>
          <w:tab w:leader="none" w:pos="138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its rights under the security interest;</w:t>
      </w:r>
    </w:p>
    <w:p>
      <w:pPr>
        <w:spacing w:after="0" w:line="225" w:lineRule="exact"/>
        <w:rPr>
          <w:rFonts w:ascii="Times New Roman" w:cs="Times New Roman" w:eastAsia="Times New Roman" w:hAnsi="Times New Roman"/>
          <w:sz w:val="18"/>
          <w:szCs w:val="18"/>
          <w:color w:val="auto"/>
        </w:rPr>
      </w:pPr>
    </w:p>
    <w:p>
      <w:pPr>
        <w:ind w:left="1400" w:hanging="604"/>
        <w:spacing w:after="0"/>
        <w:tabs>
          <w:tab w:leader="none" w:pos="140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Party A to provide new security satisfactory to Party B for all the debts of Party A hereunder;</w:t>
      </w:r>
    </w:p>
    <w:p>
      <w:pPr>
        <w:spacing w:after="0" w:line="225" w:lineRule="exact"/>
        <w:rPr>
          <w:rFonts w:ascii="Times New Roman" w:cs="Times New Roman" w:eastAsia="Times New Roman" w:hAnsi="Times New Roman"/>
          <w:sz w:val="18"/>
          <w:szCs w:val="18"/>
          <w:color w:val="auto"/>
        </w:rPr>
      </w:pPr>
    </w:p>
    <w:p>
      <w:pPr>
        <w:ind w:left="1340" w:right="500" w:hanging="544"/>
        <w:spacing w:after="0" w:line="282" w:lineRule="auto"/>
        <w:tabs>
          <w:tab w:leader="none" w:pos="1359"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decline Party A’s request to dispose of its deposits of corresponding amount, within any account opened with any branch of China Construction Bank (including without limitation the account to collect sale proceeds);</w:t>
      </w:r>
    </w:p>
    <w:p>
      <w:pPr>
        <w:spacing w:after="0" w:line="161" w:lineRule="exact"/>
        <w:rPr>
          <w:rFonts w:ascii="Times New Roman" w:cs="Times New Roman" w:eastAsia="Times New Roman" w:hAnsi="Times New Roman"/>
          <w:sz w:val="18"/>
          <w:szCs w:val="18"/>
          <w:color w:val="auto"/>
        </w:rPr>
      </w:pPr>
    </w:p>
    <w:p>
      <w:pPr>
        <w:ind w:left="1360" w:hanging="564"/>
        <w:spacing w:after="0"/>
        <w:tabs>
          <w:tab w:leader="none" w:pos="13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the Contract.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877" w:right="259" w:bottom="1440" w:gutter="0" w:footer="0" w:header="0"/>
        </w:sectPr>
      </w:pPr>
    </w:p>
    <w:bookmarkStart w:id="110" w:name="page111"/>
    <w:bookmarkEnd w:id="110"/>
    <w:p>
      <w:pPr>
        <w:ind w:left="632" w:hanging="632"/>
        <w:spacing w:after="0"/>
        <w:tabs>
          <w:tab w:leader="none" w:pos="632"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Cost Allocation</w:t>
      </w:r>
    </w:p>
    <w:p>
      <w:pPr>
        <w:spacing w:after="0" w:line="225" w:lineRule="exact"/>
        <w:rPr>
          <w:rFonts w:ascii="Times New Roman" w:cs="Times New Roman" w:eastAsia="Times New Roman" w:hAnsi="Times New Roman"/>
          <w:sz w:val="18"/>
          <w:szCs w:val="18"/>
          <w:b w:val="1"/>
          <w:bCs w:val="1"/>
          <w:color w:val="auto"/>
        </w:rPr>
      </w:pPr>
    </w:p>
    <w:p>
      <w:pPr>
        <w:ind w:left="1872" w:right="200" w:hanging="359"/>
        <w:spacing w:after="0" w:line="266" w:lineRule="auto"/>
        <w:tabs>
          <w:tab w:leader="none" w:pos="18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76" w:lineRule="exact"/>
        <w:rPr>
          <w:rFonts w:ascii="Times New Roman" w:cs="Times New Roman" w:eastAsia="Times New Roman" w:hAnsi="Times New Roman"/>
          <w:sz w:val="18"/>
          <w:szCs w:val="18"/>
          <w:color w:val="auto"/>
        </w:rPr>
      </w:pPr>
    </w:p>
    <w:p>
      <w:pPr>
        <w:ind w:left="1952" w:hanging="439"/>
        <w:spacing w:after="0"/>
        <w:tabs>
          <w:tab w:leader="none" w:pos="195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other fees the parties agree as follows:</w:t>
      </w:r>
    </w:p>
    <w:p>
      <w:pPr>
        <w:spacing w:after="0" w:line="225" w:lineRule="exact"/>
        <w:rPr>
          <w:sz w:val="20"/>
          <w:szCs w:val="20"/>
          <w:color w:val="auto"/>
        </w:rPr>
      </w:pPr>
    </w:p>
    <w:p>
      <w:pPr>
        <w:ind w:left="652"/>
        <w:spacing w:after="0"/>
        <w:tabs>
          <w:tab w:leader="none" w:pos="1252"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Use of Party A’s Information</w:t>
      </w:r>
    </w:p>
    <w:p>
      <w:pPr>
        <w:spacing w:after="0" w:line="225" w:lineRule="exact"/>
        <w:rPr>
          <w:sz w:val="20"/>
          <w:szCs w:val="20"/>
          <w:color w:val="auto"/>
        </w:rPr>
      </w:pPr>
    </w:p>
    <w:p>
      <w:pPr>
        <w:ind w:left="1312"/>
        <w:spacing w:after="0" w:line="261" w:lineRule="auto"/>
        <w:rPr>
          <w:sz w:val="20"/>
          <w:szCs w:val="20"/>
          <w:color w:val="auto"/>
        </w:rPr>
      </w:pPr>
      <w:r>
        <w:rPr>
          <w:rFonts w:ascii="Times New Roman" w:cs="Times New Roman" w:eastAsia="Times New Roman" w:hAnsi="Times New Roman"/>
          <w:sz w:val="18"/>
          <w:szCs w:val="18"/>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80" w:lineRule="exact"/>
        <w:rPr>
          <w:sz w:val="20"/>
          <w:szCs w:val="20"/>
          <w:color w:val="auto"/>
        </w:rPr>
      </w:pPr>
    </w:p>
    <w:p>
      <w:pPr>
        <w:ind w:left="652"/>
        <w:spacing w:after="0"/>
        <w:tabs>
          <w:tab w:leader="none" w:pos="1252"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Collection by Public Announcement</w:t>
      </w:r>
    </w:p>
    <w:p>
      <w:pPr>
        <w:spacing w:after="0" w:line="225" w:lineRule="exact"/>
        <w:rPr>
          <w:sz w:val="20"/>
          <w:szCs w:val="20"/>
          <w:color w:val="auto"/>
        </w:rPr>
      </w:pPr>
    </w:p>
    <w:p>
      <w:pPr>
        <w:ind w:left="1312" w:right="160"/>
        <w:spacing w:after="0" w:line="282" w:lineRule="auto"/>
        <w:rPr>
          <w:sz w:val="20"/>
          <w:szCs w:val="20"/>
          <w:color w:val="auto"/>
        </w:rPr>
      </w:pPr>
      <w:r>
        <w:rPr>
          <w:rFonts w:ascii="Times New Roman" w:cs="Times New Roman" w:eastAsia="Times New Roman" w:hAnsi="Times New Roman"/>
          <w:sz w:val="18"/>
          <w:szCs w:val="18"/>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62" w:lineRule="exact"/>
        <w:rPr>
          <w:sz w:val="20"/>
          <w:szCs w:val="20"/>
          <w:color w:val="auto"/>
        </w:rPr>
      </w:pPr>
    </w:p>
    <w:p>
      <w:pPr>
        <w:ind w:left="652"/>
        <w:spacing w:after="0"/>
        <w:tabs>
          <w:tab w:leader="none" w:pos="1252"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Party B’s Record as Evidence</w:t>
      </w:r>
    </w:p>
    <w:p>
      <w:pPr>
        <w:spacing w:after="0" w:line="225" w:lineRule="exact"/>
        <w:rPr>
          <w:sz w:val="20"/>
          <w:szCs w:val="20"/>
          <w:color w:val="auto"/>
        </w:rPr>
      </w:pPr>
    </w:p>
    <w:p>
      <w:pPr>
        <w:ind w:left="1312" w:right="120"/>
        <w:spacing w:after="0" w:line="261" w:lineRule="auto"/>
        <w:rPr>
          <w:sz w:val="20"/>
          <w:szCs w:val="20"/>
          <w:color w:val="auto"/>
        </w:rPr>
      </w:pPr>
      <w:r>
        <w:rPr>
          <w:rFonts w:ascii="Times New Roman" w:cs="Times New Roman" w:eastAsia="Times New Roman" w:hAnsi="Times New Roman"/>
          <w:sz w:val="18"/>
          <w:szCs w:val="18"/>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80" w:lineRule="exact"/>
        <w:rPr>
          <w:sz w:val="20"/>
          <w:szCs w:val="20"/>
          <w:color w:val="auto"/>
        </w:rPr>
      </w:pPr>
    </w:p>
    <w:p>
      <w:pPr>
        <w:ind w:left="652"/>
        <w:spacing w:after="0"/>
        <w:tabs>
          <w:tab w:leader="none" w:pos="1252"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No Waivers</w:t>
      </w:r>
    </w:p>
    <w:p>
      <w:pPr>
        <w:spacing w:after="0" w:line="225" w:lineRule="exact"/>
        <w:rPr>
          <w:sz w:val="20"/>
          <w:szCs w:val="20"/>
          <w:color w:val="auto"/>
        </w:rPr>
      </w:pPr>
    </w:p>
    <w:p>
      <w:pPr>
        <w:ind w:left="1312" w:right="20"/>
        <w:spacing w:after="0" w:line="258" w:lineRule="auto"/>
        <w:rPr>
          <w:sz w:val="20"/>
          <w:szCs w:val="20"/>
          <w:color w:val="auto"/>
        </w:rPr>
      </w:pPr>
      <w:r>
        <w:rPr>
          <w:rFonts w:ascii="Times New Roman" w:cs="Times New Roman" w:eastAsia="Times New Roman" w:hAnsi="Times New Roman"/>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4" w:lineRule="exact"/>
        <w:rPr>
          <w:sz w:val="20"/>
          <w:szCs w:val="20"/>
          <w:color w:val="auto"/>
        </w:rPr>
      </w:pPr>
    </w:p>
    <w:p>
      <w:pPr>
        <w:ind w:left="1272" w:right="220" w:hanging="647"/>
        <w:spacing w:after="0" w:line="266" w:lineRule="auto"/>
        <w:tabs>
          <w:tab w:leader="none" w:pos="1252"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3" w:right="239" w:bottom="1440" w:gutter="0" w:footer="0" w:header="0"/>
        </w:sectPr>
      </w:pPr>
    </w:p>
    <w:bookmarkStart w:id="111" w:name="page112"/>
    <w:bookmarkEnd w:id="111"/>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In the event of any change to the address or other contact information, Party A shall promptly notify Party B of such change in writing.</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Party A shall be liable for any loss caused by its failure of giving prompt notice of such change.</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Direct Debit Right</w:t>
      </w:r>
    </w:p>
    <w:p>
      <w:pPr>
        <w:spacing w:after="0" w:line="225" w:lineRule="exact"/>
        <w:rPr>
          <w:sz w:val="20"/>
          <w:szCs w:val="20"/>
          <w:color w:val="auto"/>
        </w:rPr>
      </w:pPr>
    </w:p>
    <w:p>
      <w:pPr>
        <w:jc w:val="both"/>
        <w:ind w:left="640" w:right="20"/>
        <w:spacing w:after="0" w:line="266" w:lineRule="auto"/>
        <w:rPr>
          <w:sz w:val="20"/>
          <w:szCs w:val="20"/>
          <w:color w:val="auto"/>
        </w:rPr>
      </w:pPr>
      <w:r>
        <w:rPr>
          <w:rFonts w:ascii="Times New Roman" w:cs="Times New Roman" w:eastAsia="Times New Roman" w:hAnsi="Times New Roman"/>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Dispute Resolution</w:t>
      </w:r>
    </w:p>
    <w:p>
      <w:pPr>
        <w:spacing w:after="0" w:line="225" w:lineRule="exact"/>
        <w:rPr>
          <w:sz w:val="20"/>
          <w:szCs w:val="20"/>
          <w:color w:val="auto"/>
        </w:rPr>
      </w:pPr>
    </w:p>
    <w:p>
      <w:pPr>
        <w:ind w:left="640" w:right="640" w:hanging="36"/>
        <w:spacing w:after="0" w:line="282" w:lineRule="auto"/>
        <w:rPr>
          <w:sz w:val="20"/>
          <w:szCs w:val="20"/>
          <w:color w:val="auto"/>
        </w:rPr>
      </w:pPr>
      <w:r>
        <w:rPr>
          <w:rFonts w:ascii="Times New Roman" w:cs="Times New Roman" w:eastAsia="Times New Roman" w:hAnsi="Times New Roman"/>
          <w:sz w:val="18"/>
          <w:szCs w:val="18"/>
          <w:color w:val="auto"/>
        </w:rPr>
        <w:t>Any dispute arising from the performance of the Contract may be settled by consultation. If the dispute cannot be resolved through consultation, such dispute shall be submitted to (1) [please select from below]:</w:t>
      </w:r>
    </w:p>
    <w:p>
      <w:pPr>
        <w:spacing w:after="0" w:line="162" w:lineRule="exact"/>
        <w:rPr>
          <w:sz w:val="20"/>
          <w:szCs w:val="20"/>
          <w:color w:val="auto"/>
        </w:rPr>
      </w:pPr>
    </w:p>
    <w:p>
      <w:pPr>
        <w:ind w:left="1220" w:hanging="575"/>
        <w:spacing w:after="0"/>
        <w:tabs>
          <w:tab w:leader="none" w:pos="12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People’s court within the jurisdiction where Party B is located.</w:t>
      </w:r>
    </w:p>
    <w:p>
      <w:pPr>
        <w:spacing w:after="0" w:line="225" w:lineRule="exact"/>
        <w:rPr>
          <w:sz w:val="20"/>
          <w:szCs w:val="20"/>
          <w:color w:val="auto"/>
        </w:rPr>
      </w:pPr>
    </w:p>
    <w:p>
      <w:pPr>
        <w:ind w:left="1220" w:right="6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[name of the arbitration committee] for arbitration at [place of arbitration] in accordance with the then prevailing arbitration rules. The arbitration award shall be final and binding on both Party A and Party B.</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18"/>
          <w:szCs w:val="18"/>
          <w:color w:val="auto"/>
        </w:rPr>
        <w:t>11.10</w:t>
        <w:tab/>
        <w:t>Effectiveness of the Contract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Contract shall become effective upon:</w:t>
      </w:r>
    </w:p>
    <w:p>
      <w:pPr>
        <w:spacing w:after="0" w:line="225" w:lineRule="exact"/>
        <w:rPr>
          <w:sz w:val="20"/>
          <w:szCs w:val="20"/>
          <w:color w:val="auto"/>
        </w:rPr>
      </w:pPr>
    </w:p>
    <w:p>
      <w:pPr>
        <w:ind w:left="1580" w:right="340" w:hanging="471"/>
        <w:spacing w:after="0" w:line="282" w:lineRule="auto"/>
        <w:tabs>
          <w:tab w:leader="none" w:pos="159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by the legal representative/(principal officer) or authorized representative of Party A and being affixed with the company chop of Party A; and</w:t>
      </w:r>
    </w:p>
    <w:p>
      <w:pPr>
        <w:spacing w:after="0" w:line="161" w:lineRule="exact"/>
        <w:rPr>
          <w:rFonts w:ascii="Times New Roman" w:cs="Times New Roman" w:eastAsia="Times New Roman" w:hAnsi="Times New Roman"/>
          <w:sz w:val="18"/>
          <w:szCs w:val="18"/>
          <w:color w:val="auto"/>
        </w:rPr>
      </w:pPr>
    </w:p>
    <w:p>
      <w:pPr>
        <w:ind w:left="1580" w:hanging="471"/>
        <w:spacing w:after="0" w:line="282" w:lineRule="auto"/>
        <w:tabs>
          <w:tab w:leader="none" w:pos="159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62" w:lineRule="exact"/>
        <w:rPr>
          <w:sz w:val="20"/>
          <w:szCs w:val="20"/>
          <w:color w:val="auto"/>
        </w:rPr>
      </w:pPr>
    </w:p>
    <w:p>
      <w:pPr>
        <w:ind w:left="80"/>
        <w:spacing w:after="0"/>
        <w:tabs>
          <w:tab w:leader="none" w:pos="600" w:val="left"/>
          <w:tab w:leader="none" w:pos="4820" w:val="left"/>
        </w:tabs>
        <w:rPr>
          <w:sz w:val="20"/>
          <w:szCs w:val="20"/>
          <w:color w:val="auto"/>
        </w:rPr>
      </w:pPr>
      <w:r>
        <w:rPr>
          <w:rFonts w:ascii="Times New Roman" w:cs="Times New Roman" w:eastAsia="Times New Roman" w:hAnsi="Times New Roman"/>
          <w:sz w:val="18"/>
          <w:szCs w:val="18"/>
          <w:color w:val="auto"/>
        </w:rPr>
        <w:t>11.11</w:t>
        <w:tab/>
        <w:t>The Contract shall be executed in</w:t>
      </w:r>
      <w:r>
        <w:rPr>
          <w:sz w:val="20"/>
          <w:szCs w:val="20"/>
          <w:color w:val="auto"/>
        </w:rPr>
        <w:tab/>
      </w:r>
      <w:r>
        <w:rPr>
          <w:rFonts w:ascii="Times New Roman" w:cs="Times New Roman" w:eastAsia="Times New Roman" w:hAnsi="Times New Roman"/>
          <w:sz w:val="17"/>
          <w:szCs w:val="17"/>
          <w:color w:val="auto"/>
        </w:rPr>
        <w:t>counterparts.</w:t>
      </w:r>
    </w:p>
    <w:p>
      <w:pPr>
        <w:spacing w:after="0" w:line="225"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color w:val="auto"/>
        </w:rPr>
        <w:t>Other Provisions:</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00" w:top="877" w:right="319" w:bottom="1440" w:gutter="0" w:footer="0" w:header="0"/>
        </w:sectPr>
      </w:pPr>
    </w:p>
    <w:bookmarkStart w:id="112" w:name="page113"/>
    <w:bookmarkEnd w:id="112"/>
    <w:p>
      <w:pPr>
        <w:ind w:left="672" w:hanging="672"/>
        <w:spacing w:after="0"/>
        <w:tabs>
          <w:tab w:leader="none" w:pos="67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9" w:lineRule="exact"/>
        <w:rPr>
          <w:sz w:val="20"/>
          <w:szCs w:val="20"/>
          <w:color w:val="auto"/>
        </w:rPr>
      </w:pPr>
    </w:p>
    <w:p>
      <w:pPr>
        <w:ind w:left="872"/>
        <w:spacing w:after="0"/>
        <w:tabs>
          <w:tab w:leader="none" w:pos="137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Party A clearly understands the business scope and authorization limit of Party B.</w:t>
      </w:r>
    </w:p>
    <w:p>
      <w:pPr>
        <w:spacing w:after="0" w:line="225" w:lineRule="exact"/>
        <w:rPr>
          <w:sz w:val="20"/>
          <w:szCs w:val="20"/>
          <w:color w:val="auto"/>
        </w:rPr>
      </w:pPr>
    </w:p>
    <w:p>
      <w:pPr>
        <w:ind w:left="1392" w:right="160" w:hanging="539"/>
        <w:spacing w:after="0" w:line="282" w:lineRule="auto"/>
        <w:tabs>
          <w:tab w:leader="none" w:pos="1372" w:val="left"/>
        </w:tabs>
        <w:rPr>
          <w:sz w:val="20"/>
          <w:szCs w:val="20"/>
          <w:color w:val="auto"/>
        </w:rPr>
      </w:pPr>
      <w:r>
        <w:rPr>
          <w:rFonts w:ascii="Times New Roman" w:cs="Times New Roman" w:eastAsia="Times New Roman" w:hAnsi="Times New Roman"/>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62" w:lineRule="exact"/>
        <w:rPr>
          <w:sz w:val="20"/>
          <w:szCs w:val="20"/>
          <w:color w:val="auto"/>
        </w:rPr>
      </w:pPr>
    </w:p>
    <w:p>
      <w:pPr>
        <w:ind w:left="1392" w:right="20" w:hanging="539"/>
        <w:spacing w:after="0" w:line="266" w:lineRule="auto"/>
        <w:tabs>
          <w:tab w:leader="none" w:pos="1372" w:val="left"/>
        </w:tabs>
        <w:rPr>
          <w:sz w:val="20"/>
          <w:szCs w:val="20"/>
          <w:color w:val="auto"/>
        </w:rPr>
      </w:pPr>
      <w:r>
        <w:rPr>
          <w:rFonts w:ascii="Times New Roman" w:cs="Times New Roman" w:eastAsia="Times New Roman" w:hAnsi="Times New Roman"/>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76" w:lineRule="exact"/>
        <w:rPr>
          <w:sz w:val="20"/>
          <w:szCs w:val="20"/>
          <w:color w:val="auto"/>
        </w:rPr>
      </w:pPr>
    </w:p>
    <w:p>
      <w:pPr>
        <w:ind w:left="872"/>
        <w:spacing w:after="0"/>
        <w:tabs>
          <w:tab w:leader="none" w:pos="1372"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Party A carries out production and operation in compliance with laws and regulations.</w:t>
      </w:r>
    </w:p>
    <w:p>
      <w:pPr>
        <w:spacing w:after="0" w:line="225" w:lineRule="exact"/>
        <w:rPr>
          <w:sz w:val="20"/>
          <w:szCs w:val="20"/>
          <w:color w:val="auto"/>
        </w:rPr>
      </w:pPr>
    </w:p>
    <w:p>
      <w:pPr>
        <w:ind w:left="872"/>
        <w:spacing w:after="0"/>
        <w:tabs>
          <w:tab w:leader="none" w:pos="1372" w:val="left"/>
        </w:tabs>
        <w:rPr>
          <w:sz w:val="20"/>
          <w:szCs w:val="20"/>
          <w:color w:val="auto"/>
        </w:rPr>
      </w:pPr>
      <w:r>
        <w:rPr>
          <w:rFonts w:ascii="Times New Roman" w:cs="Times New Roman" w:eastAsia="Times New Roman" w:hAnsi="Times New Roman"/>
          <w:sz w:val="18"/>
          <w:szCs w:val="18"/>
          <w:color w:val="auto"/>
        </w:rPr>
        <w:t>12.5</w:t>
        <w:tab/>
        <w:t>Party A has the capability to keep its business going and has the legitimate sources to repay the loan.</w:t>
      </w:r>
    </w:p>
    <w:p>
      <w:pPr>
        <w:spacing w:after="0" w:line="225" w:lineRule="exact"/>
        <w:rPr>
          <w:sz w:val="20"/>
          <w:szCs w:val="20"/>
          <w:color w:val="auto"/>
        </w:rPr>
      </w:pPr>
    </w:p>
    <w:p>
      <w:pPr>
        <w:ind w:left="1392" w:right="200" w:hanging="539"/>
        <w:spacing w:after="0" w:line="282" w:lineRule="auto"/>
        <w:tabs>
          <w:tab w:leader="none" w:pos="1372" w:val="left"/>
        </w:tabs>
        <w:rPr>
          <w:sz w:val="20"/>
          <w:szCs w:val="20"/>
          <w:color w:val="auto"/>
        </w:rPr>
      </w:pPr>
      <w:r>
        <w:rPr>
          <w:rFonts w:ascii="Times New Roman" w:cs="Times New Roman" w:eastAsia="Times New Roman" w:hAnsi="Times New Roman"/>
          <w:sz w:val="18"/>
          <w:szCs w:val="18"/>
          <w:color w:val="auto"/>
        </w:rPr>
        <w:t>12.6</w:t>
        <w:tab/>
        <w:t>Party A warrants that the loan amount requested under this Contract is no more than necessary to meet the real needs of Party A for the purposes specified herein.</w:t>
      </w:r>
    </w:p>
    <w:p>
      <w:pPr>
        <w:spacing w:after="0" w:line="162" w:lineRule="exact"/>
        <w:rPr>
          <w:sz w:val="20"/>
          <w:szCs w:val="20"/>
          <w:color w:val="auto"/>
        </w:rPr>
      </w:pPr>
    </w:p>
    <w:p>
      <w:pPr>
        <w:ind w:left="872"/>
        <w:spacing w:after="0"/>
        <w:tabs>
          <w:tab w:leader="none" w:pos="1372" w:val="left"/>
        </w:tabs>
        <w:rPr>
          <w:sz w:val="20"/>
          <w:szCs w:val="20"/>
          <w:color w:val="auto"/>
        </w:rPr>
      </w:pPr>
      <w:r>
        <w:rPr>
          <w:rFonts w:ascii="Times New Roman" w:cs="Times New Roman" w:eastAsia="Times New Roman" w:hAnsi="Times New Roman"/>
          <w:sz w:val="18"/>
          <w:szCs w:val="18"/>
          <w:color w:val="auto"/>
        </w:rPr>
        <w:t>12.7</w:t>
        <w:tab/>
        <w:t>Both Party A and its controlling shareholder have good financial standing and have no record of gross misconducts.</w:t>
      </w:r>
    </w:p>
    <w:p>
      <w:pPr>
        <w:spacing w:after="0" w:line="225" w:lineRule="exact"/>
        <w:rPr>
          <w:sz w:val="20"/>
          <w:szCs w:val="20"/>
          <w:color w:val="auto"/>
        </w:rPr>
      </w:pPr>
    </w:p>
    <w:p>
      <w:pPr>
        <w:ind w:left="1392" w:hanging="539"/>
        <w:spacing w:after="0" w:line="282" w:lineRule="auto"/>
        <w:tabs>
          <w:tab w:leader="none" w:pos="1372" w:val="left"/>
        </w:tabs>
        <w:rPr>
          <w:sz w:val="20"/>
          <w:szCs w:val="20"/>
          <w:color w:val="auto"/>
        </w:rPr>
      </w:pPr>
      <w:r>
        <w:rPr>
          <w:rFonts w:ascii="Times New Roman" w:cs="Times New Roman" w:eastAsia="Times New Roman" w:hAnsi="Times New Roman"/>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62" w:lineRule="exact"/>
        <w:rPr>
          <w:sz w:val="20"/>
          <w:szCs w:val="20"/>
          <w:color w:val="auto"/>
        </w:rPr>
      </w:pPr>
    </w:p>
    <w:p>
      <w:pPr>
        <w:ind w:left="1392" w:right="100" w:hanging="539"/>
        <w:spacing w:after="0" w:line="256" w:lineRule="auto"/>
        <w:tabs>
          <w:tab w:leader="none" w:pos="1372" w:val="left"/>
        </w:tabs>
        <w:rPr>
          <w:sz w:val="20"/>
          <w:szCs w:val="20"/>
          <w:color w:val="auto"/>
        </w:rPr>
      </w:pPr>
      <w:r>
        <w:rPr>
          <w:rFonts w:ascii="Times New Roman" w:cs="Times New Roman" w:eastAsia="Times New Roman" w:hAnsi="Times New Roman"/>
          <w:sz w:val="18"/>
          <w:szCs w:val="18"/>
          <w:color w:val="auto"/>
        </w:rPr>
        <w:t>12.9</w:t>
        <w:tab/>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200" w:lineRule="exact"/>
        <w:rPr>
          <w:sz w:val="20"/>
          <w:szCs w:val="20"/>
          <w:color w:val="auto"/>
        </w:rPr>
      </w:pPr>
    </w:p>
    <w:p>
      <w:pPr>
        <w:spacing w:after="0" w:line="20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87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 xml:space="preserve">Party A </w:t>
      </w:r>
      <w:r>
        <w:rPr>
          <w:rFonts w:ascii="Times New Roman" w:cs="Times New Roman" w:eastAsia="Times New Roman" w:hAnsi="Times New Roman"/>
          <w:sz w:val="18"/>
          <w:szCs w:val="18"/>
          <w:color w:val="auto"/>
        </w:rPr>
        <w:t>(Company Chop)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legal representative (principal officer) or authorized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(Company Chop)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89"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Loan Information</w:t>
      </w:r>
    </w:p>
    <w:p>
      <w:pPr>
        <w:spacing w:after="0" w:line="229" w:lineRule="exact"/>
        <w:rPr>
          <w:sz w:val="20"/>
          <w:szCs w:val="20"/>
          <w:color w:val="auto"/>
        </w:rPr>
      </w:pPr>
    </w:p>
    <w:p>
      <w:pPr>
        <w:ind w:left="220" w:hanging="220"/>
        <w:spacing w:after="0"/>
        <w:tabs>
          <w:tab w:leader="none" w:pos="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purposes of the loan:</w:t>
      </w:r>
    </w:p>
    <w:p>
      <w:pPr>
        <w:spacing w:after="0" w:line="225" w:lineRule="exact"/>
        <w:rPr>
          <w:rFonts w:ascii="Times New Roman" w:cs="Times New Roman" w:eastAsia="Times New Roman" w:hAnsi="Times New Roman"/>
          <w:sz w:val="18"/>
          <w:szCs w:val="18"/>
          <w:color w:val="auto"/>
        </w:rPr>
      </w:pPr>
    </w:p>
    <w:p>
      <w:pPr>
        <w:ind w:left="220" w:right="1240"/>
        <w:spacing w:after="0" w:line="5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used for company’s daily operation expense, including material purchase payment and employee’s salary. Party A shall not change the purpose of the loan without Party B’s written consent.</w:t>
      </w:r>
    </w:p>
    <w:p>
      <w:pPr>
        <w:ind w:left="220" w:right="7060" w:hanging="220"/>
        <w:spacing w:after="0" w:line="530" w:lineRule="auto"/>
        <w:tabs>
          <w:tab w:leader="none" w:pos="22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Sources of funds for loan repayment : Company’s proceeds of sales.</w:t>
      </w:r>
    </w:p>
    <w:p>
      <w:pPr>
        <w:ind w:left="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A guarantees the truthfulness and legality of such sources of funds and the steadiness and adequacy of cash flows of such sources.</w:t>
      </w:r>
    </w:p>
    <w:p>
      <w:pPr>
        <w:spacing w:after="0" w:line="236" w:lineRule="exact"/>
        <w:rPr>
          <w:rFonts w:ascii="Times New Roman" w:cs="Times New Roman" w:eastAsia="Times New Roman" w:hAnsi="Times New Roman"/>
          <w:sz w:val="17"/>
          <w:szCs w:val="17"/>
          <w:color w:val="auto"/>
        </w:rPr>
      </w:pPr>
    </w:p>
    <w:p>
      <w:pPr>
        <w:ind w:left="220" w:hanging="220"/>
        <w:spacing w:after="0"/>
        <w:tabs>
          <w:tab w:leader="none" w:pos="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00"/>
          </w:cols>
          <w:pgMar w:left="680" w:top="873" w:right="12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Mandatory Financial Indicators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indicators of Party A shall on a continuous basis meet the following requirements: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Maximum Monthly Capital/Debt</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65%</w:t>
            </w: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Minimum Current Ratio:</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100%</w:t>
            </w: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Minimum liquidity Ratio:</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60%</w:t>
            </w: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Maximum contingency liability/Capital</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Maximum accumulated long term investment/Capital</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Party B has the right to change unilaterally such requirements as to mandatory indicators provided that FIVE working-day advanced notice is issued to Party A.</w:t>
      </w:r>
    </w:p>
    <w:p>
      <w:pPr>
        <w:spacing w:after="0" w:line="37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900" w:top="87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for Loan Drawdown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Drawdown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Proposed Payment</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Proposed Recipient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73"/>
        </w:trPr>
        <w:tc>
          <w:tcPr>
            <w:tcW w:w="2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(if any)</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jc w:val="center"/>
              <w:ind w:right="3980"/>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4"/>
          </w:tcPr>
          <w:p>
            <w:pPr>
              <w:jc w:val="center"/>
              <w:ind w:right="3980"/>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RMB (CAPITALIZE WORDS)</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Borrower (company seal):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report on payment at Party A’s initiative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Delivery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Whether or not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compliance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the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Actual purpose of</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Evidencing</w:t>
            </w:r>
          </w:p>
        </w:tc>
        <w:tc>
          <w:tcPr>
            <w:tcW w:w="3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purpose</w:t>
            </w:r>
          </w:p>
        </w:tc>
        <w:tc>
          <w:tcPr>
            <w:tcW w:w="0" w:type="dxa"/>
            <w:vAlign w:val="bottom"/>
          </w:tcPr>
          <w:p>
            <w:pPr>
              <w:spacing w:after="0"/>
              <w:rPr>
                <w:sz w:val="1"/>
                <w:szCs w:val="1"/>
                <w:color w:val="auto"/>
              </w:rPr>
            </w:pPr>
          </w:p>
        </w:tc>
      </w:tr>
      <w:tr>
        <w:trPr>
          <w:trHeight w:val="149"/>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920" w:type="dxa"/>
            <w:vAlign w:val="bottom"/>
            <w:gridSpan w:val="2"/>
            <w:vMerge w:val="continue"/>
          </w:tcPr>
          <w:p>
            <w:pPr>
              <w:spacing w:after="0"/>
              <w:rPr>
                <w:sz w:val="12"/>
                <w:szCs w:val="12"/>
                <w:color w:val="auto"/>
              </w:rPr>
            </w:pP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Recipient</w:t>
            </w:r>
          </w:p>
        </w:tc>
        <w:tc>
          <w:tcPr>
            <w:tcW w:w="2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20" w:type="dxa"/>
            <w:vAlign w:val="bottom"/>
            <w:gridSpan w:val="2"/>
            <w:vMerge w:val="continue"/>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specified in</w:t>
            </w:r>
          </w:p>
        </w:tc>
        <w:tc>
          <w:tcPr>
            <w:tcW w:w="0" w:type="dxa"/>
            <w:vAlign w:val="bottom"/>
          </w:tcPr>
          <w:p>
            <w:pPr>
              <w:spacing w:after="0"/>
              <w:rPr>
                <w:sz w:val="1"/>
                <w:szCs w:val="1"/>
                <w:color w:val="auto"/>
              </w:rPr>
            </w:pPr>
          </w:p>
        </w:tc>
      </w:tr>
      <w:tr>
        <w:trPr>
          <w:trHeight w:val="173"/>
        </w:trPr>
        <w:tc>
          <w:tcPr>
            <w:tcW w:w="920" w:type="dxa"/>
            <w:vAlign w:val="bottom"/>
            <w:gridSpan w:val="2"/>
            <w:vMerge w:val="continue"/>
          </w:tcPr>
          <w:p>
            <w:pPr>
              <w:spacing w:after="0"/>
              <w:rPr>
                <w:sz w:val="15"/>
                <w:szCs w:val="15"/>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 Loan</w:t>
            </w: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Materials</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Contract</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RMB (CAPITALIZE WORDS)</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Borrower_ (company seal):</w:t>
      </w:r>
    </w:p>
    <w:p>
      <w:pPr>
        <w:spacing w:after="0" w:line="22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Relationship Manager (signature):</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Internal review</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Officer in charge of reviewing loan advances and payments (signature):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 to Form of RMB Working Capital Loan Agreement</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 Expiration</w:t>
            </w:r>
          </w:p>
        </w:tc>
        <w:tc>
          <w:tcPr>
            <w:tcW w:w="14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Loan Amount</w:t>
            </w:r>
          </w:p>
        </w:tc>
        <w:tc>
          <w:tcPr>
            <w:tcW w:w="272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Loan Rate</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2260" w:type="dxa"/>
            <w:vAlign w:val="bottom"/>
            <w:tcBorders>
              <w:right w:val="single" w:sz="8" w:color="auto"/>
            </w:tcBorders>
          </w:tcPr>
          <w:p>
            <w:pPr>
              <w:spacing w:after="0"/>
              <w:rPr>
                <w:sz w:val="18"/>
                <w:szCs w:val="18"/>
                <w:color w:val="auto"/>
              </w:rPr>
            </w:pPr>
          </w:p>
        </w:tc>
      </w:tr>
      <w:tr>
        <w:trPr>
          <w:trHeight w:val="238"/>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10.30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No.: 1230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GLOBAL TECHNOLOGY INC.</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Borrower</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CHINA CONSTRUCTION BANK - NINGBO YINZHOU BRANCH</w:t>
      </w: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806450</wp:posOffset>
            </wp:positionV>
            <wp:extent cx="43478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671830</wp:posOffset>
            </wp:positionV>
            <wp:extent cx="43478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ectPr>
          <w:pgSz w:w="11900" w:h="16838" w:orient="portrait"/>
          <w:cols w:equalWidth="0" w:num="1">
            <w:col w:w="10640"/>
          </w:cols>
          <w:pgMar w:left="1020" w:top="108" w:right="239" w:bottom="1440" w:gutter="0" w:footer="0" w:header="0"/>
        </w:sectPr>
      </w:pPr>
    </w:p>
    <w:bookmarkStart w:id="120" w:name="page121"/>
    <w:bookmarkEnd w:id="120"/>
    <w:p>
      <w:pPr>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RMB Loan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is entered into in order for the company’s daily operation expense [, including material purchase payment and employee’s salary], by and between:</w:t>
      </w:r>
    </w:p>
    <w:p>
      <w:pPr>
        <w:spacing w:after="0" w:line="155"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GLOBAL TECHNOLOGY INC.</w:t>
      </w:r>
      <w:r>
        <w:rPr>
          <w:rFonts w:ascii="Times New Roman" w:cs="Times New Roman" w:eastAsia="Times New Roman" w:hAnsi="Times New Roman"/>
          <w:sz w:val="18"/>
          <w:szCs w:val="18"/>
          <w:color w:val="auto"/>
        </w:rPr>
        <w:t xml:space="preserve">, located at NO. 88, QIUSHI RD, WANGCHUN INDUSTRIAL PART, NINGBO, CHINA, P.C.315176 with CHIH-HSIANG LIN as its legal representative and its fax number 88133820 and its telephone number 574-88133818 as borrower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-186690</wp:posOffset>
            </wp:positionV>
            <wp:extent cx="457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3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CHINA CONSTRUCTION BANK - NINGBO YINZHOU BRANCH</w:t>
      </w:r>
      <w:r>
        <w:rPr>
          <w:rFonts w:ascii="Times New Roman" w:cs="Times New Roman" w:eastAsia="Times New Roman" w:hAnsi="Times New Roman"/>
          <w:sz w:val="18"/>
          <w:szCs w:val="18"/>
          <w:color w:val="auto"/>
        </w:rPr>
        <w:t>, located at TAIKANG ZHONG RD S. COMMERCIAL AREA 2ND FL,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GUOHUA INT'L BLDG NO. 500, 315040 with ● as its principal officer and its fax number being 87370029 and its telephone number being 87374267, as lender (“</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wishes to apply to Party B for a loan, and Party B agrees to extend to Party A such loan.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AMOUNT</w:t>
      </w:r>
    </w:p>
    <w:p>
      <w:pPr>
        <w:spacing w:after="0" w:line="33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amount of the loan that Party B provides to Party A hereunder shall be RMB </w:t>
      </w:r>
      <w:r>
        <w:rPr>
          <w:rFonts w:ascii="Times New Roman" w:cs="Times New Roman" w:eastAsia="Times New Roman" w:hAnsi="Times New Roman"/>
          <w:sz w:val="18"/>
          <w:szCs w:val="18"/>
          <w:b w:val="1"/>
          <w:bCs w:val="1"/>
          <w:color w:val="auto"/>
        </w:rPr>
        <w:t>[see 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LOAN AND SOURCES OF FUNDS FOR REPAYMENT</w:t>
      </w:r>
    </w:p>
    <w:p>
      <w:pPr>
        <w:spacing w:after="0" w:line="33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A shall utilize the loan for the purpose of the routine production operation.</w:t>
      </w:r>
    </w:p>
    <w:p>
      <w:pPr>
        <w:spacing w:after="0" w:line="22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relating to specific purposes of such loan under the Contract and sources of funds for repayment shall be determined in Schedule 1 “</w:t>
      </w:r>
      <w:r>
        <w:rPr>
          <w:rFonts w:ascii="Times New Roman" w:cs="Times New Roman" w:eastAsia="Times New Roman" w:hAnsi="Times New Roman"/>
          <w:sz w:val="18"/>
          <w:szCs w:val="18"/>
          <w:b w:val="1"/>
          <w:bCs w:val="1"/>
          <w:color w:val="auto"/>
        </w:rPr>
        <w:t>Loan Information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THE LOAN</w:t>
      </w:r>
    </w:p>
    <w:p>
      <w:pPr>
        <w:spacing w:after="0" w:line="33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of the Loan shall be 12 months, commencing from [see Schedule A] and expiring on [see Schedule A]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above commencement date is inconsistent with the date set forth on the loan-to deposit certificate (the “</w:t>
      </w:r>
      <w:r>
        <w:rPr>
          <w:rFonts w:ascii="Times New Roman" w:cs="Times New Roman" w:eastAsia="Times New Roman" w:hAnsi="Times New Roman"/>
          <w:sz w:val="18"/>
          <w:szCs w:val="18"/>
          <w:b w:val="1"/>
          <w:bCs w:val="1"/>
          <w:color w:val="auto"/>
        </w:rPr>
        <w:t>LDC</w:t>
      </w:r>
      <w:r>
        <w:rPr>
          <w:rFonts w:ascii="Times New Roman" w:cs="Times New Roman" w:eastAsia="Times New Roman" w:hAnsi="Times New Roman"/>
          <w:sz w:val="18"/>
          <w:szCs w:val="18"/>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7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 ON THE LOAN, DEFAULT INTEREST RATE, INTEREST CALCULATION AND SETTLEMENT</w:t>
      </w:r>
    </w:p>
    <w:p>
      <w:pPr>
        <w:spacing w:after="0" w:line="33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Interest Rate on the Loan (the “</w:t>
      </w:r>
      <w:r>
        <w:rPr>
          <w:rFonts w:ascii="Times New Roman" w:cs="Times New Roman" w:eastAsia="Times New Roman" w:hAnsi="Times New Roman"/>
          <w:sz w:val="18"/>
          <w:szCs w:val="18"/>
          <w:b w:val="1"/>
          <w:bCs w:val="1"/>
          <w:color w:val="auto"/>
        </w:rPr>
        <w:t>Loan Rate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Loan Rate hereunder shall be an annual rate set forth in item (2) below:</w:t>
      </w:r>
    </w:p>
    <w:p>
      <w:pPr>
        <w:spacing w:after="0" w:line="225" w:lineRule="exact"/>
        <w:rPr>
          <w:rFonts w:ascii="Times New Roman" w:cs="Times New Roman" w:eastAsia="Times New Roman" w:hAnsi="Times New Roman"/>
          <w:sz w:val="18"/>
          <w:szCs w:val="18"/>
          <w:b w:val="1"/>
          <w:bCs w:val="1"/>
          <w:color w:val="auto"/>
        </w:rPr>
      </w:pPr>
    </w:p>
    <w:p>
      <w:pPr>
        <w:ind w:left="1140" w:hanging="322"/>
        <w:spacing w:after="0"/>
        <w:tabs>
          <w:tab w:leader="none" w:pos="11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interest rate of % which shall remain the same during the Term;</w:t>
      </w:r>
    </w:p>
    <w:p>
      <w:pPr>
        <w:spacing w:after="0" w:line="221" w:lineRule="exact"/>
        <w:rPr>
          <w:rFonts w:ascii="Times New Roman" w:cs="Times New Roman" w:eastAsia="Times New Roman" w:hAnsi="Times New Roman"/>
          <w:sz w:val="18"/>
          <w:szCs w:val="18"/>
          <w:color w:val="auto"/>
        </w:rPr>
      </w:pPr>
    </w:p>
    <w:p>
      <w:pPr>
        <w:ind w:left="1140" w:hanging="322"/>
        <w:spacing w:after="0" w:line="286" w:lineRule="auto"/>
        <w:tabs>
          <w:tab w:leader="none" w:pos="11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[See Schedule A] </w:t>
      </w:r>
      <w:r>
        <w:rPr>
          <w:rFonts w:ascii="Times New Roman" w:cs="Times New Roman" w:eastAsia="Times New Roman" w:hAnsi="Times New Roman"/>
          <w:sz w:val="18"/>
          <w:szCs w:val="18"/>
          <w:color w:val="auto"/>
        </w:rPr>
        <w:t>on the date when interest commences to accrue (the “</w:t>
      </w:r>
      <w:r>
        <w:rPr>
          <w:rFonts w:ascii="Times New Roman" w:cs="Times New Roman" w:eastAsia="Times New Roman" w:hAnsi="Times New Roman"/>
          <w:sz w:val="18"/>
          <w:szCs w:val="18"/>
          <w:b w:val="1"/>
          <w:bCs w:val="1"/>
          <w:color w:val="auto"/>
        </w:rPr>
        <w:t>Interest Commencement Date</w:t>
      </w:r>
      <w:r>
        <w:rPr>
          <w:rFonts w:ascii="Times New Roman" w:cs="Times New Roman" w:eastAsia="Times New Roman" w:hAnsi="Times New Roman"/>
          <w:sz w:val="18"/>
          <w:szCs w:val="18"/>
          <w:color w:val="auto"/>
        </w:rPr>
        <w:t>”). Such interest rate shall remain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during the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-3823335</wp:posOffset>
            </wp:positionV>
            <wp:extent cx="285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-2176780</wp:posOffset>
            </wp:positionV>
            <wp:extent cx="285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22" w:name="page123"/>
    <w:bookmarkEnd w:id="122"/>
    <w:p>
      <w:pPr>
        <w:jc w:val="both"/>
        <w:ind w:left="800" w:hanging="322"/>
        <w:spacing w:after="0" w:line="256" w:lineRule="auto"/>
        <w:tabs>
          <w:tab w:leader="none" w:pos="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floating interest rate equal to __ (100% a floating percentage of __ %) (the “</w:t>
      </w:r>
      <w:r>
        <w:rPr>
          <w:rFonts w:ascii="Times New Roman" w:cs="Times New Roman" w:eastAsia="Times New Roman" w:hAnsi="Times New Roman"/>
          <w:sz w:val="18"/>
          <w:szCs w:val="18"/>
          <w:b w:val="1"/>
          <w:bCs w:val="1"/>
          <w:color w:val="auto"/>
        </w:rPr>
        <w:t>Floating Percentage</w:t>
      </w:r>
      <w:r>
        <w:rPr>
          <w:rFonts w:ascii="Times New Roman" w:cs="Times New Roman" w:eastAsia="Times New Roman" w:hAnsi="Times New Roman"/>
          <w:sz w:val="18"/>
          <w:szCs w:val="18"/>
          <w:color w:val="auto"/>
        </w:rPr>
        <w:t>”) of the Base Rate (as defined below) on the date when interest commences to accrue (the “</w:t>
      </w:r>
      <w:r>
        <w:rPr>
          <w:rFonts w:ascii="Times New Roman" w:cs="Times New Roman" w:eastAsia="Times New Roman" w:hAnsi="Times New Roman"/>
          <w:sz w:val="18"/>
          <w:szCs w:val="18"/>
          <w:b w:val="1"/>
          <w:bCs w:val="1"/>
          <w:color w:val="auto"/>
        </w:rPr>
        <w:t>Interest Commencement Date</w:t>
      </w:r>
      <w:r>
        <w:rPr>
          <w:rFonts w:ascii="Times New Roman" w:cs="Times New Roman" w:eastAsia="Times New Roman" w:hAnsi="Times New Roman"/>
          <w:sz w:val="18"/>
          <w:szCs w:val="18"/>
          <w:color w:val="auto"/>
        </w:rPr>
        <w:t>”). The Loan Rate shall, during the period between the Interest Commencement Date and the date when all the principal amount and interest accrued thereon under the Contract have been fully repaid, be adjusted once every ___ months in accordance with the Base Rate on the interest rate adjustment date and the Floating Percentage. The interest rate adjustment date shall be a date corresponding to the Interest Commencement Date in the month when such interest is adjusted. If there is no such a date corresponding to the Interest Commencement Date in such month, the adjustment date for the interest rate shall be the last day of such month.</w:t>
      </w:r>
    </w:p>
    <w:p>
      <w:pPr>
        <w:spacing w:after="0" w:line="1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Default Interest Rate</w:t>
      </w:r>
    </w:p>
    <w:p>
      <w:pPr>
        <w:spacing w:after="0" w:line="221" w:lineRule="exact"/>
        <w:rPr>
          <w:sz w:val="20"/>
          <w:szCs w:val="20"/>
          <w:color w:val="auto"/>
        </w:rPr>
      </w:pPr>
    </w:p>
    <w:p>
      <w:pPr>
        <w:jc w:val="both"/>
        <w:ind w:left="800" w:hanging="322"/>
        <w:spacing w:after="0" w:line="268" w:lineRule="auto"/>
        <w:tabs>
          <w:tab w:leader="none" w:pos="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does not use the Loan hereunder for purposes set forth herein (“</w:t>
      </w:r>
      <w:r>
        <w:rPr>
          <w:rFonts w:ascii="Times New Roman" w:cs="Times New Roman" w:eastAsia="Times New Roman" w:hAnsi="Times New Roman"/>
          <w:sz w:val="18"/>
          <w:szCs w:val="18"/>
          <w:b w:val="1"/>
          <w:bCs w:val="1"/>
          <w:color w:val="auto"/>
        </w:rPr>
        <w:t>Misappropriation</w:t>
      </w:r>
      <w:r>
        <w:rPr>
          <w:rFonts w:ascii="Times New Roman" w:cs="Times New Roman" w:eastAsia="Times New Roman" w:hAnsi="Times New Roman"/>
          <w:sz w:val="18"/>
          <w:szCs w:val="18"/>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74" w:lineRule="exact"/>
        <w:rPr>
          <w:rFonts w:ascii="Times New Roman" w:cs="Times New Roman" w:eastAsia="Times New Roman" w:hAnsi="Times New Roman"/>
          <w:sz w:val="18"/>
          <w:szCs w:val="18"/>
          <w:color w:val="auto"/>
        </w:rPr>
      </w:pPr>
    </w:p>
    <w:p>
      <w:pPr>
        <w:jc w:val="both"/>
        <w:ind w:left="800" w:hanging="322"/>
        <w:spacing w:after="0" w:line="266" w:lineRule="auto"/>
        <w:tabs>
          <w:tab w:leader="none" w:pos="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interest rate on overdue Loan shall be (100% plus 50 %) of the Loan Rate. If the Loan Rate is adjusted according to Article 4.1 (3) above, such default interest rate shall be adjusted in accordance with the adjusted Loan Rate and the upward floating percentage set out in this Article 4.2 (2).</w:t>
      </w:r>
    </w:p>
    <w:p>
      <w:pPr>
        <w:spacing w:after="0" w:line="176" w:lineRule="exact"/>
        <w:rPr>
          <w:rFonts w:ascii="Times New Roman" w:cs="Times New Roman" w:eastAsia="Times New Roman" w:hAnsi="Times New Roman"/>
          <w:sz w:val="18"/>
          <w:szCs w:val="18"/>
          <w:color w:val="auto"/>
        </w:rPr>
      </w:pPr>
    </w:p>
    <w:p>
      <w:pPr>
        <w:ind w:left="800" w:hanging="322"/>
        <w:spacing w:after="0" w:line="282" w:lineRule="auto"/>
        <w:tabs>
          <w:tab w:leader="none" w:pos="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62" w:lineRule="exact"/>
        <w:rPr>
          <w:sz w:val="20"/>
          <w:szCs w:val="20"/>
          <w:color w:val="auto"/>
        </w:rPr>
      </w:pPr>
    </w:p>
    <w:p>
      <w:pPr>
        <w:ind w:left="400" w:right="20" w:hanging="404"/>
        <w:spacing w:after="0" w:line="282" w:lineRule="auto"/>
        <w:tabs>
          <w:tab w:leader="none" w:pos="380" w:val="left"/>
        </w:tabs>
        <w:rPr>
          <w:sz w:val="20"/>
          <w:szCs w:val="20"/>
          <w:color w:val="auto"/>
        </w:rPr>
      </w:pPr>
      <w:r>
        <w:rPr>
          <w:rFonts w:ascii="Times New Roman" w:cs="Times New Roman" w:eastAsia="Times New Roman" w:hAnsi="Times New Roman"/>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Times New Roman" w:cs="Times New Roman" w:eastAsia="Times New Roman" w:hAnsi="Times New Roman"/>
          <w:sz w:val="18"/>
          <w:szCs w:val="18"/>
          <w:b w:val="1"/>
          <w:bCs w:val="1"/>
          <w:color w:val="auto"/>
        </w:rPr>
        <w:t>Loan Disbursement Account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00" w:firstLine="2"/>
        <w:spacing w:after="0" w:line="256" w:lineRule="auto"/>
        <w:rPr>
          <w:sz w:val="20"/>
          <w:szCs w:val="20"/>
          <w:color w:val="auto"/>
        </w:rPr>
      </w:pPr>
      <w:r>
        <w:rPr>
          <w:rFonts w:ascii="Times New Roman" w:cs="Times New Roman" w:eastAsia="Times New Roman" w:hAnsi="Times New Roman"/>
          <w:sz w:val="18"/>
          <w:szCs w:val="18"/>
          <w:color w:val="auto"/>
        </w:rPr>
        <w:t>For the first advance of the Loan, the Base Rate refers to the lending interest rate quoted by the People’s Bank of China (the “</w:t>
      </w:r>
      <w:r>
        <w:rPr>
          <w:rFonts w:ascii="Times New Roman" w:cs="Times New Roman" w:eastAsia="Times New Roman" w:hAnsi="Times New Roman"/>
          <w:sz w:val="18"/>
          <w:szCs w:val="18"/>
          <w:b w:val="1"/>
          <w:bCs w:val="1"/>
          <w:color w:val="auto"/>
        </w:rPr>
        <w:t>PBOC</w:t>
      </w:r>
      <w:r>
        <w:rPr>
          <w:rFonts w:ascii="Times New Roman" w:cs="Times New Roman" w:eastAsia="Times New Roman" w:hAnsi="Times New Roman"/>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87" w:lineRule="exact"/>
        <w:rPr>
          <w:sz w:val="20"/>
          <w:szCs w:val="20"/>
          <w:color w:val="auto"/>
        </w:rPr>
      </w:pPr>
    </w:p>
    <w:p>
      <w:pPr>
        <w:jc w:val="both"/>
        <w:ind w:left="400" w:hanging="404"/>
        <w:spacing w:after="0" w:line="261" w:lineRule="auto"/>
        <w:tabs>
          <w:tab w:leader="none" w:pos="380" w:val="left"/>
        </w:tabs>
        <w:rPr>
          <w:sz w:val="20"/>
          <w:szCs w:val="20"/>
          <w:color w:val="auto"/>
        </w:rPr>
      </w:pPr>
      <w:r>
        <w:rPr>
          <w:rFonts w:ascii="Times New Roman" w:cs="Times New Roman" w:eastAsia="Times New Roman" w:hAnsi="Times New Roman"/>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0" w:right="239" w:bottom="1440" w:gutter="0" w:footer="0" w:header="0"/>
        </w:sectPr>
      </w:pPr>
    </w:p>
    <w:bookmarkStart w:id="123" w:name="page124"/>
    <w:bookmarkEnd w:id="123"/>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4.5</w:t>
        <w:tab/>
        <w:t>Interest Settlement</w:t>
      </w:r>
    </w:p>
    <w:p>
      <w:pPr>
        <w:spacing w:after="0" w:line="225" w:lineRule="exact"/>
        <w:rPr>
          <w:sz w:val="20"/>
          <w:szCs w:val="20"/>
          <w:color w:val="auto"/>
        </w:rPr>
      </w:pPr>
    </w:p>
    <w:p>
      <w:pPr>
        <w:jc w:val="both"/>
        <w:ind w:left="1140" w:hanging="322"/>
        <w:spacing w:after="0" w:line="258" w:lineRule="auto"/>
        <w:tabs>
          <w:tab w:leader="none" w:pos="11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 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8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 accrued on the Loan hereunder shall be settled in accordance with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the following:</w:t>
      </w:r>
    </w:p>
    <w:p>
      <w:pPr>
        <w:spacing w:after="0" w:line="27" w:lineRule="exact"/>
        <w:rPr>
          <w:rFonts w:ascii="Times New Roman" w:cs="Times New Roman" w:eastAsia="Times New Roman" w:hAnsi="Times New Roman"/>
          <w:sz w:val="18"/>
          <w:szCs w:val="18"/>
          <w:color w:val="auto"/>
        </w:rPr>
      </w:pPr>
    </w:p>
    <w:p>
      <w:pPr>
        <w:ind w:left="1700" w:hanging="409"/>
        <w:spacing w:after="0" w:line="220" w:lineRule="auto"/>
        <w:tabs>
          <w:tab w:leader="none" w:pos="1700" w:val="left"/>
        </w:tabs>
        <w:numPr>
          <w:ilvl w:val="2"/>
          <w:numId w:val="10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 a monthly basis and the interest settlement date shall be the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each month;</w:t>
      </w:r>
    </w:p>
    <w:p>
      <w:pPr>
        <w:spacing w:after="0" w:line="77" w:lineRule="exact"/>
        <w:rPr>
          <w:rFonts w:ascii="Times New Roman" w:cs="Times New Roman" w:eastAsia="Times New Roman" w:hAnsi="Times New Roman"/>
          <w:sz w:val="36"/>
          <w:szCs w:val="36"/>
          <w:color w:val="auto"/>
          <w:vertAlign w:val="superscript"/>
        </w:rPr>
      </w:pPr>
    </w:p>
    <w:p>
      <w:pPr>
        <w:ind w:left="1700" w:hanging="395"/>
        <w:spacing w:after="0" w:line="229" w:lineRule="auto"/>
        <w:tabs>
          <w:tab w:leader="none" w:pos="1700" w:val="left"/>
        </w:tabs>
        <w:numPr>
          <w:ilvl w:val="3"/>
          <w:numId w:val="10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 a quarterly basis and the interest settlement date shall be the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the last month of the relevant quarter;</w:t>
      </w:r>
    </w:p>
    <w:p>
      <w:pPr>
        <w:spacing w:after="0" w:line="77" w:lineRule="exact"/>
        <w:rPr>
          <w:rFonts w:ascii="Times New Roman" w:cs="Times New Roman" w:eastAsia="Times New Roman" w:hAnsi="Times New Roman"/>
          <w:sz w:val="36"/>
          <w:szCs w:val="36"/>
          <w:color w:val="auto"/>
          <w:vertAlign w:val="superscript"/>
        </w:rPr>
      </w:pPr>
    </w:p>
    <w:p>
      <w:pPr>
        <w:ind w:left="1700" w:hanging="395"/>
        <w:spacing w:after="0"/>
        <w:tabs>
          <w:tab w:leader="none" w:pos="1700"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method:_______________________.</w:t>
      </w:r>
    </w:p>
    <w:p>
      <w:pPr>
        <w:spacing w:after="0" w:line="21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AND DRAWDOWN</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  Conditions Precedent to Advance</w:t>
      </w:r>
    </w:p>
    <w:p>
      <w:pPr>
        <w:spacing w:after="0" w:line="225"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Unless Party B waives all or part of the following conditions, Party B shall be obligated to advance any amount of the Loan only if all the following conditions continuously remain satisfied:</w:t>
      </w:r>
    </w:p>
    <w:p>
      <w:pPr>
        <w:spacing w:after="0" w:line="162" w:lineRule="exact"/>
        <w:rPr>
          <w:sz w:val="20"/>
          <w:szCs w:val="20"/>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completed all the approval, registration, delivery, insurance and other statutory procedures in relation to the Loan hereunder;</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has become and remains effective, if a security is established for the Contract;</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opened the bank accounts for drawdown and debt service purposes as Party B requests;</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not triggered any event of default hereunder;</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that may adversely impact Party B’s rights as a creditor;</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to be made by Party B is not prohibited or restricted by any laws, regulations, rules or competent authorities; and</w:t>
      </w:r>
    </w:p>
    <w:p>
      <w:pPr>
        <w:spacing w:after="0" w:line="225"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indicators of Party A shall, at all time, continue to meet the requirements specified in Schedule 2 Terms relating to Mandatory Financial Indicators;</w:t>
      </w:r>
    </w:p>
    <w:p>
      <w:pPr>
        <w:spacing w:after="0" w:line="161"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submitted such materials as required in this Contract before any loan drawdown;</w:t>
      </w:r>
    </w:p>
    <w:p>
      <w:pPr>
        <w:spacing w:after="0" w:line="225"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materials submitted by Party A are legal, authenticated, complete, accurate, valid and be in accordance with other requirements of Party B;</w:t>
      </w:r>
    </w:p>
    <w:p>
      <w:pPr>
        <w:spacing w:after="0" w:line="161"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17145</wp:posOffset>
            </wp:positionV>
            <wp:extent cx="64230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163195</wp:posOffset>
            </wp:positionV>
            <wp:extent cx="64230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309245</wp:posOffset>
            </wp:positionV>
            <wp:extent cx="64230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Drawdown Schedule</w:t>
      </w:r>
    </w:p>
    <w:p>
      <w:pPr>
        <w:spacing w:after="0" w:line="225"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“Drawdown” referred to in this Contract shall mean disbursements by Party B of the funds to the Loan Disbursement Account in accordance with Party A’s Application and this Contract.</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The drawdown schedule hereunder shall be item </w:t>
      </w:r>
      <w:r>
        <w:rPr>
          <w:rFonts w:ascii="Times New Roman" w:cs="Times New Roman" w:eastAsia="Times New Roman" w:hAnsi="Times New Roman"/>
          <w:sz w:val="18"/>
          <w:szCs w:val="18"/>
          <w:b w:val="1"/>
          <w:bCs w:val="1"/>
          <w:color w:val="auto"/>
        </w:rPr>
        <w:t>[see Schedule A]</w:t>
      </w:r>
      <w:r>
        <w:rPr>
          <w:rFonts w:ascii="Times New Roman" w:cs="Times New Roman" w:eastAsia="Times New Roman" w:hAnsi="Times New Roman"/>
          <w:sz w:val="18"/>
          <w:szCs w:val="18"/>
          <w:color w:val="auto"/>
        </w:rPr>
        <w:t xml:space="preserve"> of the following:</w:t>
      </w:r>
    </w:p>
    <w:p>
      <w:pPr>
        <w:spacing w:after="0" w:line="229" w:lineRule="exact"/>
        <w:rPr>
          <w:sz w:val="20"/>
          <w:szCs w:val="20"/>
          <w:color w:val="auto"/>
        </w:rPr>
      </w:pPr>
    </w:p>
    <w:p>
      <w:pPr>
        <w:ind w:left="1220" w:hanging="402"/>
        <w:spacing w:after="0"/>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drawdown schedule shall be as follows:</w:t>
      </w:r>
    </w:p>
    <w:p>
      <w:pPr>
        <w:spacing w:after="0" w:line="225" w:lineRule="exact"/>
        <w:rPr>
          <w:sz w:val="20"/>
          <w:szCs w:val="20"/>
          <w:color w:val="auto"/>
        </w:rPr>
      </w:pPr>
    </w:p>
    <w:p>
      <w:pPr>
        <w:ind w:left="3680"/>
        <w:spacing w:after="0"/>
        <w:tabs>
          <w:tab w:leader="none" w:pos="9200" w:val="left"/>
        </w:tabs>
        <w:rPr>
          <w:sz w:val="20"/>
          <w:szCs w:val="20"/>
          <w:color w:val="auto"/>
        </w:rPr>
      </w:pPr>
      <w:r>
        <w:rPr>
          <w:rFonts w:ascii="Times New Roman" w:cs="Times New Roman" w:eastAsia="Times New Roman" w:hAnsi="Times New Roman"/>
          <w:sz w:val="18"/>
          <w:szCs w:val="18"/>
          <w:color w:val="auto"/>
        </w:rPr>
        <w:t>Drawdown Date (mm/dd/yyyy)</w:t>
      </w:r>
      <w:r>
        <w:rPr>
          <w:sz w:val="20"/>
          <w:szCs w:val="20"/>
          <w:color w:val="auto"/>
        </w:rPr>
        <w:tab/>
      </w:r>
      <w:r>
        <w:rPr>
          <w:rFonts w:ascii="Times New Roman" w:cs="Times New Roman" w:eastAsia="Times New Roman" w:hAnsi="Times New Roman"/>
          <w:sz w:val="17"/>
          <w:szCs w:val="17"/>
          <w:color w:val="auto"/>
        </w:rPr>
        <w:t>Amount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(iv)</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(v)</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(vi)</w:t>
      </w:r>
    </w:p>
    <w:p>
      <w:pPr>
        <w:spacing w:after="0" w:line="225" w:lineRule="exact"/>
        <w:rPr>
          <w:sz w:val="20"/>
          <w:szCs w:val="20"/>
          <w:color w:val="auto"/>
        </w:rPr>
      </w:pPr>
    </w:p>
    <w:p>
      <w:pPr>
        <w:ind w:left="1220" w:hanging="402"/>
        <w:spacing w:after="0"/>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drawdown schedule shall be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 from [</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to [</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Amount__________;</w:t>
            </w:r>
          </w:p>
        </w:tc>
      </w:tr>
      <w:tr>
        <w:trPr>
          <w:trHeight w:val="234"/>
        </w:trPr>
        <w:tc>
          <w:tcPr>
            <w:tcW w:w="27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9"/>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(mm/dd/yyyy)</w:t>
            </w:r>
          </w:p>
        </w:tc>
        <w:tc>
          <w:tcPr>
            <w:tcW w:w="7280" w:type="dxa"/>
            <w:vAlign w:val="bottom"/>
          </w:tcPr>
          <w:p>
            <w:pPr>
              <w:spacing w:after="0"/>
              <w:rPr>
                <w:sz w:val="20"/>
                <w:szCs w:val="20"/>
                <w:color w:val="auto"/>
              </w:rPr>
            </w:pPr>
          </w:p>
        </w:tc>
      </w:tr>
      <w:tr>
        <w:trPr>
          <w:trHeight w:val="414"/>
        </w:trPr>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(ii) from [</w:t>
            </w:r>
          </w:p>
        </w:tc>
        <w:tc>
          <w:tcPr>
            <w:tcW w:w="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to [</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Amount__________;</w:t>
            </w:r>
          </w:p>
        </w:tc>
      </w:tr>
      <w:tr>
        <w:trPr>
          <w:trHeight w:val="234"/>
        </w:trPr>
        <w:tc>
          <w:tcPr>
            <w:tcW w:w="27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9"/>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(mm/dd/yyyy)</w:t>
            </w:r>
          </w:p>
        </w:tc>
        <w:tc>
          <w:tcPr>
            <w:tcW w:w="7280" w:type="dxa"/>
            <w:vAlign w:val="bottom"/>
          </w:tcPr>
          <w:p>
            <w:pPr>
              <w:spacing w:after="0"/>
              <w:rPr>
                <w:sz w:val="20"/>
                <w:szCs w:val="20"/>
                <w:color w:val="auto"/>
              </w:rPr>
            </w:pPr>
          </w:p>
        </w:tc>
      </w:tr>
      <w:tr>
        <w:trPr>
          <w:trHeight w:val="414"/>
        </w:trPr>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(iii)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to [</w:t>
            </w: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Amount__________;</w:t>
            </w:r>
          </w:p>
        </w:tc>
      </w:tr>
      <w:tr>
        <w:trPr>
          <w:trHeight w:val="234"/>
        </w:trPr>
        <w:tc>
          <w:tcPr>
            <w:tcW w:w="2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99"/>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(mm/dd/yyyy)</w:t>
            </w:r>
          </w:p>
        </w:tc>
        <w:tc>
          <w:tcPr>
            <w:tcW w:w="7280" w:type="dxa"/>
            <w:vAlign w:val="bottom"/>
          </w:tcPr>
          <w:p>
            <w:pPr>
              <w:spacing w:after="0"/>
              <w:rPr>
                <w:sz w:val="20"/>
                <w:szCs w:val="20"/>
                <w:color w:val="auto"/>
              </w:rPr>
            </w:pPr>
          </w:p>
        </w:tc>
      </w:tr>
      <w:tr>
        <w:trPr>
          <w:trHeight w:val="414"/>
        </w:trPr>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(iv)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to [</w:t>
            </w: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Amount__________;</w:t>
            </w:r>
          </w:p>
        </w:tc>
      </w:tr>
      <w:tr>
        <w:trPr>
          <w:trHeight w:val="234"/>
        </w:trPr>
        <w:tc>
          <w:tcPr>
            <w:tcW w:w="284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w w:val="99"/>
              </w:rPr>
              <w:t>(mm/dd/yyyy)</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(mm/dd/yyyy)</w:t>
            </w:r>
          </w:p>
        </w:tc>
        <w:tc>
          <w:tcPr>
            <w:tcW w:w="7280" w:type="dxa"/>
            <w:vAlign w:val="bottom"/>
          </w:tcPr>
          <w:p>
            <w:pPr>
              <w:spacing w:after="0"/>
              <w:rPr>
                <w:sz w:val="20"/>
                <w:szCs w:val="20"/>
                <w:color w:val="auto"/>
              </w:rPr>
            </w:pPr>
          </w:p>
        </w:tc>
      </w:tr>
      <w:tr>
        <w:trPr>
          <w:trHeight w:val="414"/>
        </w:trPr>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(v) from [</w:t>
            </w:r>
          </w:p>
        </w:tc>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to [</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Amount__________;</w:t>
            </w:r>
          </w:p>
        </w:tc>
      </w:tr>
      <w:tr>
        <w:trPr>
          <w:trHeight w:val="234"/>
        </w:trPr>
        <w:tc>
          <w:tcPr>
            <w:tcW w:w="2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99"/>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(mm/dd/yyyy)</w:t>
            </w:r>
          </w:p>
        </w:tc>
        <w:tc>
          <w:tcPr>
            <w:tcW w:w="7280" w:type="dxa"/>
            <w:vAlign w:val="bottom"/>
          </w:tcPr>
          <w:p>
            <w:pPr>
              <w:spacing w:after="0"/>
              <w:rPr>
                <w:sz w:val="20"/>
                <w:szCs w:val="20"/>
                <w:color w:val="auto"/>
              </w:rPr>
            </w:pPr>
          </w:p>
        </w:tc>
      </w:tr>
      <w:tr>
        <w:trPr>
          <w:trHeight w:val="414"/>
        </w:trPr>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(vi)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to [</w:t>
            </w: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Amount__________;</w:t>
            </w:r>
          </w:p>
        </w:tc>
      </w:tr>
      <w:tr>
        <w:trPr>
          <w:trHeight w:val="234"/>
        </w:trPr>
        <w:tc>
          <w:tcPr>
            <w:tcW w:w="284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w w:val="99"/>
              </w:rPr>
              <w:t>(mm/dd/yyyy)</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(mm/dd/yyyy)</w:t>
            </w:r>
          </w:p>
        </w:tc>
        <w:tc>
          <w:tcPr>
            <w:tcW w:w="7280" w:type="dxa"/>
            <w:vAlign w:val="bottom"/>
          </w:tcPr>
          <w:p>
            <w:pPr>
              <w:spacing w:after="0"/>
              <w:rPr>
                <w:sz w:val="20"/>
                <w:szCs w:val="20"/>
                <w:color w:val="auto"/>
              </w:rPr>
            </w:pPr>
          </w:p>
        </w:tc>
      </w:tr>
      <w:tr>
        <w:trPr>
          <w:trHeight w:val="432"/>
        </w:trPr>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420"/>
          </w:cols>
          <w:pgMar w:left="240" w:top="904" w:right="239" w:bottom="1440" w:gutter="0" w:footer="0" w:header="0"/>
        </w:sectPr>
      </w:pPr>
    </w:p>
    <w:bookmarkStart w:id="125" w:name="page126"/>
    <w:bookmarkEnd w:id="125"/>
    <w:p>
      <w:pPr>
        <w:ind w:left="960" w:hanging="482"/>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as required by Party A.</w:t>
      </w:r>
    </w:p>
    <w:p>
      <w:pPr>
        <w:spacing w:after="0" w:line="252" w:lineRule="exact"/>
        <w:rPr>
          <w:rFonts w:ascii="Times New Roman" w:cs="Times New Roman" w:eastAsia="Times New Roman" w:hAnsi="Times New Roman"/>
          <w:sz w:val="18"/>
          <w:szCs w:val="18"/>
          <w:color w:val="auto"/>
        </w:rPr>
      </w:pPr>
    </w:p>
    <w:p>
      <w:pPr>
        <w:spacing w:after="0"/>
        <w:tabs>
          <w:tab w:leader="none" w:pos="0" w:val="left"/>
        </w:tabs>
        <w:numPr>
          <w:ilvl w:val="0"/>
          <w:numId w:val="110"/>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8890</wp:posOffset>
            </wp:positionV>
            <wp:extent cx="64230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154940</wp:posOffset>
            </wp:positionV>
            <wp:extent cx="64230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300355</wp:posOffset>
            </wp:positionV>
            <wp:extent cx="64230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right="20" w:hanging="404"/>
        <w:spacing w:after="0" w:line="282" w:lineRule="auto"/>
        <w:tabs>
          <w:tab w:leader="none" w:pos="380" w:val="left"/>
        </w:tabs>
        <w:rPr>
          <w:sz w:val="20"/>
          <w:szCs w:val="20"/>
          <w:color w:val="auto"/>
        </w:rPr>
      </w:pPr>
      <w:r>
        <w:rPr>
          <w:rFonts w:ascii="Times New Roman" w:cs="Times New Roman" w:eastAsia="Times New Roman" w:hAnsi="Times New Roman"/>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In respect of materials required to be submitted by Party A, the Parties agree that Item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applies [choose A or B];</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Where the situation described in Item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[choose (1) or (2)] arises</w:t>
      </w:r>
    </w:p>
    <w:p>
      <w:pPr>
        <w:spacing w:after="0" w:line="225" w:lineRule="exact"/>
        <w:rPr>
          <w:sz w:val="20"/>
          <w:szCs w:val="20"/>
          <w:color w:val="auto"/>
        </w:rPr>
      </w:pPr>
    </w:p>
    <w:p>
      <w:pPr>
        <w:ind w:left="960" w:hanging="482"/>
        <w:spacing w:after="0" w:line="282"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particular drawdown is more than RMB </w:t>
      </w:r>
      <w:r>
        <w:rPr>
          <w:rFonts w:ascii="Times New Roman" w:cs="Times New Roman" w:eastAsia="Times New Roman" w:hAnsi="Times New Roman"/>
          <w:sz w:val="18"/>
          <w:szCs w:val="18"/>
          <w:u w:val="single" w:color="auto"/>
          <w:color w:val="auto"/>
        </w:rPr>
        <w:t>TEN</w:t>
      </w:r>
      <w:r>
        <w:rPr>
          <w:rFonts w:ascii="Times New Roman" w:cs="Times New Roman" w:eastAsia="Times New Roman" w:hAnsi="Times New Roman"/>
          <w:sz w:val="18"/>
          <w:szCs w:val="18"/>
          <w:color w:val="auto"/>
        </w:rPr>
        <w:t xml:space="preserve"> million and the amount of any scheduled payment out of such drawdown is more than RMB </w:t>
      </w:r>
      <w:r>
        <w:rPr>
          <w:rFonts w:ascii="Times New Roman" w:cs="Times New Roman" w:eastAsia="Times New Roman" w:hAnsi="Times New Roman"/>
          <w:sz w:val="18"/>
          <w:szCs w:val="18"/>
          <w:u w:val="single" w:color="auto"/>
          <w:color w:val="auto"/>
        </w:rPr>
        <w:t>TEN</w:t>
      </w:r>
      <w:r>
        <w:rPr>
          <w:rFonts w:ascii="Times New Roman" w:cs="Times New Roman" w:eastAsia="Times New Roman" w:hAnsi="Times New Roman"/>
          <w:sz w:val="18"/>
          <w:szCs w:val="18"/>
          <w:color w:val="auto"/>
        </w:rPr>
        <w:t xml:space="preserve"> million;</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8890</wp:posOffset>
            </wp:positionV>
            <wp:extent cx="64230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154940</wp:posOffset>
            </wp:positionV>
            <wp:extent cx="64230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300355</wp:posOffset>
            </wp:positionV>
            <wp:extent cx="64230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Party A shall submit to Party B the following materials no later than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working days before the date of such drawdown:</w:t>
      </w:r>
    </w:p>
    <w:p>
      <w:pPr>
        <w:spacing w:after="0" w:line="225" w:lineRule="exact"/>
        <w:rPr>
          <w:sz w:val="20"/>
          <w:szCs w:val="20"/>
          <w:color w:val="auto"/>
        </w:rPr>
      </w:pPr>
    </w:p>
    <w:p>
      <w:pPr>
        <w:ind w:left="960" w:hanging="482"/>
        <w:spacing w:after="0"/>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LDC signed by Party A and payment/settlement certificate(s) signed by Party A;</w:t>
      </w:r>
    </w:p>
    <w:p>
      <w:pPr>
        <w:spacing w:after="0" w:line="252" w:lineRule="exact"/>
        <w:rPr>
          <w:rFonts w:ascii="Times New Roman" w:cs="Times New Roman" w:eastAsia="Times New Roman" w:hAnsi="Times New Roman"/>
          <w:sz w:val="18"/>
          <w:szCs w:val="18"/>
          <w:color w:val="auto"/>
        </w:rPr>
      </w:pPr>
    </w:p>
    <w:p>
      <w:pPr>
        <w:ind w:left="960" w:hanging="482"/>
        <w:spacing w:after="0" w:line="282"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114300</wp:posOffset>
            </wp:positionV>
            <wp:extent cx="64230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260350</wp:posOffset>
            </wp:positionV>
            <wp:extent cx="64230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405765</wp:posOffset>
            </wp:positionV>
            <wp:extent cx="64230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661" w:right="239" w:bottom="1440" w:gutter="0" w:footer="0" w:header="0"/>
        </w:sectPr>
      </w:pPr>
    </w:p>
    <w:bookmarkStart w:id="126" w:name="page127"/>
    <w:bookmarkEnd w:id="126"/>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Situation NO. 2</w:t>
      </w:r>
    </w:p>
    <w:p>
      <w:pPr>
        <w:spacing w:after="0" w:line="225"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 xml:space="preserve">If Party B determines, after reviewing the aforementioned materials, that Party may initiate the payment in accordance with Article 5.7 of this Contract, or a situation other than Situation NO. 1 arises, Party A shall submit to Party B the following materials no later than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working days before the date of such drawdown</w:t>
      </w:r>
    </w:p>
    <w:p>
      <w:pPr>
        <w:spacing w:after="0" w:line="176" w:lineRule="exact"/>
        <w:rPr>
          <w:sz w:val="20"/>
          <w:szCs w:val="20"/>
          <w:color w:val="auto"/>
        </w:rPr>
      </w:pPr>
    </w:p>
    <w:p>
      <w:pPr>
        <w:ind w:left="960" w:hanging="482"/>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drawdown schedule corresponding to the proposed loan drawdown (The drawdown schedule being in the form of Schedule 3)</w:t>
      </w:r>
    </w:p>
    <w:p>
      <w:pPr>
        <w:spacing w:after="0" w:line="252" w:lineRule="exact"/>
        <w:rPr>
          <w:rFonts w:ascii="Times New Roman" w:cs="Times New Roman" w:eastAsia="Times New Roman" w:hAnsi="Times New Roman"/>
          <w:sz w:val="18"/>
          <w:szCs w:val="18"/>
          <w:color w:val="auto"/>
        </w:rPr>
      </w:pPr>
    </w:p>
    <w:p>
      <w:pPr>
        <w:ind w:left="960" w:hanging="482"/>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LDC signed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154940</wp:posOffset>
            </wp:positionV>
            <wp:extent cx="64230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300355</wp:posOffset>
            </wp:positionV>
            <wp:extent cx="64230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446405</wp:posOffset>
            </wp:positionV>
            <wp:extent cx="64230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567"/>
        <w:spacing w:after="0" w:line="282" w:lineRule="auto"/>
        <w:rPr>
          <w:sz w:val="20"/>
          <w:szCs w:val="20"/>
          <w:color w:val="auto"/>
        </w:rPr>
      </w:pPr>
      <w:r>
        <w:rPr>
          <w:rFonts w:ascii="Times New Roman" w:cs="Times New Roman" w:eastAsia="Times New Roman" w:hAnsi="Times New Roman"/>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 xml:space="preserve">Party A shall submit to Party B the following materials no later than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working days before the date of such drawdown regardless of the amount of any particular drawdown:</w:t>
      </w:r>
    </w:p>
    <w:p>
      <w:pPr>
        <w:spacing w:after="0" w:line="162" w:lineRule="exact"/>
        <w:rPr>
          <w:sz w:val="20"/>
          <w:szCs w:val="20"/>
          <w:color w:val="auto"/>
        </w:rPr>
      </w:pPr>
    </w:p>
    <w:p>
      <w:pPr>
        <w:ind w:left="960" w:hanging="482"/>
        <w:spacing w:after="0"/>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LDC signed by Party A and payment/settlement certificate (s) signed by Party A;</w:t>
      </w:r>
    </w:p>
    <w:p>
      <w:pPr>
        <w:spacing w:after="0" w:line="252" w:lineRule="exact"/>
        <w:rPr>
          <w:rFonts w:ascii="Times New Roman" w:cs="Times New Roman" w:eastAsia="Times New Roman" w:hAnsi="Times New Roman"/>
          <w:sz w:val="18"/>
          <w:szCs w:val="18"/>
          <w:color w:val="auto"/>
        </w:rPr>
      </w:pPr>
    </w:p>
    <w:p>
      <w:pPr>
        <w:ind w:left="960" w:hanging="482"/>
        <w:spacing w:after="0" w:line="282" w:lineRule="auto"/>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114300</wp:posOffset>
            </wp:positionV>
            <wp:extent cx="64230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260350</wp:posOffset>
            </wp:positionV>
            <wp:extent cx="64230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405765</wp:posOffset>
            </wp:positionV>
            <wp:extent cx="64230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Entrusted Payment through Party B</w:t>
      </w:r>
    </w:p>
    <w:p>
      <w:pPr>
        <w:spacing w:after="0" w:line="225" w:lineRule="exact"/>
        <w:rPr>
          <w:sz w:val="20"/>
          <w:szCs w:val="20"/>
          <w:color w:val="auto"/>
        </w:rPr>
      </w:pPr>
    </w:p>
    <w:p>
      <w:pPr>
        <w:ind w:left="960" w:hanging="482"/>
        <w:spacing w:after="0"/>
        <w:tabs>
          <w:tab w:leader="none" w:pos="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Situations where Entrusted Payment applies to Party B</w:t>
      </w:r>
    </w:p>
    <w:p>
      <w:pPr>
        <w:spacing w:after="0" w:line="225"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 xml:space="preserve">If the situation described in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arises, Entrusted Payment shall apply, i.e. Party A hereby irrevocably entrusts Party B to pay the amount of the drawdown to Party A’s counterparty. Party A shall not pay such amount directly to such counterparty or any other third party.</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127" w:name="page128"/>
    <w:bookmarkEnd w:id="127"/>
    <w:p>
      <w:pPr>
        <w:jc w:val="both"/>
        <w:ind w:left="716" w:hanging="230"/>
        <w:spacing w:after="0" w:line="266" w:lineRule="auto"/>
        <w:tabs>
          <w:tab w:leader="none" w:pos="716"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particular drawdown is more than RMB </w:t>
      </w:r>
      <w:r>
        <w:rPr>
          <w:rFonts w:ascii="Times New Roman" w:cs="Times New Roman" w:eastAsia="Times New Roman" w:hAnsi="Times New Roman"/>
          <w:sz w:val="18"/>
          <w:szCs w:val="18"/>
          <w:u w:val="single" w:color="auto"/>
          <w:color w:val="auto"/>
        </w:rPr>
        <w:t>TEN</w:t>
      </w:r>
      <w:r>
        <w:rPr>
          <w:rFonts w:ascii="Times New Roman" w:cs="Times New Roman" w:eastAsia="Times New Roman" w:hAnsi="Times New Roman"/>
          <w:sz w:val="18"/>
          <w:szCs w:val="18"/>
          <w:color w:val="auto"/>
        </w:rPr>
        <w:t xml:space="preserve"> million and the amount of any scheduled payment out of such drawdown is more than RMB </w:t>
      </w:r>
      <w:r>
        <w:rPr>
          <w:rFonts w:ascii="Times New Roman" w:cs="Times New Roman" w:eastAsia="Times New Roman" w:hAnsi="Times New Roman"/>
          <w:sz w:val="18"/>
          <w:szCs w:val="18"/>
          <w:u w:val="single" w:color="auto"/>
          <w:color w:val="auto"/>
        </w:rPr>
        <w:t>TEN</w:t>
      </w:r>
      <w:r>
        <w:rPr>
          <w:rFonts w:ascii="Times New Roman" w:cs="Times New Roman" w:eastAsia="Times New Roman" w:hAnsi="Times New Roman"/>
          <w:sz w:val="18"/>
          <w:szCs w:val="18"/>
          <w:color w:val="auto"/>
        </w:rPr>
        <w:t xml:space="preserve"> million, and Party B determines, after reviewing the materials submitted by Party A, that recipient of the payment is specific and identifiable;</w:t>
      </w:r>
    </w:p>
    <w:p>
      <w:pPr>
        <w:spacing w:after="0" w:line="176" w:lineRule="exact"/>
        <w:rPr>
          <w:rFonts w:ascii="Times New Roman" w:cs="Times New Roman" w:eastAsia="Times New Roman" w:hAnsi="Times New Roman"/>
          <w:sz w:val="18"/>
          <w:szCs w:val="18"/>
          <w:color w:val="auto"/>
        </w:rPr>
      </w:pPr>
    </w:p>
    <w:p>
      <w:pPr>
        <w:ind w:left="756" w:hanging="256"/>
        <w:spacing w:after="0"/>
        <w:tabs>
          <w:tab w:leader="none" w:pos="756"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Entrusted Payment applies regardless of the amount of any particular drawdown;</w:t>
      </w:r>
    </w:p>
    <w:p>
      <w:pPr>
        <w:spacing w:after="0" w:line="225" w:lineRule="exact"/>
        <w:rPr>
          <w:rFonts w:ascii="Times New Roman" w:cs="Times New Roman" w:eastAsia="Times New Roman" w:hAnsi="Times New Roman"/>
          <w:sz w:val="18"/>
          <w:szCs w:val="18"/>
          <w:color w:val="auto"/>
        </w:rPr>
      </w:pPr>
    </w:p>
    <w:p>
      <w:pPr>
        <w:ind w:left="816" w:hanging="318"/>
        <w:spacing w:after="0"/>
        <w:tabs>
          <w:tab w:leader="none" w:pos="816"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49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49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jc w:val="both"/>
        <w:ind w:left="476" w:hanging="476"/>
        <w:spacing w:after="0" w:line="266" w:lineRule="auto"/>
        <w:tabs>
          <w:tab w:leader="none" w:pos="4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76" w:lineRule="exact"/>
        <w:rPr>
          <w:rFonts w:ascii="Times New Roman" w:cs="Times New Roman" w:eastAsia="Times New Roman" w:hAnsi="Times New Roman"/>
          <w:sz w:val="18"/>
          <w:szCs w:val="18"/>
          <w:color w:val="auto"/>
        </w:rPr>
      </w:pPr>
    </w:p>
    <w:p>
      <w:pPr>
        <w:jc w:val="both"/>
        <w:ind w:left="476" w:hanging="476"/>
        <w:spacing w:after="0" w:line="255" w:lineRule="auto"/>
        <w:tabs>
          <w:tab w:leader="none" w:pos="4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89" w:lineRule="exact"/>
        <w:rPr>
          <w:rFonts w:ascii="Times New Roman" w:cs="Times New Roman" w:eastAsia="Times New Roman" w:hAnsi="Times New Roman"/>
          <w:sz w:val="18"/>
          <w:szCs w:val="18"/>
          <w:color w:val="auto"/>
        </w:rPr>
      </w:pPr>
    </w:p>
    <w:p>
      <w:pPr>
        <w:ind w:left="396" w:hanging="383"/>
        <w:spacing w:after="0"/>
        <w:tabs>
          <w:tab w:leader="none" w:pos="39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warranty or representation by Party B in respect of the truthfulness or legality or compliance with regulations of the underlying</w:t>
      </w:r>
    </w:p>
    <w:p>
      <w:pPr>
        <w:spacing w:after="0" w:line="27" w:lineRule="exact"/>
        <w:rPr>
          <w:sz w:val="20"/>
          <w:szCs w:val="20"/>
          <w:color w:val="auto"/>
        </w:rPr>
      </w:pPr>
    </w:p>
    <w:p>
      <w:pPr>
        <w:jc w:val="both"/>
        <w:ind w:left="396"/>
        <w:spacing w:after="0" w:line="254" w:lineRule="auto"/>
        <w:rPr>
          <w:sz w:val="20"/>
          <w:szCs w:val="20"/>
          <w:color w:val="auto"/>
        </w:rPr>
      </w:pPr>
      <w:r>
        <w:rPr>
          <w:rFonts w:ascii="Times New Roman" w:cs="Times New Roman" w:eastAsia="Times New Roman" w:hAnsi="Times New Roman"/>
          <w:sz w:val="18"/>
          <w:szCs w:val="18"/>
          <w:color w:val="auto"/>
        </w:rPr>
        <w:t>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86" w:lineRule="exact"/>
        <w:rPr>
          <w:sz w:val="20"/>
          <w:szCs w:val="20"/>
          <w:color w:val="auto"/>
        </w:rPr>
      </w:pPr>
    </w:p>
    <w:p>
      <w:pPr>
        <w:jc w:val="both"/>
        <w:ind w:left="396" w:hanging="383"/>
        <w:spacing w:after="0" w:line="266" w:lineRule="auto"/>
        <w:tabs>
          <w:tab w:leader="none" w:pos="39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76" w:lineRule="exact"/>
        <w:rPr>
          <w:rFonts w:ascii="Times New Roman" w:cs="Times New Roman" w:eastAsia="Times New Roman" w:hAnsi="Times New Roman"/>
          <w:sz w:val="18"/>
          <w:szCs w:val="18"/>
          <w:color w:val="auto"/>
        </w:rPr>
      </w:pPr>
    </w:p>
    <w:p>
      <w:pPr>
        <w:ind w:left="976" w:hanging="558"/>
        <w:spacing w:after="0" w:line="282" w:lineRule="auto"/>
        <w:tabs>
          <w:tab w:leader="none" w:pos="97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200" w:lineRule="exact"/>
        <w:rPr>
          <w:sz w:val="20"/>
          <w:szCs w:val="20"/>
          <w:color w:val="auto"/>
        </w:rPr>
      </w:pPr>
    </w:p>
    <w:p>
      <w:pPr>
        <w:spacing w:after="0" w:line="205" w:lineRule="exact"/>
        <w:rPr>
          <w:sz w:val="20"/>
          <w:szCs w:val="20"/>
          <w:color w:val="auto"/>
        </w:rPr>
      </w:pPr>
    </w:p>
    <w:p>
      <w:pPr>
        <w:ind w:left="4936"/>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17145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6"/>
          </w:cols>
          <w:pgMar w:left="964" w:top="1094" w:right="239" w:bottom="1440" w:gutter="0" w:footer="0" w:header="0"/>
        </w:sectPr>
      </w:pPr>
    </w:p>
    <w:bookmarkStart w:id="128" w:name="page129"/>
    <w:bookmarkEnd w:id="128"/>
    <w:p>
      <w:pPr>
        <w:ind w:left="1360" w:right="20" w:hanging="558"/>
        <w:spacing w:after="0" w:line="282" w:lineRule="auto"/>
        <w:tabs>
          <w:tab w:leader="none" w:pos="1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not dispose of any of such drawdown amount in anyway (including without limitation account transfer or withdrawal of cash);</w:t>
      </w:r>
    </w:p>
    <w:p>
      <w:pPr>
        <w:spacing w:after="0" w:line="162" w:lineRule="exact"/>
        <w:rPr>
          <w:sz w:val="20"/>
          <w:szCs w:val="20"/>
          <w:color w:val="auto"/>
        </w:rPr>
      </w:pPr>
    </w:p>
    <w:p>
      <w:pPr>
        <w:ind w:left="1440" w:hanging="651"/>
        <w:spacing w:after="0"/>
        <w:tabs>
          <w:tab w:leader="none" w:pos="14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Party A shall resubmit materials, make corrections and/or perform other activities as instructed by Party B within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working days;</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jc w:val="both"/>
        <w:ind w:left="880" w:hanging="483"/>
        <w:spacing w:after="0" w:line="282" w:lineRule="auto"/>
        <w:rPr>
          <w:sz w:val="20"/>
          <w:szCs w:val="20"/>
          <w:color w:val="auto"/>
        </w:rPr>
      </w:pPr>
      <w:r>
        <w:rPr>
          <w:rFonts w:ascii="Times New Roman" w:cs="Times New Roman" w:eastAsia="Times New Roman" w:hAnsi="Times New Roman"/>
          <w:sz w:val="18"/>
          <w:szCs w:val="18"/>
          <w:color w:val="auto"/>
        </w:rPr>
        <w:t>(6) 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Payment on Party A’s own initiative</w:t>
      </w:r>
    </w:p>
    <w:p>
      <w:pPr>
        <w:spacing w:after="0" w:line="225"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0" w:lineRule="exact"/>
        <w:rPr>
          <w:sz w:val="20"/>
          <w:szCs w:val="20"/>
          <w:color w:val="auto"/>
        </w:rPr>
      </w:pPr>
    </w:p>
    <w:p>
      <w:pPr>
        <w:jc w:val="both"/>
        <w:ind w:left="400" w:hanging="404"/>
        <w:spacing w:after="0" w:line="261" w:lineRule="auto"/>
        <w:tabs>
          <w:tab w:leader="none" w:pos="380" w:val="left"/>
        </w:tabs>
        <w:rPr>
          <w:sz w:val="20"/>
          <w:szCs w:val="20"/>
          <w:color w:val="auto"/>
        </w:rPr>
      </w:pPr>
      <w:r>
        <w:rPr>
          <w:rFonts w:ascii="Times New Roman" w:cs="Times New Roman" w:eastAsia="Times New Roman" w:hAnsi="Times New Roman"/>
          <w:sz w:val="18"/>
          <w:szCs w:val="18"/>
          <w:color w:val="auto"/>
        </w:rPr>
        <w:t>5.8</w:t>
        <w:tab/>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8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5.9</w:t>
        <w:tab/>
        <w:t>Change of means of payment</w:t>
      </w:r>
    </w:p>
    <w:p>
      <w:pPr>
        <w:spacing w:after="0" w:line="225"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Party B is entitled to change the means of payment if any of the following circumstances arises, including without limitation re-determining the situations where Entrusted Payment applies, (e.g. changing the threshold amount for Entrusted Payment) and changing the means of payment in respect of any particular drawdown:</w:t>
      </w:r>
    </w:p>
    <w:p>
      <w:pPr>
        <w:spacing w:after="0" w:line="176" w:lineRule="exact"/>
        <w:rPr>
          <w:sz w:val="20"/>
          <w:szCs w:val="20"/>
          <w:color w:val="auto"/>
        </w:rPr>
      </w:pPr>
    </w:p>
    <w:p>
      <w:pPr>
        <w:ind w:left="660" w:hanging="263"/>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by Party A arises;</w:t>
      </w:r>
    </w:p>
    <w:p>
      <w:pPr>
        <w:spacing w:after="0" w:line="225" w:lineRule="exact"/>
        <w:rPr>
          <w:rFonts w:ascii="Times New Roman" w:cs="Times New Roman" w:eastAsia="Times New Roman" w:hAnsi="Times New Roman"/>
          <w:sz w:val="18"/>
          <w:szCs w:val="18"/>
          <w:color w:val="auto"/>
        </w:rPr>
      </w:pPr>
    </w:p>
    <w:p>
      <w:pPr>
        <w:ind w:left="660" w:hanging="26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arises any event that may adversely impact Party B’s rights as a creditor;</w:t>
      </w:r>
    </w:p>
    <w:p>
      <w:pPr>
        <w:spacing w:after="0" w:line="225" w:lineRule="exact"/>
        <w:rPr>
          <w:rFonts w:ascii="Times New Roman" w:cs="Times New Roman" w:eastAsia="Times New Roman" w:hAnsi="Times New Roman"/>
          <w:sz w:val="18"/>
          <w:szCs w:val="18"/>
          <w:color w:val="auto"/>
        </w:rPr>
      </w:pPr>
    </w:p>
    <w:p>
      <w:pPr>
        <w:ind w:left="660" w:hanging="26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where Party B deems necessary to change the means of payment.</w:t>
      </w:r>
    </w:p>
    <w:p>
      <w:pPr>
        <w:spacing w:after="0" w:line="225" w:lineRule="exact"/>
        <w:rPr>
          <w:sz w:val="20"/>
          <w:szCs w:val="20"/>
          <w:color w:val="auto"/>
        </w:rPr>
      </w:pPr>
    </w:p>
    <w:p>
      <w:pPr>
        <w:ind w:left="400" w:right="20"/>
        <w:spacing w:after="0" w:line="282" w:lineRule="auto"/>
        <w:rPr>
          <w:sz w:val="20"/>
          <w:szCs w:val="20"/>
          <w:color w:val="auto"/>
        </w:rPr>
      </w:pPr>
      <w:r>
        <w:rPr>
          <w:rFonts w:ascii="Times New Roman" w:cs="Times New Roman" w:eastAsia="Times New Roman" w:hAnsi="Times New Roman"/>
          <w:sz w:val="18"/>
          <w:szCs w:val="18"/>
          <w:color w:val="auto"/>
        </w:rPr>
        <w:t>Where Party B changes the means of payment, Party A shall resubmit the materials or perform other activities as required by this Contract and Party B.</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129" w:name="page130"/>
    <w:bookmarkEnd w:id="129"/>
    <w:p>
      <w:pPr>
        <w:ind w:left="780" w:right="7680" w:hanging="772"/>
        <w:spacing w:after="0" w:line="450" w:lineRule="auto"/>
        <w:tabs>
          <w:tab w:leader="none" w:pos="338"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USE AND SUPERVISION OF ACCOUNTS </w:t>
      </w:r>
      <w:r>
        <w:rPr>
          <w:rFonts w:ascii="Times New Roman" w:cs="Times New Roman" w:eastAsia="Times New Roman" w:hAnsi="Times New Roman"/>
          <w:sz w:val="17"/>
          <w:szCs w:val="17"/>
          <w:color w:val="auto"/>
        </w:rPr>
        <w:t>6.1 Loan Disbursement Account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The Loan Disbursement Account herein shall be determined in accordance with </w:t>
      </w:r>
      <w:r>
        <w:rPr>
          <w:rFonts w:ascii="Times New Roman" w:cs="Times New Roman" w:eastAsia="Times New Roman" w:hAnsi="Times New Roman"/>
          <w:sz w:val="18"/>
          <w:szCs w:val="18"/>
          <w:u w:val="single" w:color="auto"/>
          <w:color w:val="auto"/>
        </w:rPr>
        <w:t>(2):</w:t>
      </w:r>
    </w:p>
    <w:p>
      <w:pPr>
        <w:spacing w:after="0" w:line="225" w:lineRule="exact"/>
        <w:rPr>
          <w:sz w:val="20"/>
          <w:szCs w:val="20"/>
          <w:color w:val="auto"/>
        </w:rPr>
      </w:pPr>
    </w:p>
    <w:p>
      <w:pPr>
        <w:ind w:left="1860" w:hanging="434"/>
        <w:spacing w:after="0" w:line="282" w:lineRule="auto"/>
        <w:tabs>
          <w:tab w:leader="none" w:pos="18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working days from the date of coming into effect of this Contract and before the date of first drawdown, Party A shall open an account within Party B for the sole purpose of the disbursement and payment of all loan amount under this Contract.</w:t>
      </w:r>
    </w:p>
    <w:p>
      <w:pPr>
        <w:spacing w:after="0" w:line="161" w:lineRule="exact"/>
        <w:rPr>
          <w:rFonts w:ascii="Times New Roman" w:cs="Times New Roman" w:eastAsia="Times New Roman" w:hAnsi="Times New Roman"/>
          <w:sz w:val="18"/>
          <w:szCs w:val="18"/>
          <w:color w:val="auto"/>
        </w:rPr>
      </w:pPr>
    </w:p>
    <w:p>
      <w:pPr>
        <w:ind w:left="1860" w:hanging="434"/>
        <w:spacing w:after="0"/>
        <w:tabs>
          <w:tab w:leader="none" w:pos="18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account opened by Party A within Party B (Account Number: </w:t>
      </w:r>
      <w:r>
        <w:rPr>
          <w:rFonts w:ascii="Times New Roman" w:cs="Times New Roman" w:eastAsia="Times New Roman" w:hAnsi="Times New Roman"/>
          <w:sz w:val="18"/>
          <w:szCs w:val="18"/>
          <w:u w:val="single" w:color="auto"/>
          <w:color w:val="auto"/>
        </w:rPr>
        <w:t>33101995038050503008).</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6.2 Account to collect sale proceeds</w:t>
      </w:r>
    </w:p>
    <w:p>
      <w:pPr>
        <w:spacing w:after="0" w:line="225" w:lineRule="exact"/>
        <w:rPr>
          <w:sz w:val="20"/>
          <w:szCs w:val="20"/>
          <w:color w:val="auto"/>
        </w:rPr>
      </w:pPr>
    </w:p>
    <w:p>
      <w:pPr>
        <w:ind w:left="1760" w:hanging="428"/>
        <w:spacing w:after="0"/>
        <w:tabs>
          <w:tab w:leader="none" w:pos="1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working days from the date of coming into effect of this Contract, Party A shall open an account within Party B for the</w:t>
      </w:r>
    </w:p>
    <w:p>
      <w:pPr>
        <w:spacing w:after="0" w:line="18"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purpose  of  collecting  sale  proceeds  or  designate  an  existing  account  within  Party  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such  (Account  Number:</w:t>
            </w:r>
          </w:p>
        </w:tc>
      </w:tr>
      <w:tr>
        <w:trPr>
          <w:trHeight w:val="194"/>
        </w:trPr>
        <w:tc>
          <w:tcPr>
            <w:tcW w:w="420" w:type="dxa"/>
            <w:vAlign w:val="bottom"/>
          </w:tcPr>
          <w:p>
            <w:pPr>
              <w:spacing w:after="0"/>
              <w:rPr>
                <w:sz w:val="16"/>
                <w:szCs w:val="16"/>
                <w:color w:val="auto"/>
              </w:rPr>
            </w:pPr>
          </w:p>
        </w:tc>
        <w:tc>
          <w:tcPr>
            <w:tcW w:w="2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33101995038050503008).</w:t>
            </w:r>
          </w:p>
        </w:tc>
        <w:tc>
          <w:tcPr>
            <w:tcW w:w="50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7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Party A shall, on a monthly basis (choose “monthly” or “quarterly”), submit a report to Party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on the incoming and outgoing</w:t>
            </w: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 w:lineRule="exact"/>
        <w:rPr>
          <w:sz w:val="20"/>
          <w:szCs w:val="20"/>
          <w:color w:val="auto"/>
        </w:rPr>
      </w:pPr>
    </w:p>
    <w:p>
      <w:pPr>
        <w:ind w:left="1760"/>
        <w:spacing w:after="0" w:line="282" w:lineRule="auto"/>
        <w:rPr>
          <w:sz w:val="20"/>
          <w:szCs w:val="20"/>
          <w:color w:val="auto"/>
        </w:rPr>
      </w:pPr>
      <w:r>
        <w:rPr>
          <w:rFonts w:ascii="Times New Roman" w:cs="Times New Roman" w:eastAsia="Times New Roman" w:hAnsi="Times New Roman"/>
          <w:sz w:val="18"/>
          <w:szCs w:val="18"/>
          <w:color w:val="auto"/>
        </w:rPr>
        <w:t xml:space="preserve">amounts of such account. Party A shall submit such report for the immediately preceding month or quarter (as the case may be) within the first </w:t>
      </w:r>
      <w:r>
        <w:rPr>
          <w:rFonts w:ascii="Times New Roman" w:cs="Times New Roman" w:eastAsia="Times New Roman" w:hAnsi="Times New Roman"/>
          <w:sz w:val="18"/>
          <w:szCs w:val="18"/>
          <w:u w:val="single" w:color="auto"/>
          <w:color w:val="auto"/>
        </w:rPr>
        <w:t>FIVE</w:t>
      </w:r>
      <w:r>
        <w:rPr>
          <w:rFonts w:ascii="Times New Roman" w:cs="Times New Roman" w:eastAsia="Times New Roman" w:hAnsi="Times New Roman"/>
          <w:sz w:val="18"/>
          <w:szCs w:val="18"/>
          <w:color w:val="auto"/>
        </w:rPr>
        <w:t xml:space="preserve"> working days of each month or quarter.</w:t>
      </w:r>
    </w:p>
    <w:p>
      <w:pPr>
        <w:spacing w:after="0" w:line="162" w:lineRule="exact"/>
        <w:rPr>
          <w:sz w:val="20"/>
          <w:szCs w:val="20"/>
          <w:color w:val="auto"/>
        </w:rPr>
      </w:pPr>
    </w:p>
    <w:p>
      <w:pPr>
        <w:ind w:left="1760" w:hanging="428"/>
        <w:spacing w:after="0" w:line="282" w:lineRule="auto"/>
        <w:tabs>
          <w:tab w:leader="none" w:pos="1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Party B is entitled to manage the incoming and outgoing amounts of such account. In particular, such account shall be in compliance with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(one or more of the following requirements may be selected):</w:t>
      </w:r>
    </w:p>
    <w:p>
      <w:pPr>
        <w:spacing w:after="0" w:line="161" w:lineRule="exact"/>
        <w:rPr>
          <w:rFonts w:ascii="Times New Roman" w:cs="Times New Roman" w:eastAsia="Times New Roman" w:hAnsi="Times New Roman"/>
          <w:sz w:val="18"/>
          <w:szCs w:val="18"/>
          <w:color w:val="auto"/>
        </w:rPr>
      </w:pPr>
    </w:p>
    <w:p>
      <w:pPr>
        <w:ind w:left="1840" w:hanging="213"/>
        <w:spacing w:after="0"/>
        <w:tabs>
          <w:tab w:leader="none" w:pos="18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of such account:</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900" w:hanging="273"/>
        <w:spacing w:after="0"/>
        <w:tabs>
          <w:tab w:leader="none" w:pos="19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for incoming payment being deposited into such account:</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940" w:hanging="311"/>
        <w:spacing w:after="0"/>
        <w:tabs>
          <w:tab w:leader="none" w:pos="19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the overall sale proceeds of Party A that are to be deposited into such account:</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940" w:hanging="311"/>
        <w:spacing w:after="0"/>
        <w:tabs>
          <w:tab w:leader="none" w:pos="19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limit for any particular outgoing payment of such account:</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130" w:name="page131"/>
    <w:bookmarkEnd w:id="130"/>
    <w:p>
      <w:pPr>
        <w:ind w:left="1880" w:hanging="251"/>
        <w:spacing w:after="0"/>
        <w:tabs>
          <w:tab w:leader="none" w:pos="1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limit for daily outgoing payment (s) of such account:</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940" w:hanging="311"/>
        <w:spacing w:after="0"/>
        <w:tabs>
          <w:tab w:leader="none" w:pos="19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internet-banking functions of such account:</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980" w:hanging="351"/>
        <w:spacing w:after="0"/>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outgoing payment shall be made without Party B’s prior consent;</w:t>
      </w:r>
    </w:p>
    <w:p>
      <w:pPr>
        <w:spacing w:after="0" w:line="225" w:lineRule="exact"/>
        <w:rPr>
          <w:rFonts w:ascii="Times New Roman" w:cs="Times New Roman" w:eastAsia="Times New Roman" w:hAnsi="Times New Roman"/>
          <w:sz w:val="18"/>
          <w:szCs w:val="18"/>
          <w:color w:val="auto"/>
        </w:rPr>
      </w:pPr>
    </w:p>
    <w:p>
      <w:pPr>
        <w:ind w:left="2040" w:hanging="409"/>
        <w:spacing w:after="0"/>
        <w:tabs>
          <w:tab w:leader="none" w:pos="20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account shall be used only for the purposes of collecting sale proceeds and repaying the loan, and not for any other purpose;</w:t>
      </w:r>
    </w:p>
    <w:p>
      <w:pPr>
        <w:spacing w:after="0" w:line="225" w:lineRule="exact"/>
        <w:rPr>
          <w:rFonts w:ascii="Times New Roman" w:cs="Times New Roman" w:eastAsia="Times New Roman" w:hAnsi="Times New Roman"/>
          <w:sz w:val="18"/>
          <w:szCs w:val="18"/>
          <w:color w:val="auto"/>
        </w:rPr>
      </w:pPr>
    </w:p>
    <w:p>
      <w:pPr>
        <w:ind w:left="1940" w:hanging="309"/>
        <w:spacing w:after="0"/>
        <w:tabs>
          <w:tab w:leader="none" w:pos="19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960" w:hanging="252"/>
        <w:spacing w:after="0"/>
        <w:tabs>
          <w:tab w:leader="none" w:pos="19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requirements by Party B;</w:t>
      </w:r>
    </w:p>
    <w:p>
      <w:pPr>
        <w:spacing w:after="0" w:line="225" w:lineRule="exact"/>
        <w:rPr>
          <w:rFonts w:ascii="Times New Roman" w:cs="Times New Roman" w:eastAsia="Times New Roman" w:hAnsi="Times New Roman"/>
          <w:sz w:val="18"/>
          <w:szCs w:val="18"/>
          <w:color w:val="auto"/>
        </w:rPr>
      </w:pPr>
    </w:p>
    <w:p>
      <w:pPr>
        <w:ind w:left="2000" w:hanging="292"/>
        <w:spacing w:after="0"/>
        <w:tabs>
          <w:tab w:leader="none" w:pos="200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Account Management Agreement signed by both Parties shall be complied with.</w:t>
      </w:r>
    </w:p>
    <w:p>
      <w:pPr>
        <w:spacing w:after="0" w:line="221"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General Principles for Repayment</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7.2 Payment of Interest</w:t>
      </w:r>
    </w:p>
    <w:p>
      <w:pPr>
        <w:spacing w:after="0" w:line="225" w:lineRule="exact"/>
        <w:rPr>
          <w:sz w:val="20"/>
          <w:szCs w:val="20"/>
          <w:color w:val="auto"/>
        </w:rPr>
      </w:pPr>
    </w:p>
    <w:p>
      <w:pPr>
        <w:ind w:left="360" w:right="20"/>
        <w:spacing w:after="0" w:line="282" w:lineRule="auto"/>
        <w:rPr>
          <w:sz w:val="20"/>
          <w:szCs w:val="20"/>
          <w:color w:val="auto"/>
        </w:rPr>
      </w:pPr>
      <w:r>
        <w:rPr>
          <w:rFonts w:ascii="Times New Roman" w:cs="Times New Roman" w:eastAsia="Times New Roman" w:hAnsi="Times New Roman"/>
          <w:sz w:val="18"/>
          <w:szCs w:val="18"/>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Schedule for Repayment of the Principal</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repayment schedule hereunder shall be determined in accordance with item </w:t>
      </w:r>
      <w:r>
        <w:rPr>
          <w:rFonts w:ascii="Times New Roman" w:cs="Times New Roman" w:eastAsia="Times New Roman" w:hAnsi="Times New Roman"/>
          <w:sz w:val="18"/>
          <w:szCs w:val="18"/>
          <w:b w:val="1"/>
          <w:bCs w:val="1"/>
          <w:color w:val="auto"/>
        </w:rPr>
        <w:t>[see Schedule A]</w:t>
      </w:r>
      <w:r>
        <w:rPr>
          <w:rFonts w:ascii="Times New Roman" w:cs="Times New Roman" w:eastAsia="Times New Roman" w:hAnsi="Times New Roman"/>
          <w:sz w:val="18"/>
          <w:szCs w:val="18"/>
          <w:color w:val="auto"/>
        </w:rPr>
        <w:t xml:space="preserve"> below:</w:t>
      </w:r>
    </w:p>
    <w:p>
      <w:pPr>
        <w:spacing w:after="0" w:line="229" w:lineRule="exact"/>
        <w:rPr>
          <w:sz w:val="20"/>
          <w:szCs w:val="20"/>
          <w:color w:val="auto"/>
        </w:rPr>
      </w:pPr>
    </w:p>
    <w:p>
      <w:pPr>
        <w:ind w:left="1520" w:hanging="1158"/>
        <w:spacing w:after="0"/>
        <w:tabs>
          <w:tab w:leader="none" w:pos="1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schedule shall be as follows:</w:t>
      </w:r>
    </w:p>
    <w:p>
      <w:pPr>
        <w:spacing w:after="0" w:line="225" w:lineRule="exact"/>
        <w:rPr>
          <w:sz w:val="20"/>
          <w:szCs w:val="20"/>
          <w:color w:val="auto"/>
        </w:rPr>
      </w:pPr>
    </w:p>
    <w:p>
      <w:pPr>
        <w:ind w:left="1700"/>
        <w:spacing w:after="0"/>
        <w:tabs>
          <w:tab w:leader="none" w:pos="6600" w:val="left"/>
        </w:tabs>
        <w:rPr>
          <w:sz w:val="20"/>
          <w:szCs w:val="20"/>
          <w:color w:val="auto"/>
        </w:rPr>
      </w:pPr>
      <w:r>
        <w:rPr>
          <w:rFonts w:ascii="Times New Roman" w:cs="Times New Roman" w:eastAsia="Times New Roman" w:hAnsi="Times New Roman"/>
          <w:sz w:val="18"/>
          <w:szCs w:val="18"/>
          <w:color w:val="auto"/>
        </w:rPr>
        <w:t>Repayment Date(mm/dd/yyyy)</w:t>
      </w:r>
      <w:r>
        <w:rPr>
          <w:sz w:val="20"/>
          <w:szCs w:val="20"/>
          <w:color w:val="auto"/>
        </w:rPr>
        <w:tab/>
      </w:r>
      <w:r>
        <w:rPr>
          <w:rFonts w:ascii="Times New Roman" w:cs="Times New Roman" w:eastAsia="Times New Roman" w:hAnsi="Times New Roman"/>
          <w:sz w:val="18"/>
          <w:szCs w:val="18"/>
          <w:color w:val="auto"/>
        </w:rPr>
        <w:t>Amount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(iv)</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(vi)</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8890</wp:posOffset>
            </wp:positionV>
            <wp:extent cx="62687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154940</wp:posOffset>
            </wp:positionV>
            <wp:extent cx="62687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300355</wp:posOffset>
            </wp:positionV>
            <wp:extent cx="62687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Repayment Method</w:t>
      </w:r>
    </w:p>
    <w:p>
      <w:pPr>
        <w:spacing w:after="0" w:line="225" w:lineRule="exact"/>
        <w:rPr>
          <w:sz w:val="20"/>
          <w:szCs w:val="20"/>
          <w:color w:val="auto"/>
        </w:rPr>
      </w:pPr>
    </w:p>
    <w:p>
      <w:pPr>
        <w:jc w:val="both"/>
        <w:ind w:left="360"/>
        <w:spacing w:after="0" w:line="266" w:lineRule="auto"/>
        <w:rPr>
          <w:sz w:val="20"/>
          <w:szCs w:val="20"/>
          <w:color w:val="auto"/>
        </w:rPr>
      </w:pPr>
      <w:r>
        <w:rPr>
          <w:rFonts w:ascii="Times New Roman" w:cs="Times New Roman" w:eastAsia="Times New Roman" w:hAnsi="Times New Roman"/>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Prepayment</w:t>
      </w:r>
    </w:p>
    <w:p>
      <w:pPr>
        <w:spacing w:after="0" w:line="225" w:lineRule="exact"/>
        <w:rPr>
          <w:sz w:val="20"/>
          <w:szCs w:val="20"/>
          <w:color w:val="auto"/>
        </w:rPr>
      </w:pPr>
    </w:p>
    <w:p>
      <w:pPr>
        <w:jc w:val="both"/>
        <w:ind w:left="360" w:right="20"/>
        <w:spacing w:after="0" w:line="261" w:lineRule="auto"/>
        <w:rPr>
          <w:sz w:val="20"/>
          <w:szCs w:val="20"/>
          <w:color w:val="auto"/>
        </w:rPr>
      </w:pPr>
      <w:r>
        <w:rPr>
          <w:rFonts w:ascii="Times New Roman" w:cs="Times New Roman" w:eastAsia="Times New Roman" w:hAnsi="Times New Roman"/>
          <w:sz w:val="18"/>
          <w:szCs w:val="18"/>
          <w:color w:val="auto"/>
        </w:rPr>
        <w:t xml:space="preserve">Party A may prepay the principals in full or in part upon approval by Party B of a written application submitted to Party B </w:t>
      </w:r>
      <w:r>
        <w:rPr>
          <w:rFonts w:ascii="Times New Roman" w:cs="Times New Roman" w:eastAsia="Times New Roman" w:hAnsi="Times New Roman"/>
          <w:sz w:val="18"/>
          <w:szCs w:val="18"/>
          <w:u w:val="single" w:color="auto"/>
          <w:color w:val="auto"/>
        </w:rPr>
        <w:t>THIRTY</w:t>
      </w:r>
      <w:r>
        <w:rPr>
          <w:rFonts w:ascii="Times New Roman" w:cs="Times New Roman" w:eastAsia="Times New Roman" w:hAnsi="Times New Roman"/>
          <w:sz w:val="18"/>
          <w:szCs w:val="18"/>
          <w:color w:val="auto"/>
        </w:rPr>
        <w:t xml:space="preserve"> working days in advance.</w:t>
      </w:r>
    </w:p>
    <w:p>
      <w:pPr>
        <w:jc w:val="both"/>
        <w:ind w:left="360"/>
        <w:spacing w:after="0" w:line="261" w:lineRule="auto"/>
        <w:rPr>
          <w:sz w:val="20"/>
          <w:szCs w:val="20"/>
          <w:color w:val="auto"/>
        </w:rPr>
      </w:pPr>
      <w:r>
        <w:rPr>
          <w:rFonts w:ascii="Times New Roman" w:cs="Times New Roman" w:eastAsia="Times New Roman" w:hAnsi="Times New Roman"/>
          <w:sz w:val="18"/>
          <w:szCs w:val="18"/>
          <w:color w:val="auto"/>
        </w:rPr>
        <w:t>The interest accrued on the principals to be prepaid shall be calculated on the basis of the actual number of days lapsed and the Loan Rate provided herein.</w:t>
      </w:r>
    </w:p>
    <w:p>
      <w:pPr>
        <w:spacing w:after="0" w:line="18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1020" w:top="661" w:right="239" w:bottom="1440" w:gutter="0" w:footer="0" w:header="0"/>
        </w:sectPr>
      </w:pPr>
    </w:p>
    <w:bookmarkStart w:id="132" w:name="page133"/>
    <w:bookmarkEnd w:id="132"/>
    <w:p>
      <w:pPr>
        <w:ind w:left="1140"/>
        <w:spacing w:after="0" w:line="282" w:lineRule="auto"/>
        <w:rPr>
          <w:sz w:val="20"/>
          <w:szCs w:val="20"/>
          <w:color w:val="auto"/>
        </w:rPr>
      </w:pPr>
      <w:r>
        <w:rPr>
          <w:rFonts w:ascii="Times New Roman" w:cs="Times New Roman" w:eastAsia="Times New Roman" w:hAnsi="Times New Roman"/>
          <w:sz w:val="18"/>
          <w:szCs w:val="18"/>
          <w:color w:val="auto"/>
        </w:rPr>
        <w:t xml:space="preserve">If Party B approves the prepayment by Party A, Party B shall have the right to charge Party A the compensation fee in an amount to be determined in accordance with the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of the following methods:</w:t>
      </w:r>
    </w:p>
    <w:p>
      <w:pPr>
        <w:spacing w:after="0" w:line="158" w:lineRule="exact"/>
        <w:rPr>
          <w:sz w:val="20"/>
          <w:szCs w:val="20"/>
          <w:color w:val="auto"/>
        </w:rPr>
      </w:pPr>
    </w:p>
    <w:p>
      <w:pPr>
        <w:jc w:val="both"/>
        <w:ind w:left="1540" w:hanging="398"/>
        <w:spacing w:after="0" w:line="268" w:lineRule="auto"/>
        <w:tabs>
          <w:tab w:leader="none" w:pos="1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fee = amount of the principal prepaid × number of months remaining until the scheduled repayment date(the “</w:t>
      </w:r>
      <w:r>
        <w:rPr>
          <w:rFonts w:ascii="Times New Roman" w:cs="Times New Roman" w:eastAsia="Times New Roman" w:hAnsi="Times New Roman"/>
          <w:sz w:val="18"/>
          <w:szCs w:val="18"/>
          <w:b w:val="1"/>
          <w:bCs w:val="1"/>
          <w:color w:val="auto"/>
        </w:rPr>
        <w:t>Remaining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 __1__‰; provided, however, that the part of the Remaining Period that falls short of a month shall be calculated as a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 or</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8890</wp:posOffset>
            </wp:positionV>
            <wp:extent cx="62687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154940</wp:posOffset>
            </wp:positionV>
            <wp:extent cx="62687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300355</wp:posOffset>
            </wp:positionV>
            <wp:extent cx="62687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158" w:lineRule="exact"/>
        <w:rPr>
          <w:sz w:val="20"/>
          <w:szCs w:val="20"/>
          <w:color w:val="auto"/>
        </w:rPr>
      </w:pPr>
    </w:p>
    <w:p>
      <w:pPr>
        <w:ind w:left="660" w:right="7680" w:hanging="652"/>
        <w:spacing w:after="0" w:line="412" w:lineRule="auto"/>
        <w:tabs>
          <w:tab w:leader="none" w:pos="336"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PARTY A’S RIGHTS AND OBLIGATIONS </w:t>
      </w:r>
      <w:r>
        <w:rPr>
          <w:rFonts w:ascii="Times New Roman" w:cs="Times New Roman" w:eastAsia="Times New Roman" w:hAnsi="Times New Roman"/>
          <w:sz w:val="18"/>
          <w:szCs w:val="18"/>
          <w:color w:val="auto"/>
        </w:rPr>
        <w:t>8.1 Party A’s Rights</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Party A has the rights to:</w:t>
      </w:r>
    </w:p>
    <w:p>
      <w:pPr>
        <w:spacing w:after="0" w:line="225" w:lineRule="exact"/>
        <w:rPr>
          <w:sz w:val="20"/>
          <w:szCs w:val="20"/>
          <w:color w:val="auto"/>
        </w:rPr>
      </w:pPr>
    </w:p>
    <w:p>
      <w:pPr>
        <w:ind w:left="1360" w:hanging="393"/>
        <w:spacing w:after="0"/>
        <w:tabs>
          <w:tab w:leader="none" w:pos="1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Party B to release each advance of the Loan as provided hereunder;</w:t>
      </w:r>
    </w:p>
    <w:p>
      <w:pPr>
        <w:spacing w:after="0" w:line="225"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Loan for the purposes provided for hereunder;</w:t>
      </w:r>
    </w:p>
    <w:p>
      <w:pPr>
        <w:spacing w:after="0" w:line="225"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Party B for extension of the Term hereunder provided that it has satisfied all the conditions as Party B requests;</w:t>
      </w:r>
    </w:p>
    <w:p>
      <w:pPr>
        <w:spacing w:after="0" w:line="225" w:lineRule="exact"/>
        <w:rPr>
          <w:rFonts w:ascii="Times New Roman" w:cs="Times New Roman" w:eastAsia="Times New Roman" w:hAnsi="Times New Roman"/>
          <w:sz w:val="18"/>
          <w:szCs w:val="18"/>
          <w:color w:val="auto"/>
        </w:rPr>
      </w:pPr>
    </w:p>
    <w:p>
      <w:pPr>
        <w:jc w:val="both"/>
        <w:ind w:left="1360" w:hanging="393"/>
        <w:spacing w:after="0" w:line="266" w:lineRule="auto"/>
        <w:tabs>
          <w:tab w:leader="none" w:pos="1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76" w:lineRule="exact"/>
        <w:rPr>
          <w:rFonts w:ascii="Times New Roman" w:cs="Times New Roman" w:eastAsia="Times New Roman" w:hAnsi="Times New Roman"/>
          <w:sz w:val="18"/>
          <w:szCs w:val="18"/>
          <w:color w:val="auto"/>
        </w:rPr>
      </w:pPr>
    </w:p>
    <w:p>
      <w:pPr>
        <w:ind w:left="1380" w:right="20" w:hanging="413"/>
        <w:spacing w:after="0" w:line="282" w:lineRule="auto"/>
        <w:tabs>
          <w:tab w:leader="none" w:pos="13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 Party A’s Obligations</w:t>
      </w:r>
    </w:p>
    <w:p>
      <w:pPr>
        <w:spacing w:after="0" w:line="225" w:lineRule="exact"/>
        <w:rPr>
          <w:sz w:val="20"/>
          <w:szCs w:val="20"/>
          <w:color w:val="auto"/>
        </w:rPr>
      </w:pPr>
    </w:p>
    <w:p>
      <w:pPr>
        <w:ind w:left="1520" w:hanging="553"/>
        <w:spacing w:after="0" w:line="282" w:lineRule="auto"/>
        <w:tabs>
          <w:tab w:leader="none" w:pos="1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draw the Loan and repay the principal and interest in full as provided herein, and bear the expenses and fees as provided herein;</w:t>
      </w:r>
    </w:p>
    <w:p>
      <w:pPr>
        <w:spacing w:after="0" w:line="161" w:lineRule="exact"/>
        <w:rPr>
          <w:rFonts w:ascii="Times New Roman" w:cs="Times New Roman" w:eastAsia="Times New Roman" w:hAnsi="Times New Roman"/>
          <w:sz w:val="18"/>
          <w:szCs w:val="18"/>
          <w:color w:val="auto"/>
        </w:rPr>
      </w:pPr>
    </w:p>
    <w:p>
      <w:pPr>
        <w:jc w:val="both"/>
        <w:ind w:left="1520" w:hanging="553"/>
        <w:spacing w:after="0" w:line="256" w:lineRule="auto"/>
        <w:tabs>
          <w:tab w:leader="none" w:pos="1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Party A shall provide its financial, accounting as well as manufacturing and operating information and other materials as the Party B may request, and among other things, on or before the </w:t>
      </w:r>
      <w:r>
        <w:rPr>
          <w:rFonts w:ascii="Times New Roman" w:cs="Times New Roman" w:eastAsia="Times New Roman" w:hAnsi="Times New Roman"/>
          <w:sz w:val="18"/>
          <w:szCs w:val="18"/>
          <w:u w:val="single" w:color="auto"/>
          <w:color w:val="auto"/>
        </w:rPr>
        <w:t>TWENTY</w:t>
      </w:r>
      <w:r>
        <w:rPr>
          <w:rFonts w:ascii="Times New Roman" w:cs="Times New Roman" w:eastAsia="Times New Roman" w:hAnsi="Times New Roman"/>
          <w:sz w:val="18"/>
          <w:szCs w:val="18"/>
          <w:color w:val="auto"/>
        </w:rPr>
        <w:t xml:space="preserve">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33" w:name="page134"/>
    <w:bookmarkEnd w:id="133"/>
    <w:p>
      <w:pPr>
        <w:jc w:val="both"/>
        <w:ind w:left="1520" w:hanging="553"/>
        <w:spacing w:after="0" w:line="281" w:lineRule="auto"/>
        <w:tabs>
          <w:tab w:leader="none" w:pos="15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64" w:lineRule="exact"/>
        <w:rPr>
          <w:rFonts w:ascii="Times New Roman" w:cs="Times New Roman" w:eastAsia="Times New Roman" w:hAnsi="Times New Roman"/>
          <w:sz w:val="17"/>
          <w:szCs w:val="17"/>
          <w:color w:val="auto"/>
        </w:rPr>
      </w:pPr>
    </w:p>
    <w:p>
      <w:pPr>
        <w:jc w:val="both"/>
        <w:ind w:left="1520" w:hanging="553"/>
        <w:spacing w:after="0" w:line="254" w:lineRule="auto"/>
        <w:tabs>
          <w:tab w:leader="none" w:pos="1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 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86" w:lineRule="exact"/>
        <w:rPr>
          <w:rFonts w:ascii="Times New Roman" w:cs="Times New Roman" w:eastAsia="Times New Roman" w:hAnsi="Times New Roman"/>
          <w:sz w:val="18"/>
          <w:szCs w:val="18"/>
          <w:color w:val="auto"/>
        </w:rPr>
      </w:pPr>
    </w:p>
    <w:p>
      <w:pPr>
        <w:ind w:left="1520" w:right="20" w:hanging="553"/>
        <w:spacing w:after="0" w:line="282" w:lineRule="auto"/>
        <w:tabs>
          <w:tab w:leader="none" w:pos="1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comply with the regulations relating to environmental protection, if the Loan hereunder shall be utilized for manufacturing or project construction;</w:t>
      </w:r>
    </w:p>
    <w:p>
      <w:pPr>
        <w:spacing w:after="0" w:line="161" w:lineRule="exact"/>
        <w:rPr>
          <w:rFonts w:ascii="Times New Roman" w:cs="Times New Roman" w:eastAsia="Times New Roman" w:hAnsi="Times New Roman"/>
          <w:sz w:val="18"/>
          <w:szCs w:val="18"/>
          <w:color w:val="auto"/>
        </w:rPr>
      </w:pPr>
    </w:p>
    <w:p>
      <w:pPr>
        <w:ind w:left="1520" w:hanging="553"/>
        <w:spacing w:after="0" w:line="282" w:lineRule="auto"/>
        <w:tabs>
          <w:tab w:leader="none" w:pos="1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61" w:lineRule="exact"/>
        <w:rPr>
          <w:rFonts w:ascii="Times New Roman" w:cs="Times New Roman" w:eastAsia="Times New Roman" w:hAnsi="Times New Roman"/>
          <w:sz w:val="18"/>
          <w:szCs w:val="18"/>
          <w:color w:val="auto"/>
        </w:rPr>
      </w:pPr>
    </w:p>
    <w:p>
      <w:pPr>
        <w:jc w:val="both"/>
        <w:ind w:left="1520" w:hanging="553"/>
        <w:spacing w:after="0" w:line="261" w:lineRule="auto"/>
        <w:tabs>
          <w:tab w:leader="none" w:pos="1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0" w:lineRule="exact"/>
        <w:rPr>
          <w:rFonts w:ascii="Times New Roman" w:cs="Times New Roman" w:eastAsia="Times New Roman" w:hAnsi="Times New Roman"/>
          <w:sz w:val="18"/>
          <w:szCs w:val="18"/>
          <w:color w:val="auto"/>
        </w:rPr>
      </w:pPr>
    </w:p>
    <w:p>
      <w:pPr>
        <w:jc w:val="both"/>
        <w:ind w:left="1520" w:hanging="553"/>
        <w:spacing w:after="0" w:line="261" w:lineRule="auto"/>
        <w:tabs>
          <w:tab w:leader="none" w:pos="1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0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the case of payment at Party A’s own initiative, Party A shall submit reports to Party  B on the use and payment of loan amounts on a</w:t>
            </w:r>
          </w:p>
        </w:tc>
      </w:tr>
      <w:tr>
        <w:trPr>
          <w:trHeight w:val="194"/>
        </w:trPr>
        <w:tc>
          <w:tcPr>
            <w:tcW w:w="1340" w:type="dxa"/>
            <w:vAlign w:val="bottom"/>
          </w:tcPr>
          <w:p>
            <w:pPr>
              <w:spacing w:after="0"/>
              <w:rPr>
                <w:sz w:val="16"/>
                <w:szCs w:val="16"/>
                <w:color w:val="auto"/>
              </w:rPr>
            </w:pPr>
          </w:p>
        </w:tc>
        <w:tc>
          <w:tcPr>
            <w:tcW w:w="100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monthly basis. Party A shall submit such report for the immediately preceding month within the first TEN working days of each month,</w:t>
            </w:r>
          </w:p>
        </w:tc>
      </w:tr>
      <w:tr>
        <w:trPr>
          <w:trHeight w:val="20"/>
        </w:trPr>
        <w:tc>
          <w:tcPr>
            <w:tcW w:w="13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8"/>
        </w:trPr>
        <w:tc>
          <w:tcPr>
            <w:tcW w:w="1340" w:type="dxa"/>
            <w:vAlign w:val="bottom"/>
          </w:tcPr>
          <w:p>
            <w:pPr>
              <w:spacing w:after="0"/>
              <w:rPr>
                <w:sz w:val="18"/>
                <w:szCs w:val="18"/>
                <w:color w:val="auto"/>
              </w:rPr>
            </w:pPr>
          </w:p>
        </w:tc>
        <w:tc>
          <w:tcPr>
            <w:tcW w:w="10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together with a list of actual uses of loan amounts, until the date of repayment of all the loan. Such report shall be in the form attached in</w:t>
            </w:r>
          </w:p>
        </w:tc>
      </w:tr>
      <w:tr>
        <w:trPr>
          <w:trHeight w:val="234"/>
        </w:trPr>
        <w:tc>
          <w:tcPr>
            <w:tcW w:w="1340" w:type="dxa"/>
            <w:vAlign w:val="bottom"/>
          </w:tcPr>
          <w:p>
            <w:pPr>
              <w:spacing w:after="0"/>
              <w:rPr>
                <w:sz w:val="20"/>
                <w:szCs w:val="20"/>
                <w:color w:val="auto"/>
              </w:rPr>
            </w:pPr>
          </w:p>
        </w:tc>
        <w:tc>
          <w:tcPr>
            <w:tcW w:w="10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Schedule 4.</w:t>
            </w:r>
          </w:p>
        </w:tc>
      </w:tr>
      <w:tr>
        <w:trPr>
          <w:trHeight w:val="432"/>
        </w:trPr>
        <w:tc>
          <w:tcPr>
            <w:tcW w:w="1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428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4" w:name="page135"/>
    <w:bookmarkEnd w:id="134"/>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B’S RIGHTS AND OBLIGATIONS</w:t>
      </w:r>
    </w:p>
    <w:p>
      <w:pPr>
        <w:spacing w:after="0" w:line="121" w:lineRule="exact"/>
        <w:rPr>
          <w:sz w:val="20"/>
          <w:szCs w:val="20"/>
          <w:color w:val="auto"/>
        </w:rPr>
      </w:pPr>
    </w:p>
    <w:p>
      <w:pPr>
        <w:jc w:val="both"/>
        <w:ind w:left="1140" w:hanging="485"/>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9.1</w:t>
        <w:tab/>
        <w:t>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0" w:lineRule="exact"/>
        <w:rPr>
          <w:sz w:val="20"/>
          <w:szCs w:val="20"/>
          <w:color w:val="auto"/>
        </w:rPr>
      </w:pPr>
    </w:p>
    <w:p>
      <w:pPr>
        <w:jc w:val="both"/>
        <w:ind w:left="1140" w:right="20" w:hanging="485"/>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9.2</w:t>
        <w:tab/>
        <w:t xml:space="preserve">Party B is entitled to engage in Party A’s large-amount financing (The total amount of such financing shall be more than RMB </w:t>
      </w:r>
      <w:r>
        <w:rPr>
          <w:rFonts w:ascii="Times New Roman" w:cs="Times New Roman" w:eastAsia="Times New Roman" w:hAnsi="Times New Roman"/>
          <w:sz w:val="18"/>
          <w:szCs w:val="18"/>
          <w:u w:val="single" w:color="auto"/>
          <w:color w:val="auto"/>
        </w:rPr>
        <w:t>SEVENTY-FOUR MILLION</w:t>
      </w:r>
      <w:r>
        <w:rPr>
          <w:rFonts w:ascii="Times New Roman" w:cs="Times New Roman" w:eastAsia="Times New Roman" w:hAnsi="Times New Roman"/>
          <w:sz w:val="18"/>
          <w:szCs w:val="18"/>
          <w:color w:val="auto"/>
        </w:rPr>
        <w:t xml:space="preserve"> or Foreign Exchange equivalent), sale of assets, merger, split-up, stock-company restructuring, bankruptcy, liquidation and other activities for the purpose of protecting Party B’s rights. The way(s) of engagement shall be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(multiple choices are allowed)</w:t>
      </w:r>
    </w:p>
    <w:p>
      <w:pPr>
        <w:spacing w:after="0" w:line="176" w:lineRule="exact"/>
        <w:rPr>
          <w:sz w:val="20"/>
          <w:szCs w:val="20"/>
          <w:color w:val="auto"/>
        </w:rPr>
      </w:pPr>
    </w:p>
    <w:p>
      <w:pPr>
        <w:ind w:left="1400" w:hanging="259"/>
        <w:spacing w:after="0"/>
        <w:tabs>
          <w:tab w:leader="none" w:pos="14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seek Party B’s prior written consent before carrying out any of the above activities;</w:t>
      </w:r>
    </w:p>
    <w:p>
      <w:pPr>
        <w:spacing w:after="0" w:line="225" w:lineRule="exact"/>
        <w:rPr>
          <w:rFonts w:ascii="Times New Roman" w:cs="Times New Roman" w:eastAsia="Times New Roman" w:hAnsi="Times New Roman"/>
          <w:sz w:val="18"/>
          <w:szCs w:val="18"/>
          <w:color w:val="auto"/>
        </w:rPr>
      </w:pPr>
    </w:p>
    <w:p>
      <w:pPr>
        <w:ind w:left="1400" w:hanging="259"/>
        <w:spacing w:after="0"/>
        <w:tabs>
          <w:tab w:leader="none" w:pos="14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entitled to arrange for Party A’s large-amount financings;</w:t>
      </w:r>
    </w:p>
    <w:p>
      <w:pPr>
        <w:spacing w:after="0" w:line="225" w:lineRule="exact"/>
        <w:rPr>
          <w:rFonts w:ascii="Times New Roman" w:cs="Times New Roman" w:eastAsia="Times New Roman" w:hAnsi="Times New Roman"/>
          <w:sz w:val="18"/>
          <w:szCs w:val="18"/>
          <w:color w:val="auto"/>
        </w:rPr>
      </w:pPr>
    </w:p>
    <w:p>
      <w:pPr>
        <w:ind w:left="1400" w:hanging="259"/>
        <w:spacing w:after="0"/>
        <w:tabs>
          <w:tab w:leader="none" w:pos="14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price and buyer of the assets shall be in compliance with the following:</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 other ways Party B deems fit.</w:t>
      </w:r>
    </w:p>
    <w:p>
      <w:pPr>
        <w:spacing w:after="0" w:line="225" w:lineRule="exact"/>
        <w:rPr>
          <w:sz w:val="20"/>
          <w:szCs w:val="20"/>
          <w:color w:val="auto"/>
        </w:rPr>
      </w:pPr>
    </w:p>
    <w:p>
      <w:pPr>
        <w:ind w:left="122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62" w:lineRule="exact"/>
        <w:rPr>
          <w:sz w:val="20"/>
          <w:szCs w:val="20"/>
          <w:color w:val="auto"/>
        </w:rPr>
      </w:pPr>
    </w:p>
    <w:p>
      <w:pPr>
        <w:ind w:left="122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6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Party B shall not bribe Party A or its employees, nor request any bribe or accept any bribe offered by Party A.</w:t>
      </w:r>
    </w:p>
    <w:p>
      <w:pPr>
        <w:spacing w:after="0" w:line="22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color w:val="auto"/>
        </w:rPr>
        <w:t>Party B shall not engage in any activity which is dishonest or will be detrimental to Party A’s lawful interests.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10. DEFAULT AND REMEDY</w:t>
      </w:r>
    </w:p>
    <w:p>
      <w:pPr>
        <w:spacing w:after="0" w:line="121"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Events of Default by Party B and Liabilities</w:t>
      </w:r>
    </w:p>
    <w:p>
      <w:pPr>
        <w:spacing w:after="0" w:line="225" w:lineRule="exact"/>
        <w:rPr>
          <w:sz w:val="20"/>
          <w:szCs w:val="20"/>
          <w:color w:val="auto"/>
        </w:rPr>
      </w:pPr>
    </w:p>
    <w:p>
      <w:pPr>
        <w:ind w:left="1620" w:hanging="410"/>
        <w:spacing w:after="0" w:line="282"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does not advance the Loan as provided herein without justifiable reason, Party A may request Party B to advance the Loan in accordance with the Contract.</w:t>
      </w:r>
    </w:p>
    <w:p>
      <w:pPr>
        <w:spacing w:after="0" w:line="161" w:lineRule="exact"/>
        <w:rPr>
          <w:rFonts w:ascii="Times New Roman" w:cs="Times New Roman" w:eastAsia="Times New Roman" w:hAnsi="Times New Roman"/>
          <w:sz w:val="18"/>
          <w:szCs w:val="18"/>
          <w:color w:val="auto"/>
        </w:rPr>
      </w:pPr>
    </w:p>
    <w:p>
      <w:pPr>
        <w:ind w:left="1540" w:right="20" w:hanging="330"/>
        <w:spacing w:after="0" w:line="282" w:lineRule="auto"/>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charges any interest or fee which is prohibited by the laws or regulations, Party A may request Party B to refund the interest or fee charged.</w:t>
      </w:r>
    </w:p>
    <w:p>
      <w:pPr>
        <w:spacing w:after="0" w:line="162"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color w:val="auto"/>
        </w:rPr>
        <w:t>10.2</w:t>
        <w:tab/>
        <w:t>Events of Default by Party A</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The events of default by Party A shall include:</w:t>
      </w:r>
    </w:p>
    <w:p>
      <w:pPr>
        <w:spacing w:after="0" w:line="225" w:lineRule="exact"/>
        <w:rPr>
          <w:sz w:val="20"/>
          <w:szCs w:val="20"/>
          <w:color w:val="auto"/>
        </w:rPr>
      </w:pPr>
    </w:p>
    <w:p>
      <w:pPr>
        <w:ind w:left="1620" w:hanging="396"/>
        <w:spacing w:after="0"/>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breaches any statutory obligation or any contractual obligation hereunder; and</w:t>
      </w:r>
    </w:p>
    <w:p>
      <w:pPr>
        <w:spacing w:after="0" w:line="225" w:lineRule="exact"/>
        <w:rPr>
          <w:rFonts w:ascii="Times New Roman" w:cs="Times New Roman" w:eastAsia="Times New Roman" w:hAnsi="Times New Roman"/>
          <w:sz w:val="18"/>
          <w:szCs w:val="18"/>
          <w:color w:val="auto"/>
        </w:rPr>
      </w:pPr>
    </w:p>
    <w:p>
      <w:pPr>
        <w:ind w:left="1620" w:hanging="396"/>
        <w:spacing w:after="0"/>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repudiated its obligations hereunder expressly or by its conduct.</w:t>
      </w:r>
    </w:p>
    <w:p>
      <w:pPr>
        <w:spacing w:after="0" w:line="225"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Events that may Adversely Impact Creditor’s Rights</w:t>
      </w:r>
    </w:p>
    <w:p>
      <w:pPr>
        <w:spacing w:after="0" w:line="225" w:lineRule="exact"/>
        <w:rPr>
          <w:sz w:val="20"/>
          <w:szCs w:val="20"/>
          <w:color w:val="auto"/>
        </w:rPr>
      </w:pPr>
    </w:p>
    <w:p>
      <w:pPr>
        <w:ind w:left="1540" w:hanging="330"/>
        <w:spacing w:after="0"/>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upon Party A which Party B believes may adversely impact its creditor’s rights:</w:t>
      </w:r>
    </w:p>
    <w:p>
      <w:pPr>
        <w:spacing w:after="0" w:line="225" w:lineRule="exact"/>
        <w:rPr>
          <w:rFonts w:ascii="Times New Roman" w:cs="Times New Roman" w:eastAsia="Times New Roman" w:hAnsi="Times New Roman"/>
          <w:sz w:val="18"/>
          <w:szCs w:val="18"/>
          <w:color w:val="auto"/>
        </w:rPr>
      </w:pPr>
    </w:p>
    <w:p>
      <w:pPr>
        <w:jc w:val="both"/>
        <w:ind w:left="1540" w:firstLine="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89" w:lineRule="exact"/>
        <w:rPr>
          <w:rFonts w:ascii="Times New Roman" w:cs="Times New Roman" w:eastAsia="Times New Roman" w:hAnsi="Times New Roman"/>
          <w:sz w:val="18"/>
          <w:szCs w:val="18"/>
          <w:color w:val="auto"/>
        </w:rPr>
      </w:pPr>
    </w:p>
    <w:p>
      <w:pPr>
        <w:ind w:left="1540" w:hanging="330"/>
        <w:spacing w:after="0"/>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which Party B believes may adversely impact its creditor’s rights:</w:t>
      </w:r>
    </w:p>
    <w:p>
      <w:pPr>
        <w:spacing w:after="0" w:line="225" w:lineRule="exact"/>
        <w:rPr>
          <w:rFonts w:ascii="Times New Roman" w:cs="Times New Roman" w:eastAsia="Times New Roman" w:hAnsi="Times New Roman"/>
          <w:sz w:val="18"/>
          <w:szCs w:val="18"/>
          <w:color w:val="auto"/>
        </w:rPr>
      </w:pPr>
    </w:p>
    <w:p>
      <w:pPr>
        <w:jc w:val="both"/>
        <w:ind w:left="1540" w:firstLine="1"/>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supervision);there are grave cross-defaults by Party A; profit-making capability of Party A’s core business is undesirable; there is irregularity in the use of loan;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36" w:name="page137"/>
    <w:bookmarkEnd w:id="136"/>
    <w:p>
      <w:pPr>
        <w:ind w:left="680" w:hanging="575"/>
        <w:spacing w:after="0" w:line="282" w:lineRule="auto"/>
        <w:tabs>
          <w:tab w:leader="none" w:pos="6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61" w:lineRule="exact"/>
        <w:rPr>
          <w:rFonts w:ascii="Times New Roman" w:cs="Times New Roman" w:eastAsia="Times New Roman" w:hAnsi="Times New Roman"/>
          <w:sz w:val="18"/>
          <w:szCs w:val="18"/>
          <w:color w:val="auto"/>
        </w:rPr>
      </w:pPr>
    </w:p>
    <w:p>
      <w:pPr>
        <w:ind w:left="680" w:hanging="575"/>
        <w:spacing w:after="0"/>
        <w:tabs>
          <w:tab w:leader="none" w:pos="6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conditions precedent to advance the Loan has not been satisfied continuously;</w:t>
      </w:r>
    </w:p>
    <w:p>
      <w:pPr>
        <w:spacing w:after="0" w:line="225" w:lineRule="exact"/>
        <w:rPr>
          <w:rFonts w:ascii="Times New Roman" w:cs="Times New Roman" w:eastAsia="Times New Roman" w:hAnsi="Times New Roman"/>
          <w:sz w:val="18"/>
          <w:szCs w:val="18"/>
          <w:color w:val="auto"/>
        </w:rPr>
      </w:pPr>
    </w:p>
    <w:p>
      <w:pPr>
        <w:ind w:left="680" w:hanging="575"/>
        <w:spacing w:after="0"/>
        <w:tabs>
          <w:tab w:leader="none" w:pos="6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upon the guarantor which Party B believes may adversely impact its creditor’s rights:</w:t>
      </w:r>
    </w:p>
    <w:p>
      <w:pPr>
        <w:spacing w:after="0" w:line="225" w:lineRule="exact"/>
        <w:rPr>
          <w:rFonts w:ascii="Times New Roman" w:cs="Times New Roman" w:eastAsia="Times New Roman" w:hAnsi="Times New Roman"/>
          <w:sz w:val="18"/>
          <w:szCs w:val="18"/>
          <w:color w:val="auto"/>
        </w:rPr>
      </w:pPr>
    </w:p>
    <w:p>
      <w:pPr>
        <w:ind w:left="1100" w:hanging="523"/>
        <w:spacing w:after="0" w:line="282" w:lineRule="auto"/>
        <w:tabs>
          <w:tab w:leader="none" w:pos="11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breaches any provision of the guarantee contract, or any of the representations and warranties it has made proves to be false, wrong or incomplete;</w:t>
      </w:r>
    </w:p>
    <w:p>
      <w:pPr>
        <w:spacing w:after="0" w:line="161" w:lineRule="exact"/>
        <w:rPr>
          <w:rFonts w:ascii="Times New Roman" w:cs="Times New Roman" w:eastAsia="Times New Roman" w:hAnsi="Times New Roman"/>
          <w:sz w:val="18"/>
          <w:szCs w:val="18"/>
          <w:color w:val="auto"/>
        </w:rPr>
      </w:pPr>
    </w:p>
    <w:p>
      <w:pPr>
        <w:jc w:val="both"/>
        <w:ind w:left="1100" w:hanging="523"/>
        <w:spacing w:after="0" w:line="254" w:lineRule="auto"/>
        <w:tabs>
          <w:tab w:leader="none" w:pos="11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89" w:lineRule="exact"/>
        <w:rPr>
          <w:rFonts w:ascii="Times New Roman" w:cs="Times New Roman" w:eastAsia="Times New Roman" w:hAnsi="Times New Roman"/>
          <w:sz w:val="18"/>
          <w:szCs w:val="18"/>
          <w:color w:val="auto"/>
        </w:rPr>
      </w:pPr>
    </w:p>
    <w:p>
      <w:pPr>
        <w:ind w:left="1100" w:hanging="523"/>
        <w:spacing w:after="0"/>
        <w:tabs>
          <w:tab w:leader="none" w:pos="11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in which the guarantor has lost or may lose its capability as guarantor.</w:t>
      </w:r>
    </w:p>
    <w:p>
      <w:pPr>
        <w:spacing w:after="0" w:line="225" w:lineRule="exact"/>
        <w:rPr>
          <w:rFonts w:ascii="Times New Roman" w:cs="Times New Roman" w:eastAsia="Times New Roman" w:hAnsi="Times New Roman"/>
          <w:sz w:val="18"/>
          <w:szCs w:val="18"/>
          <w:color w:val="auto"/>
        </w:rPr>
      </w:pPr>
    </w:p>
    <w:p>
      <w:pPr>
        <w:ind w:left="580" w:hanging="558"/>
        <w:spacing w:after="0" w:line="282" w:lineRule="auto"/>
        <w:tabs>
          <w:tab w:leader="none" w:pos="69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on the mortgage or pledge which Party B believes may adversely impact its creditor’s rights:</w:t>
      </w:r>
    </w:p>
    <w:p>
      <w:pPr>
        <w:spacing w:after="0" w:line="161" w:lineRule="exact"/>
        <w:rPr>
          <w:rFonts w:ascii="Times New Roman" w:cs="Times New Roman" w:eastAsia="Times New Roman" w:hAnsi="Times New Roman"/>
          <w:sz w:val="18"/>
          <w:szCs w:val="18"/>
          <w:color w:val="auto"/>
        </w:rPr>
      </w:pPr>
    </w:p>
    <w:p>
      <w:pPr>
        <w:jc w:val="both"/>
        <w:ind w:left="1100" w:hanging="523"/>
        <w:spacing w:after="0" w:line="266" w:lineRule="auto"/>
        <w:tabs>
          <w:tab w:leader="none" w:pos="110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76" w:lineRule="exact"/>
        <w:rPr>
          <w:rFonts w:ascii="Times New Roman" w:cs="Times New Roman" w:eastAsia="Times New Roman" w:hAnsi="Times New Roman"/>
          <w:sz w:val="18"/>
          <w:szCs w:val="18"/>
          <w:color w:val="auto"/>
        </w:rPr>
      </w:pPr>
    </w:p>
    <w:p>
      <w:pPr>
        <w:jc w:val="both"/>
        <w:ind w:left="1100" w:hanging="523"/>
        <w:spacing w:after="0" w:line="266" w:lineRule="auto"/>
        <w:tabs>
          <w:tab w:leader="none" w:pos="110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76" w:lineRule="exact"/>
        <w:rPr>
          <w:rFonts w:ascii="Times New Roman" w:cs="Times New Roman" w:eastAsia="Times New Roman" w:hAnsi="Times New Roman"/>
          <w:sz w:val="18"/>
          <w:szCs w:val="18"/>
          <w:color w:val="auto"/>
        </w:rPr>
      </w:pPr>
    </w:p>
    <w:p>
      <w:pPr>
        <w:ind w:left="1100" w:hanging="523"/>
        <w:spacing w:after="0" w:line="282" w:lineRule="auto"/>
        <w:tabs>
          <w:tab w:leader="none" w:pos="110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mortgagor or pledgor breaches any provision of the mortgage/pledge contract, or any of the representations and warranties it has made proves to be false, wrong or incomplete;</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37" w:name="page138"/>
    <w:bookmarkEnd w:id="137"/>
    <w:p>
      <w:pPr>
        <w:ind w:left="1640" w:hanging="523"/>
        <w:spacing w:after="0"/>
        <w:tabs>
          <w:tab w:leader="none" w:pos="16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that may adversely impact Party B’s ability to realize its mortgage or pledge.</w:t>
      </w:r>
    </w:p>
    <w:p>
      <w:pPr>
        <w:spacing w:after="0" w:line="225" w:lineRule="exact"/>
        <w:rPr>
          <w:rFonts w:ascii="Times New Roman" w:cs="Times New Roman" w:eastAsia="Times New Roman" w:hAnsi="Times New Roman"/>
          <w:sz w:val="18"/>
          <w:szCs w:val="18"/>
          <w:color w:val="auto"/>
        </w:rPr>
      </w:pPr>
    </w:p>
    <w:p>
      <w:pPr>
        <w:jc w:val="both"/>
        <w:ind w:left="1220" w:hanging="575"/>
        <w:spacing w:after="0" w:line="261" w:lineRule="auto"/>
        <w:tabs>
          <w:tab w:leader="none" w:pos="12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80" w:lineRule="exact"/>
        <w:rPr>
          <w:rFonts w:ascii="Times New Roman" w:cs="Times New Roman" w:eastAsia="Times New Roman" w:hAnsi="Times New Roman"/>
          <w:sz w:val="18"/>
          <w:szCs w:val="18"/>
          <w:color w:val="auto"/>
        </w:rPr>
      </w:pPr>
    </w:p>
    <w:p>
      <w:pPr>
        <w:ind w:left="1220" w:hanging="575"/>
        <w:spacing w:after="0"/>
        <w:tabs>
          <w:tab w:leader="none" w:pos="12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Party B’s Remedy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220" w:hanging="575"/>
        <w:spacing w:after="0"/>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stop advancing the Loan;</w:t>
      </w:r>
    </w:p>
    <w:p>
      <w:pPr>
        <w:spacing w:after="0" w:line="225" w:lineRule="exact"/>
        <w:rPr>
          <w:rFonts w:ascii="Times New Roman" w:cs="Times New Roman" w:eastAsia="Times New Roman" w:hAnsi="Times New Roman"/>
          <w:sz w:val="18"/>
          <w:szCs w:val="18"/>
          <w:color w:val="auto"/>
        </w:rPr>
      </w:pPr>
    </w:p>
    <w:p>
      <w:pPr>
        <w:ind w:left="1220" w:hanging="575"/>
        <w:spacing w:after="0"/>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for more conditions precedent for loan advance and payment;</w:t>
      </w:r>
    </w:p>
    <w:p>
      <w:pPr>
        <w:spacing w:after="0" w:line="225" w:lineRule="exact"/>
        <w:rPr>
          <w:rFonts w:ascii="Times New Roman" w:cs="Times New Roman" w:eastAsia="Times New Roman" w:hAnsi="Times New Roman"/>
          <w:sz w:val="18"/>
          <w:szCs w:val="18"/>
          <w:color w:val="auto"/>
        </w:rPr>
      </w:pPr>
    </w:p>
    <w:p>
      <w:pPr>
        <w:ind w:left="1220" w:hanging="575"/>
        <w:spacing w:after="0"/>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means of payment of loan in accordance with this Contract;</w:t>
      </w:r>
    </w:p>
    <w:p>
      <w:pPr>
        <w:spacing w:after="0" w:line="225" w:lineRule="exact"/>
        <w:rPr>
          <w:rFonts w:ascii="Times New Roman" w:cs="Times New Roman" w:eastAsia="Times New Roman" w:hAnsi="Times New Roman"/>
          <w:sz w:val="18"/>
          <w:szCs w:val="18"/>
          <w:color w:val="auto"/>
        </w:rPr>
      </w:pPr>
    </w:p>
    <w:p>
      <w:pPr>
        <w:ind w:left="1220" w:right="20" w:hanging="575"/>
        <w:spacing w:after="0" w:line="282" w:lineRule="auto"/>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declare the Loan immediately due and payable, and request Party A to repay immediately all the due and undue principal, interest and fees;</w:t>
      </w:r>
    </w:p>
    <w:p>
      <w:pPr>
        <w:spacing w:after="0" w:line="161" w:lineRule="exact"/>
        <w:rPr>
          <w:rFonts w:ascii="Times New Roman" w:cs="Times New Roman" w:eastAsia="Times New Roman" w:hAnsi="Times New Roman"/>
          <w:sz w:val="18"/>
          <w:szCs w:val="18"/>
          <w:color w:val="auto"/>
        </w:rPr>
      </w:pPr>
    </w:p>
    <w:p>
      <w:pPr>
        <w:ind w:left="1220" w:hanging="575"/>
        <w:spacing w:after="0" w:line="282" w:lineRule="auto"/>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Party A fails to make any drawdown in accordance with the Contract, Party B may hold Party A liable to pay a penalty equal to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 of the Loan proceeds not drawn and may reject Party A’s request for drawing such Loan;</w:t>
      </w:r>
    </w:p>
    <w:p>
      <w:pPr>
        <w:spacing w:after="0" w:line="161" w:lineRule="exact"/>
        <w:rPr>
          <w:rFonts w:ascii="Times New Roman" w:cs="Times New Roman" w:eastAsia="Times New Roman" w:hAnsi="Times New Roman"/>
          <w:sz w:val="18"/>
          <w:szCs w:val="18"/>
          <w:color w:val="auto"/>
        </w:rPr>
      </w:pPr>
    </w:p>
    <w:p>
      <w:pPr>
        <w:jc w:val="both"/>
        <w:ind w:left="1220" w:hanging="575"/>
        <w:spacing w:after="0" w:line="266" w:lineRule="auto"/>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76" w:lineRule="exact"/>
        <w:rPr>
          <w:rFonts w:ascii="Times New Roman" w:cs="Times New Roman" w:eastAsia="Times New Roman" w:hAnsi="Times New Roman"/>
          <w:sz w:val="18"/>
          <w:szCs w:val="18"/>
          <w:color w:val="auto"/>
        </w:rPr>
      </w:pPr>
    </w:p>
    <w:p>
      <w:pPr>
        <w:jc w:val="both"/>
        <w:ind w:left="1220" w:hanging="575"/>
        <w:spacing w:after="0" w:line="261" w:lineRule="auto"/>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0" w:lineRule="exact"/>
        <w:rPr>
          <w:rFonts w:ascii="Times New Roman" w:cs="Times New Roman" w:eastAsia="Times New Roman" w:hAnsi="Times New Roman"/>
          <w:sz w:val="18"/>
          <w:szCs w:val="18"/>
          <w:color w:val="auto"/>
        </w:rPr>
      </w:pPr>
    </w:p>
    <w:p>
      <w:pPr>
        <w:ind w:left="1200" w:firstLine="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62" w:lineRule="exact"/>
        <w:rPr>
          <w:sz w:val="20"/>
          <w:szCs w:val="20"/>
          <w:color w:val="auto"/>
        </w:rPr>
      </w:pPr>
    </w:p>
    <w:p>
      <w:pPr>
        <w:ind w:left="1200" w:firstLine="2"/>
        <w:spacing w:after="0" w:line="282" w:lineRule="auto"/>
        <w:rPr>
          <w:sz w:val="20"/>
          <w:szCs w:val="20"/>
          <w:color w:val="auto"/>
        </w:rPr>
      </w:pPr>
      <w:r>
        <w:rPr>
          <w:rFonts w:ascii="Times New Roman" w:cs="Times New Roman" w:eastAsia="Times New Roman" w:hAnsi="Times New Roman"/>
          <w:sz w:val="18"/>
          <w:szCs w:val="18"/>
          <w:color w:val="auto"/>
        </w:rPr>
        <w:t>Before any principal is overdue, the overdue interest shall be compounded in accordance with the interest rate and the interest settlement method as provided herein;</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138" w:name="page139"/>
    <w:bookmarkEnd w:id="138"/>
    <w:p>
      <w:pPr>
        <w:ind w:left="1880" w:hanging="575"/>
        <w:spacing w:after="0"/>
        <w:tabs>
          <w:tab w:leader="none" w:pos="18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remedies, including but not limited to:</w:t>
      </w:r>
    </w:p>
    <w:p>
      <w:pPr>
        <w:spacing w:after="0" w:line="225" w:lineRule="exact"/>
        <w:rPr>
          <w:rFonts w:ascii="Times New Roman" w:cs="Times New Roman" w:eastAsia="Times New Roman" w:hAnsi="Times New Roman"/>
          <w:sz w:val="18"/>
          <w:szCs w:val="18"/>
          <w:color w:val="auto"/>
        </w:rPr>
      </w:pPr>
    </w:p>
    <w:p>
      <w:pPr>
        <w:ind w:left="2300" w:right="20" w:hanging="523"/>
        <w:spacing w:after="0" w:line="282" w:lineRule="auto"/>
        <w:tabs>
          <w:tab w:leader="none" w:pos="23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debit Party A’s accounts at China Construction Bank in RMB or other currencies with corresponding amount without prior notice to Party A;</w:t>
      </w:r>
    </w:p>
    <w:p>
      <w:pPr>
        <w:spacing w:after="0" w:line="161" w:lineRule="exact"/>
        <w:rPr>
          <w:rFonts w:ascii="Times New Roman" w:cs="Times New Roman" w:eastAsia="Times New Roman" w:hAnsi="Times New Roman"/>
          <w:sz w:val="18"/>
          <w:szCs w:val="18"/>
          <w:color w:val="auto"/>
        </w:rPr>
      </w:pPr>
    </w:p>
    <w:p>
      <w:pPr>
        <w:ind w:left="2300" w:hanging="523"/>
        <w:spacing w:after="0"/>
        <w:tabs>
          <w:tab w:leader="none" w:pos="23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its rights under the security interest;</w:t>
      </w:r>
    </w:p>
    <w:p>
      <w:pPr>
        <w:spacing w:after="0" w:line="225" w:lineRule="exact"/>
        <w:rPr>
          <w:rFonts w:ascii="Times New Roman" w:cs="Times New Roman" w:eastAsia="Times New Roman" w:hAnsi="Times New Roman"/>
          <w:sz w:val="18"/>
          <w:szCs w:val="18"/>
          <w:color w:val="auto"/>
        </w:rPr>
      </w:pPr>
    </w:p>
    <w:p>
      <w:pPr>
        <w:ind w:left="2300" w:hanging="523"/>
        <w:spacing w:after="0"/>
        <w:tabs>
          <w:tab w:leader="none" w:pos="23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Party A to provide new security satisfactory to Party B for all the debts of Party A hereunder;</w:t>
      </w:r>
    </w:p>
    <w:p>
      <w:pPr>
        <w:spacing w:after="0" w:line="225" w:lineRule="exact"/>
        <w:rPr>
          <w:rFonts w:ascii="Times New Roman" w:cs="Times New Roman" w:eastAsia="Times New Roman" w:hAnsi="Times New Roman"/>
          <w:sz w:val="18"/>
          <w:szCs w:val="18"/>
          <w:color w:val="auto"/>
        </w:rPr>
      </w:pPr>
    </w:p>
    <w:p>
      <w:pPr>
        <w:ind w:left="2300" w:right="20" w:hanging="523"/>
        <w:spacing w:after="0" w:line="282" w:lineRule="auto"/>
        <w:tabs>
          <w:tab w:leader="none" w:pos="23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decline Party A’s request to dispose of its deposits of corresponding amount, within any account opened with any branch of China Construction Bank (including without limitation the account to collect sale proceeds);</w:t>
      </w:r>
    </w:p>
    <w:p>
      <w:pPr>
        <w:spacing w:after="0" w:line="161" w:lineRule="exact"/>
        <w:rPr>
          <w:rFonts w:ascii="Times New Roman" w:cs="Times New Roman" w:eastAsia="Times New Roman" w:hAnsi="Times New Roman"/>
          <w:sz w:val="18"/>
          <w:szCs w:val="18"/>
          <w:color w:val="auto"/>
        </w:rPr>
      </w:pPr>
    </w:p>
    <w:p>
      <w:pPr>
        <w:ind w:left="2300" w:hanging="523"/>
        <w:spacing w:after="0"/>
        <w:tabs>
          <w:tab w:leader="none" w:pos="23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the Contract.</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Cost Allocation</w:t>
      </w:r>
    </w:p>
    <w:p>
      <w:pPr>
        <w:spacing w:after="0" w:line="225" w:lineRule="exact"/>
        <w:rPr>
          <w:sz w:val="20"/>
          <w:szCs w:val="20"/>
          <w:color w:val="auto"/>
        </w:rPr>
      </w:pPr>
    </w:p>
    <w:p>
      <w:pPr>
        <w:jc w:val="both"/>
        <w:ind w:left="1880" w:hanging="575"/>
        <w:spacing w:after="0" w:line="266" w:lineRule="auto"/>
        <w:tabs>
          <w:tab w:leader="none" w:pos="18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76"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other fees the parties agree as follows: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Use of Party A’s Information</w:t>
      </w:r>
    </w:p>
    <w:p>
      <w:pPr>
        <w:spacing w:after="0" w:line="225" w:lineRule="exact"/>
        <w:rPr>
          <w:sz w:val="20"/>
          <w:szCs w:val="20"/>
          <w:color w:val="auto"/>
        </w:rPr>
      </w:pPr>
    </w:p>
    <w:p>
      <w:pPr>
        <w:jc w:val="both"/>
        <w:ind w:left="1220" w:right="20"/>
        <w:spacing w:after="0" w:line="266" w:lineRule="auto"/>
        <w:rPr>
          <w:sz w:val="20"/>
          <w:szCs w:val="20"/>
          <w:color w:val="auto"/>
        </w:rPr>
      </w:pPr>
      <w:r>
        <w:rPr>
          <w:rFonts w:ascii="Times New Roman" w:cs="Times New Roman" w:eastAsia="Times New Roman" w:hAnsi="Times New Roman"/>
          <w:sz w:val="18"/>
          <w:szCs w:val="18"/>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7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Collection by Public Announcement</w:t>
      </w:r>
    </w:p>
    <w:p>
      <w:pPr>
        <w:spacing w:after="0" w:line="225" w:lineRule="exact"/>
        <w:rPr>
          <w:sz w:val="20"/>
          <w:szCs w:val="20"/>
          <w:color w:val="auto"/>
        </w:rPr>
      </w:pPr>
    </w:p>
    <w:p>
      <w:pPr>
        <w:jc w:val="both"/>
        <w:ind w:left="1220"/>
        <w:spacing w:after="0" w:line="282" w:lineRule="auto"/>
        <w:rPr>
          <w:sz w:val="20"/>
          <w:szCs w:val="20"/>
          <w:color w:val="auto"/>
        </w:rPr>
      </w:pPr>
      <w:r>
        <w:rPr>
          <w:rFonts w:ascii="Times New Roman" w:cs="Times New Roman" w:eastAsia="Times New Roman" w:hAnsi="Times New Roman"/>
          <w:sz w:val="18"/>
          <w:szCs w:val="18"/>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6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Party B’s Record as Evidence</w:t>
      </w:r>
    </w:p>
    <w:p>
      <w:pPr>
        <w:spacing w:after="0" w:line="225"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18"/>
          <w:szCs w:val="18"/>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9" w:name="page140"/>
    <w:bookmarkEnd w:id="139"/>
    <w:p>
      <w:pPr>
        <w:spacing w:after="0"/>
        <w:tabs>
          <w:tab w:leader="none" w:pos="5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No Waivers</w:t>
      </w:r>
    </w:p>
    <w:p>
      <w:pPr>
        <w:spacing w:after="0" w:line="225" w:lineRule="exact"/>
        <w:rPr>
          <w:sz w:val="20"/>
          <w:szCs w:val="20"/>
          <w:color w:val="auto"/>
        </w:rPr>
      </w:pPr>
    </w:p>
    <w:p>
      <w:pPr>
        <w:jc w:val="both"/>
        <w:ind w:left="560"/>
        <w:spacing w:after="0" w:line="258" w:lineRule="auto"/>
        <w:rPr>
          <w:sz w:val="20"/>
          <w:szCs w:val="20"/>
          <w:color w:val="auto"/>
        </w:rPr>
      </w:pPr>
      <w:r>
        <w:rPr>
          <w:rFonts w:ascii="Times New Roman" w:cs="Times New Roman" w:eastAsia="Times New Roman" w:hAnsi="Times New Roman"/>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4" w:lineRule="exact"/>
        <w:rPr>
          <w:sz w:val="20"/>
          <w:szCs w:val="20"/>
          <w:color w:val="auto"/>
        </w:rPr>
      </w:pPr>
    </w:p>
    <w:p>
      <w:pPr>
        <w:jc w:val="both"/>
        <w:ind w:left="560" w:hanging="566"/>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11.6</w:t>
        <w:tab/>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76" w:lineRule="exact"/>
        <w:rPr>
          <w:sz w:val="20"/>
          <w:szCs w:val="20"/>
          <w:color w:val="auto"/>
        </w:rPr>
      </w:pPr>
    </w:p>
    <w:p>
      <w:pPr>
        <w:jc w:val="both"/>
        <w:ind w:left="56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11.7</w:t>
        <w:tab/>
        <w:t>In the event of any change to the address or other contact information, Party A shall promptly notify Party B of such change in writing. Party A shall be liable for any loss caused by its failure of giving prompt notice of such change.</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Direct Debit Right</w:t>
      </w:r>
    </w:p>
    <w:p>
      <w:pPr>
        <w:spacing w:after="0" w:line="225"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Dispute Resolution</w:t>
      </w:r>
    </w:p>
    <w:p>
      <w:pPr>
        <w:spacing w:after="0" w:line="225" w:lineRule="exact"/>
        <w:rPr>
          <w:sz w:val="20"/>
          <w:szCs w:val="20"/>
          <w:color w:val="auto"/>
        </w:rPr>
      </w:pPr>
    </w:p>
    <w:p>
      <w:pPr>
        <w:jc w:val="both"/>
        <w:ind w:left="560"/>
        <w:spacing w:after="0" w:line="282" w:lineRule="auto"/>
        <w:rPr>
          <w:sz w:val="20"/>
          <w:szCs w:val="20"/>
          <w:color w:val="auto"/>
        </w:rPr>
      </w:pPr>
      <w:r>
        <w:rPr>
          <w:rFonts w:ascii="Times New Roman" w:cs="Times New Roman" w:eastAsia="Times New Roman" w:hAnsi="Times New Roman"/>
          <w:sz w:val="18"/>
          <w:szCs w:val="18"/>
          <w:color w:val="auto"/>
        </w:rPr>
        <w:t xml:space="preserve">Any dispute arising from the performance of the Contract may be settled by consultation. If the dispute cannot be resolved through consultation, such dispute shall be submitted to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[please select from below]:</w:t>
      </w:r>
    </w:p>
    <w:p>
      <w:pPr>
        <w:spacing w:after="0" w:line="162" w:lineRule="exact"/>
        <w:rPr>
          <w:sz w:val="20"/>
          <w:szCs w:val="20"/>
          <w:color w:val="auto"/>
        </w:rPr>
      </w:pPr>
    </w:p>
    <w:p>
      <w:pPr>
        <w:ind w:left="1220" w:hanging="575"/>
        <w:spacing w:after="0"/>
        <w:tabs>
          <w:tab w:leader="none" w:pos="12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People’s court within the jurisdiction where Party B is located.</w:t>
      </w:r>
    </w:p>
    <w:p>
      <w:pPr>
        <w:spacing w:after="0" w:line="225" w:lineRule="exact"/>
        <w:rPr>
          <w:rFonts w:ascii="Times New Roman" w:cs="Times New Roman" w:eastAsia="Times New Roman" w:hAnsi="Times New Roman"/>
          <w:sz w:val="18"/>
          <w:szCs w:val="18"/>
          <w:color w:val="auto"/>
        </w:rPr>
      </w:pPr>
    </w:p>
    <w:p>
      <w:pPr>
        <w:ind w:left="1220" w:hanging="575"/>
        <w:spacing w:after="0" w:line="282" w:lineRule="auto"/>
        <w:tabs>
          <w:tab w:leader="none" w:pos="12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of the arbitration committee] for arbitration at </w:t>
      </w:r>
      <w:r>
        <w:rPr>
          <w:rFonts w:ascii="Times New Roman" w:cs="Times New Roman" w:eastAsia="Times New Roman" w:hAnsi="Times New Roman"/>
          <w:sz w:val="18"/>
          <w:szCs w:val="18"/>
          <w:u w:val="single" w:color="auto"/>
          <w:color w:val="auto"/>
        </w:rPr>
        <w:t>____</w:t>
      </w:r>
      <w:r>
        <w:rPr>
          <w:rFonts w:ascii="Times New Roman" w:cs="Times New Roman" w:eastAsia="Times New Roman" w:hAnsi="Times New Roman"/>
          <w:sz w:val="18"/>
          <w:szCs w:val="18"/>
          <w:color w:val="auto"/>
        </w:rPr>
        <w:t xml:space="preserve"> [place of arbitration] in accordance with the then prevailing arbitration rules. The arbitration award shall be final and binding on both Party A and Party B.</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40" w:name="page141"/>
    <w:bookmarkEnd w:id="140"/>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11.10</w:t>
        <w:tab/>
        <w:t>Effectiveness of the Contract</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The Contract shall become effective upon:</w:t>
      </w:r>
    </w:p>
    <w:p>
      <w:pPr>
        <w:spacing w:after="0" w:line="225" w:lineRule="exact"/>
        <w:rPr>
          <w:sz w:val="20"/>
          <w:szCs w:val="20"/>
          <w:color w:val="auto"/>
        </w:rPr>
      </w:pPr>
    </w:p>
    <w:p>
      <w:pPr>
        <w:ind w:left="1880" w:right="20" w:hanging="575"/>
        <w:spacing w:after="0" w:line="282" w:lineRule="auto"/>
        <w:tabs>
          <w:tab w:leader="none" w:pos="18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by the legal representative/(principal officer) or authorized representative of Party A and being affixed with the company chop of Party A; and</w:t>
      </w:r>
    </w:p>
    <w:p>
      <w:pPr>
        <w:spacing w:after="0" w:line="161" w:lineRule="exact"/>
        <w:rPr>
          <w:rFonts w:ascii="Times New Roman" w:cs="Times New Roman" w:eastAsia="Times New Roman" w:hAnsi="Times New Roman"/>
          <w:sz w:val="18"/>
          <w:szCs w:val="18"/>
          <w:color w:val="auto"/>
        </w:rPr>
      </w:pPr>
    </w:p>
    <w:p>
      <w:pPr>
        <w:ind w:left="1880" w:hanging="575"/>
        <w:spacing w:after="0" w:line="282" w:lineRule="auto"/>
        <w:tabs>
          <w:tab w:leader="none" w:pos="18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5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11.11</w:t>
        <w:tab/>
        <w:t xml:space="preserve">The Contract shall be executed in </w:t>
      </w:r>
      <w:r>
        <w:rPr>
          <w:rFonts w:ascii="Times New Roman" w:cs="Times New Roman" w:eastAsia="Times New Roman" w:hAnsi="Times New Roman"/>
          <w:sz w:val="18"/>
          <w:szCs w:val="18"/>
          <w:b w:val="1"/>
          <w:bCs w:val="1"/>
          <w:color w:val="auto"/>
        </w:rPr>
        <w:t>_______</w:t>
      </w:r>
      <w:r>
        <w:rPr>
          <w:rFonts w:ascii="Times New Roman" w:cs="Times New Roman" w:eastAsia="Times New Roman" w:hAnsi="Times New Roman"/>
          <w:sz w:val="18"/>
          <w:szCs w:val="18"/>
          <w:color w:val="auto"/>
        </w:rPr>
        <w:t xml:space="preserve"> counterparts.</w:t>
      </w:r>
    </w:p>
    <w:p>
      <w:pPr>
        <w:spacing w:after="0" w:line="22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color w:val="auto"/>
        </w:rPr>
        <w:t>Other Provisions: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REPRESENTATIONS</w:t>
      </w:r>
    </w:p>
    <w:p>
      <w:pPr>
        <w:spacing w:after="0" w:line="12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Party A clearly understands the business scope and authorization limit of Party B.</w:t>
      </w:r>
    </w:p>
    <w:p>
      <w:pPr>
        <w:spacing w:after="0" w:line="225" w:lineRule="exact"/>
        <w:rPr>
          <w:sz w:val="20"/>
          <w:szCs w:val="20"/>
          <w:color w:val="auto"/>
        </w:rPr>
      </w:pPr>
    </w:p>
    <w:p>
      <w:pPr>
        <w:jc w:val="both"/>
        <w:ind w:left="1220" w:right="2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62" w:lineRule="exact"/>
        <w:rPr>
          <w:sz w:val="20"/>
          <w:szCs w:val="20"/>
          <w:color w:val="auto"/>
        </w:rPr>
      </w:pPr>
    </w:p>
    <w:p>
      <w:pPr>
        <w:jc w:val="both"/>
        <w:ind w:left="1220" w:hanging="566"/>
        <w:spacing w:after="0" w:line="266" w:lineRule="auto"/>
        <w:tabs>
          <w:tab w:leader="none" w:pos="1200" w:val="left"/>
        </w:tabs>
        <w:rPr>
          <w:sz w:val="20"/>
          <w:szCs w:val="20"/>
          <w:color w:val="auto"/>
        </w:rPr>
      </w:pPr>
      <w:r>
        <w:rPr>
          <w:rFonts w:ascii="Times New Roman" w:cs="Times New Roman" w:eastAsia="Times New Roman" w:hAnsi="Times New Roman"/>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7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Party A carries out production and operation in compliance with laws and regulations.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12.5</w:t>
        <w:tab/>
        <w:t>Party A has the capability to keep its business going and has the legitimate sources to repay the loan.</w:t>
      </w:r>
    </w:p>
    <w:p>
      <w:pPr>
        <w:spacing w:after="0" w:line="225" w:lineRule="exact"/>
        <w:rPr>
          <w:sz w:val="20"/>
          <w:szCs w:val="20"/>
          <w:color w:val="auto"/>
        </w:rPr>
      </w:pPr>
    </w:p>
    <w:p>
      <w:pPr>
        <w:jc w:val="both"/>
        <w:ind w:left="122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12.6</w:t>
        <w:tab/>
        <w:t>Party A warrants that the loan amount requested under this Contract is no more than necessary to meet the real needs of Party A for the purposes specified herein.</w:t>
      </w:r>
    </w:p>
    <w:p>
      <w:pPr>
        <w:spacing w:after="0" w:line="16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12.7</w:t>
        <w:tab/>
        <w:t>Both Party A and its controlling shareholder have good financial standing and have no record of gross misconducts.</w:t>
      </w:r>
    </w:p>
    <w:p>
      <w:pPr>
        <w:spacing w:after="0" w:line="225" w:lineRule="exact"/>
        <w:rPr>
          <w:sz w:val="20"/>
          <w:szCs w:val="20"/>
          <w:color w:val="auto"/>
        </w:rPr>
      </w:pPr>
    </w:p>
    <w:p>
      <w:pPr>
        <w:jc w:val="both"/>
        <w:ind w:left="1220" w:right="2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62" w:lineRule="exact"/>
        <w:rPr>
          <w:sz w:val="20"/>
          <w:szCs w:val="20"/>
          <w:color w:val="auto"/>
        </w:rPr>
      </w:pPr>
    </w:p>
    <w:p>
      <w:pPr>
        <w:jc w:val="both"/>
        <w:ind w:left="1220" w:hanging="566"/>
        <w:spacing w:after="0" w:line="256" w:lineRule="auto"/>
        <w:tabs>
          <w:tab w:leader="none" w:pos="1200" w:val="left"/>
        </w:tabs>
        <w:rPr>
          <w:sz w:val="20"/>
          <w:szCs w:val="20"/>
          <w:color w:val="auto"/>
        </w:rPr>
      </w:pPr>
      <w:r>
        <w:rPr>
          <w:rFonts w:ascii="Times New Roman" w:cs="Times New Roman" w:eastAsia="Times New Roman" w:hAnsi="Times New Roman"/>
          <w:sz w:val="18"/>
          <w:szCs w:val="18"/>
          <w:color w:val="auto"/>
        </w:rPr>
        <w:t>12.9</w:t>
        <w:tab/>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 xml:space="preserve">Party A </w:t>
      </w:r>
      <w:r>
        <w:rPr>
          <w:rFonts w:ascii="Times New Roman" w:cs="Times New Roman" w:eastAsia="Times New Roman" w:hAnsi="Times New Roman"/>
          <w:sz w:val="18"/>
          <w:szCs w:val="18"/>
          <w:color w:val="auto"/>
        </w:rPr>
        <w:t>(Company Chop)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legal representative (principal officer) or authorized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(Company Chop)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Loan Information</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Specific purposes of the loan:</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This Loan is used for company’s daily operation expense, including material purchase payment and employee’s salary.</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Party A shall not change the purpose of the loan without Party B’s written consent.</w:t>
      </w:r>
    </w:p>
    <w:p>
      <w:pPr>
        <w:spacing w:after="0" w:line="333" w:lineRule="exact"/>
        <w:rPr>
          <w:sz w:val="20"/>
          <w:szCs w:val="20"/>
          <w:color w:val="auto"/>
        </w:rPr>
      </w:pPr>
    </w:p>
    <w:p>
      <w:pPr>
        <w:ind w:left="820" w:right="7400" w:hanging="434"/>
        <w:spacing w:after="0" w:line="445" w:lineRule="auto"/>
        <w:tabs>
          <w:tab w:leader="none" w:pos="56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Sources of funds for loan repayment: </w:t>
      </w:r>
      <w:r>
        <w:rPr>
          <w:rFonts w:ascii="Times New Roman" w:cs="Times New Roman" w:eastAsia="Times New Roman" w:hAnsi="Times New Roman"/>
          <w:sz w:val="17"/>
          <w:szCs w:val="17"/>
          <w:u w:val="single" w:color="auto"/>
          <w:color w:val="auto"/>
        </w:rPr>
        <w:t>Company’s proceeds of sales.</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Party A guarantees the truthfulness and legality of such sources of funds and the steadiness and adequacy of cash flows of such sources.</w:t>
      </w:r>
    </w:p>
    <w:p>
      <w:pPr>
        <w:spacing w:after="0" w:line="345" w:lineRule="exact"/>
        <w:rPr>
          <w:sz w:val="20"/>
          <w:szCs w:val="20"/>
          <w:color w:val="auto"/>
        </w:rPr>
      </w:pPr>
    </w:p>
    <w:p>
      <w:pPr>
        <w:ind w:left="560" w:hanging="174"/>
        <w:spacing w:after="0"/>
        <w:tabs>
          <w:tab w:leader="none" w:pos="5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11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657" w:right="10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Mandatory Financial Indicators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Financial indicators of Party A shall on a continuous basis meet the following requirements: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Maximum Monthly Capital/Debt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Minimum Current Ratio:</w:t>
            </w:r>
          </w:p>
        </w:tc>
        <w:tc>
          <w:tcPr>
            <w:tcW w:w="5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Minimum liquidity Ratio:</w:t>
            </w:r>
          </w:p>
        </w:tc>
        <w:tc>
          <w:tcPr>
            <w:tcW w:w="5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9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Maximum contingency liability/Capital</w:t>
            </w:r>
          </w:p>
        </w:tc>
        <w:tc>
          <w:tcPr>
            <w:tcW w:w="12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42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Maximum accumulated long term investment/Capital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420"/>
        <w:spacing w:after="0" w:line="282" w:lineRule="auto"/>
        <w:rPr>
          <w:sz w:val="20"/>
          <w:szCs w:val="20"/>
          <w:color w:val="auto"/>
        </w:rPr>
      </w:pPr>
      <w:r>
        <w:rPr>
          <w:rFonts w:ascii="Times New Roman" w:cs="Times New Roman" w:eastAsia="Times New Roman" w:hAnsi="Times New Roman"/>
          <w:sz w:val="18"/>
          <w:szCs w:val="18"/>
          <w:color w:val="auto"/>
        </w:rPr>
        <w:t xml:space="preserve">Party B has the right to change unilaterally such requirements as to mandatory indicators provided that </w:t>
      </w:r>
      <w:r>
        <w:rPr>
          <w:rFonts w:ascii="Times New Roman" w:cs="Times New Roman" w:eastAsia="Times New Roman" w:hAnsi="Times New Roman"/>
          <w:sz w:val="18"/>
          <w:szCs w:val="18"/>
          <w:u w:val="single" w:color="auto"/>
          <w:color w:val="auto"/>
        </w:rPr>
        <w:t>FIVE</w:t>
      </w:r>
      <w:r>
        <w:rPr>
          <w:rFonts w:ascii="Times New Roman" w:cs="Times New Roman" w:eastAsia="Times New Roman" w:hAnsi="Times New Roman"/>
          <w:sz w:val="18"/>
          <w:szCs w:val="18"/>
          <w:color w:val="auto"/>
        </w:rPr>
        <w:t xml:space="preserve"> working-day advanced notice is issued to Party A.</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for Loan Drawdown</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240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of Drawdown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No.</w:t>
            </w:r>
          </w:p>
        </w:tc>
        <w:tc>
          <w:tcPr>
            <w:tcW w:w="2420" w:type="dxa"/>
            <w:vAlign w:val="bottom"/>
            <w:tcBorders>
              <w:top w:val="single" w:sz="8" w:color="auto"/>
              <w:right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rPr>
              <w:t>Proposed Purpose</w:t>
            </w:r>
          </w:p>
        </w:tc>
        <w:tc>
          <w:tcPr>
            <w:tcW w:w="2720" w:type="dxa"/>
            <w:vAlign w:val="bottom"/>
            <w:tcBorders>
              <w:top w:val="single" w:sz="8" w:color="auto"/>
              <w:right w:val="single" w:sz="8" w:color="auto"/>
            </w:tcBorders>
          </w:tcPr>
          <w:p>
            <w:pPr>
              <w:ind w:left="360"/>
              <w:spacing w:after="0" w:line="191" w:lineRule="exact"/>
              <w:rPr>
                <w:sz w:val="20"/>
                <w:szCs w:val="20"/>
                <w:color w:val="auto"/>
              </w:rPr>
            </w:pPr>
            <w:r>
              <w:rPr>
                <w:rFonts w:ascii="Times New Roman" w:cs="Times New Roman" w:eastAsia="Times New Roman" w:hAnsi="Times New Roman"/>
                <w:sz w:val="18"/>
                <w:szCs w:val="18"/>
                <w:color w:val="auto"/>
              </w:rPr>
              <w:t>Proposed Payment Amount</w:t>
            </w:r>
          </w:p>
        </w:tc>
        <w:tc>
          <w:tcPr>
            <w:tcW w:w="398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Recipient</w:t>
            </w:r>
          </w:p>
        </w:tc>
        <w:tc>
          <w:tcPr>
            <w:tcW w:w="1360" w:type="dxa"/>
            <w:vAlign w:val="bottom"/>
            <w:tcBorders>
              <w:top w:val="single" w:sz="8" w:color="auto"/>
            </w:tcBorders>
          </w:tcPr>
          <w:p>
            <w:pPr>
              <w:ind w:left="460"/>
              <w:spacing w:after="0" w:line="191" w:lineRule="exact"/>
              <w:rPr>
                <w:sz w:val="20"/>
                <w:szCs w:val="20"/>
                <w:color w:val="auto"/>
              </w:rPr>
            </w:pPr>
            <w:r>
              <w:rPr>
                <w:rFonts w:ascii="Times New Roman" w:cs="Times New Roman" w:eastAsia="Times New Roman" w:hAnsi="Times New Roman"/>
                <w:sz w:val="18"/>
                <w:szCs w:val="18"/>
                <w:color w:val="auto"/>
              </w:rPr>
              <w:t>Notes</w:t>
            </w:r>
          </w:p>
        </w:tc>
      </w:tr>
      <w:tr>
        <w:trPr>
          <w:trHeight w:val="234"/>
        </w:trPr>
        <w:tc>
          <w:tcPr>
            <w:tcW w:w="9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(if any)</w:t>
            </w: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1"/>
        </w:trPr>
        <w:tc>
          <w:tcPr>
            <w:tcW w:w="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242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4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8"/>
                <w:szCs w:val="18"/>
                <w:color w:val="auto"/>
              </w:rPr>
              <w:t>RMB (CAPITALIZE WORDS)</w:t>
            </w:r>
          </w:p>
        </w:tc>
        <w:tc>
          <w:tcPr>
            <w:tcW w:w="13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of the Borrower (company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report on payment at Party A’s initiative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426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42697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of Delivery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NO.</w:t>
            </w:r>
          </w:p>
        </w:tc>
        <w:tc>
          <w:tcPr>
            <w:tcW w:w="188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Actual purpose of the</w:t>
            </w:r>
          </w:p>
        </w:tc>
        <w:tc>
          <w:tcPr>
            <w:tcW w:w="114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Recipient</w:t>
            </w:r>
          </w:p>
        </w:tc>
        <w:tc>
          <w:tcPr>
            <w:tcW w:w="82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540" w:type="dxa"/>
            <w:vAlign w:val="bottom"/>
            <w:tcBorders>
              <w:top w:val="single" w:sz="8" w:color="auto"/>
              <w:right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Evidencing</w:t>
            </w:r>
          </w:p>
        </w:tc>
        <w:tc>
          <w:tcPr>
            <w:tcW w:w="4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Whether or not in compliance with the purpose specified in this</w:t>
            </w:r>
          </w:p>
        </w:tc>
        <w:tc>
          <w:tcPr>
            <w:tcW w:w="0" w:type="dxa"/>
            <w:vAlign w:val="bottom"/>
          </w:tcPr>
          <w:p>
            <w:pPr>
              <w:spacing w:after="0"/>
              <w:rPr>
                <w:sz w:val="1"/>
                <w:szCs w:val="1"/>
                <w:color w:val="auto"/>
              </w:rPr>
            </w:pPr>
          </w:p>
        </w:tc>
      </w:tr>
      <w:tr>
        <w:trPr>
          <w:trHeight w:val="126"/>
        </w:trPr>
        <w:tc>
          <w:tcPr>
            <w:tcW w:w="118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Loan</w:t>
            </w:r>
          </w:p>
        </w:tc>
        <w:tc>
          <w:tcPr>
            <w:tcW w:w="11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Materials</w:t>
            </w:r>
          </w:p>
        </w:tc>
        <w:tc>
          <w:tcPr>
            <w:tcW w:w="4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Contract</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vMerge w:val="continue"/>
          </w:tcPr>
          <w:p>
            <w:pPr>
              <w:spacing w:after="0"/>
              <w:rPr>
                <w:sz w:val="9"/>
                <w:szCs w:val="9"/>
                <w:color w:val="auto"/>
              </w:rPr>
            </w:pPr>
          </w:p>
        </w:tc>
        <w:tc>
          <w:tcPr>
            <w:tcW w:w="4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1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RMB (CAPITALIZE WORDS)</w:t>
            </w:r>
          </w:p>
        </w:tc>
        <w:tc>
          <w:tcPr>
            <w:tcW w:w="0" w:type="dxa"/>
            <w:vAlign w:val="bottom"/>
          </w:tcPr>
          <w:p>
            <w:pPr>
              <w:spacing w:after="0"/>
              <w:rPr>
                <w:sz w:val="1"/>
                <w:szCs w:val="1"/>
                <w:color w:val="auto"/>
              </w:rPr>
            </w:pPr>
          </w:p>
        </w:tc>
      </w:tr>
      <w:tr>
        <w:trPr>
          <w:trHeight w:val="642"/>
        </w:trPr>
        <w:tc>
          <w:tcPr>
            <w:tcW w:w="3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Name of the Borrower (company seal):</w:t>
            </w: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Internal</w:t>
            </w:r>
          </w:p>
        </w:tc>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Relationship Manager (signature):</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review</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Officer in charge of reviewing loan advances and payments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Schedule A to Form of USD Trust Receipt Loan Agreement</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4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Loan Expiration</w:t>
            </w:r>
          </w:p>
        </w:tc>
        <w:tc>
          <w:tcPr>
            <w:tcW w:w="15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Loan Amount</w:t>
            </w:r>
          </w:p>
        </w:tc>
        <w:tc>
          <w:tcPr>
            <w:tcW w:w="296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Loan Rate</w:t>
            </w:r>
          </w:p>
        </w:tc>
        <w:tc>
          <w:tcPr>
            <w:tcW w:w="148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14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2260" w:type="dxa"/>
            <w:vAlign w:val="bottom"/>
            <w:tcBorders>
              <w:right w:val="single" w:sz="8" w:color="auto"/>
            </w:tcBorders>
          </w:tcPr>
          <w:p>
            <w:pPr>
              <w:spacing w:after="0"/>
              <w:rPr>
                <w:sz w:val="18"/>
                <w:szCs w:val="18"/>
                <w:color w:val="auto"/>
              </w:rPr>
            </w:pPr>
          </w:p>
        </w:tc>
      </w:tr>
      <w:tr>
        <w:trPr>
          <w:trHeight w:val="238"/>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1740" w:type="dxa"/>
            <w:vAlign w:val="bottom"/>
            <w:tcBorders>
              <w:left w:val="single" w:sz="8" w:color="auto"/>
              <w:right w:val="single" w:sz="8" w:color="auto"/>
            </w:tcBorders>
            <w:shd w:val="clear" w:color="auto" w:fill="EEEEEE"/>
          </w:tcPr>
          <w:p>
            <w:pPr>
              <w:ind w:left="120"/>
              <w:spacing w:after="0" w:line="191" w:lineRule="exact"/>
              <w:rPr>
                <w:sz w:val="20"/>
                <w:szCs w:val="20"/>
                <w:color w:val="auto"/>
              </w:rPr>
            </w:pPr>
            <w:r>
              <w:rPr>
                <w:rFonts w:ascii="Times New Roman" w:cs="Times New Roman" w:eastAsia="Times New Roman" w:hAnsi="Times New Roman"/>
                <w:sz w:val="18"/>
                <w:szCs w:val="18"/>
                <w:color w:val="auto"/>
              </w:rPr>
              <w:t>November 26, 2014</w:t>
            </w:r>
          </w:p>
        </w:tc>
        <w:tc>
          <w:tcPr>
            <w:tcW w:w="1480" w:type="dxa"/>
            <w:vAlign w:val="bottom"/>
            <w:tcBorders>
              <w:right w:val="single" w:sz="8" w:color="auto"/>
            </w:tcBorders>
            <w:shd w:val="clear" w:color="auto" w:fill="EEEEEE"/>
          </w:tcPr>
          <w:p>
            <w:pPr>
              <w:ind w:left="100"/>
              <w:spacing w:after="0" w:line="191" w:lineRule="exact"/>
              <w:rPr>
                <w:sz w:val="20"/>
                <w:szCs w:val="20"/>
                <w:color w:val="auto"/>
              </w:rPr>
            </w:pPr>
            <w:r>
              <w:rPr>
                <w:rFonts w:ascii="Times New Roman" w:cs="Times New Roman" w:eastAsia="Times New Roman" w:hAnsi="Times New Roman"/>
                <w:sz w:val="18"/>
                <w:szCs w:val="18"/>
                <w:color w:val="auto"/>
              </w:rPr>
              <w:t>February 17,</w:t>
            </w:r>
          </w:p>
        </w:tc>
        <w:tc>
          <w:tcPr>
            <w:tcW w:w="1500" w:type="dxa"/>
            <w:vAlign w:val="bottom"/>
            <w:tcBorders>
              <w:right w:val="single" w:sz="8" w:color="auto"/>
            </w:tcBorders>
            <w:shd w:val="clear" w:color="auto" w:fill="EEEEEE"/>
          </w:tcPr>
          <w:p>
            <w:pPr>
              <w:ind w:left="100"/>
              <w:spacing w:after="0" w:line="191" w:lineRule="exact"/>
              <w:rPr>
                <w:sz w:val="20"/>
                <w:szCs w:val="20"/>
                <w:color w:val="auto"/>
              </w:rPr>
            </w:pPr>
            <w:r>
              <w:rPr>
                <w:rFonts w:ascii="Times New Roman" w:cs="Times New Roman" w:eastAsia="Times New Roman" w:hAnsi="Times New Roman"/>
                <w:sz w:val="18"/>
                <w:szCs w:val="18"/>
                <w:color w:val="auto"/>
              </w:rPr>
              <w:t>370,209 USD</w:t>
            </w:r>
          </w:p>
        </w:tc>
        <w:tc>
          <w:tcPr>
            <w:tcW w:w="2960" w:type="dxa"/>
            <w:vAlign w:val="bottom"/>
            <w:tcBorders>
              <w:right w:val="single" w:sz="8" w:color="auto"/>
            </w:tcBorders>
            <w:shd w:val="clear" w:color="auto" w:fill="EEEEEE"/>
          </w:tcPr>
          <w:p>
            <w:pPr>
              <w:ind w:left="80"/>
              <w:spacing w:after="0" w:line="191" w:lineRule="exact"/>
              <w:rPr>
                <w:sz w:val="20"/>
                <w:szCs w:val="20"/>
                <w:color w:val="auto"/>
              </w:rPr>
            </w:pPr>
            <w:r>
              <w:rPr>
                <w:rFonts w:ascii="Times New Roman" w:cs="Times New Roman" w:eastAsia="Times New Roman" w:hAnsi="Times New Roman"/>
                <w:sz w:val="18"/>
                <w:szCs w:val="18"/>
                <w:color w:val="auto"/>
              </w:rPr>
              <w:t>A fixed interest rate of 1.4157%,</w:t>
            </w:r>
          </w:p>
        </w:tc>
        <w:tc>
          <w:tcPr>
            <w:tcW w:w="1480" w:type="dxa"/>
            <w:vAlign w:val="bottom"/>
            <w:tcBorders>
              <w:right w:val="single" w:sz="8" w:color="auto"/>
            </w:tcBorders>
            <w:shd w:val="clear" w:color="auto" w:fill="EEEEEE"/>
          </w:tcPr>
          <w:p>
            <w:pPr>
              <w:ind w:left="100"/>
              <w:spacing w:after="0" w:line="191" w:lineRule="exact"/>
              <w:rPr>
                <w:sz w:val="20"/>
                <w:szCs w:val="20"/>
                <w:color w:val="auto"/>
              </w:rPr>
            </w:pPr>
            <w:r>
              <w:rPr>
                <w:rFonts w:ascii="Times New Roman" w:cs="Times New Roman" w:eastAsia="Times New Roman" w:hAnsi="Times New Roman"/>
                <w:sz w:val="18"/>
                <w:szCs w:val="18"/>
                <w:color w:val="auto"/>
              </w:rPr>
              <w:t>Option 1:</w:t>
            </w:r>
          </w:p>
        </w:tc>
        <w:tc>
          <w:tcPr>
            <w:tcW w:w="2260" w:type="dxa"/>
            <w:vAlign w:val="bottom"/>
            <w:tcBorders>
              <w:right w:val="single" w:sz="8" w:color="auto"/>
            </w:tcBorders>
            <w:shd w:val="clear" w:color="auto" w:fill="EEEEEE"/>
          </w:tcPr>
          <w:p>
            <w:pPr>
              <w:ind w:left="80"/>
              <w:spacing w:after="0" w:line="191" w:lineRule="exact"/>
              <w:rPr>
                <w:sz w:val="20"/>
                <w:szCs w:val="20"/>
                <w:color w:val="auto"/>
              </w:rPr>
            </w:pPr>
            <w:r>
              <w:rPr>
                <w:rFonts w:ascii="Times New Roman" w:cs="Times New Roman" w:eastAsia="Times New Roman" w:hAnsi="Times New Roman"/>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equal to LIBOR plus 180 basis points</w:t>
            </w:r>
          </w:p>
        </w:tc>
        <w:tc>
          <w:tcPr>
            <w:tcW w:w="1480" w:type="dxa"/>
            <w:vAlign w:val="bottom"/>
            <w:tcBorders>
              <w:right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On November</w:t>
            </w:r>
          </w:p>
        </w:tc>
        <w:tc>
          <w:tcPr>
            <w:tcW w:w="22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On February 27, 2015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and 135 basis points of service charge</w:t>
            </w:r>
          </w:p>
        </w:tc>
        <w:tc>
          <w:tcPr>
            <w:tcW w:w="1480" w:type="dxa"/>
            <w:vAlign w:val="bottom"/>
            <w:tcBorders>
              <w:right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26, 2014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amount of 370,209 USD</w:t>
            </w:r>
          </w:p>
        </w:tc>
      </w:tr>
      <w:tr>
        <w:trPr>
          <w:trHeight w:val="234"/>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1500" w:type="dxa"/>
            <w:vAlign w:val="bottom"/>
            <w:tcBorders>
              <w:bottom w:val="single" w:sz="8" w:color="auto"/>
              <w:right w:val="single" w:sz="8" w:color="auto"/>
            </w:tcBorders>
            <w:shd w:val="clear" w:color="auto" w:fill="EEEEEE"/>
          </w:tcPr>
          <w:p>
            <w:pPr>
              <w:spacing w:after="0"/>
              <w:rPr>
                <w:sz w:val="20"/>
                <w:szCs w:val="20"/>
                <w:color w:val="auto"/>
              </w:rPr>
            </w:pPr>
          </w:p>
        </w:tc>
        <w:tc>
          <w:tcPr>
            <w:tcW w:w="296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370,209 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1"/>
        </w:trPr>
        <w:tc>
          <w:tcPr>
            <w:tcW w:w="1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December 2, 2014</w:t>
            </w:r>
          </w:p>
        </w:tc>
        <w:tc>
          <w:tcPr>
            <w:tcW w:w="1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March 2, 2015</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205,103 USD</w:t>
            </w:r>
          </w:p>
        </w:tc>
        <w:tc>
          <w:tcPr>
            <w:tcW w:w="29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 fixed interest rate of 1.7336%,</w:t>
            </w:r>
          </w:p>
        </w:tc>
        <w:tc>
          <w:tcPr>
            <w:tcW w:w="1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Option 1:</w:t>
            </w:r>
          </w:p>
        </w:tc>
        <w:tc>
          <w:tcPr>
            <w:tcW w:w="2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to LIBOR plus 180 basis points</w:t>
            </w: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December 2</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March 2, 2015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135 basis points of service charge</w:t>
            </w: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2014 for 205,103</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amount of 205,103 USD</w:t>
            </w:r>
          </w:p>
        </w:tc>
      </w:tr>
      <w:tr>
        <w:trPr>
          <w:trHeight w:val="234"/>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1740" w:type="dxa"/>
            <w:vAlign w:val="bottom"/>
            <w:tcBorders>
              <w:left w:val="single" w:sz="8" w:color="auto"/>
              <w:right w:val="single" w:sz="8" w:color="auto"/>
            </w:tcBorders>
            <w:shd w:val="clear" w:color="auto" w:fill="EEEEEE"/>
          </w:tcPr>
          <w:p>
            <w:pPr>
              <w:ind w:left="120"/>
              <w:spacing w:after="0" w:line="191" w:lineRule="exact"/>
              <w:rPr>
                <w:sz w:val="20"/>
                <w:szCs w:val="20"/>
                <w:color w:val="auto"/>
              </w:rPr>
            </w:pPr>
            <w:r>
              <w:rPr>
                <w:rFonts w:ascii="Times New Roman" w:cs="Times New Roman" w:eastAsia="Times New Roman" w:hAnsi="Times New Roman"/>
                <w:sz w:val="18"/>
                <w:szCs w:val="18"/>
                <w:color w:val="auto"/>
              </w:rPr>
              <w:t>December 22, 2014</w:t>
            </w:r>
          </w:p>
        </w:tc>
        <w:tc>
          <w:tcPr>
            <w:tcW w:w="1480" w:type="dxa"/>
            <w:vAlign w:val="bottom"/>
            <w:tcBorders>
              <w:right w:val="single" w:sz="8" w:color="auto"/>
            </w:tcBorders>
            <w:shd w:val="clear" w:color="auto" w:fill="EEEEEE"/>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March 20, 2015</w:t>
            </w:r>
          </w:p>
        </w:tc>
        <w:tc>
          <w:tcPr>
            <w:tcW w:w="1500" w:type="dxa"/>
            <w:vAlign w:val="bottom"/>
            <w:tcBorders>
              <w:right w:val="single" w:sz="8" w:color="auto"/>
            </w:tcBorders>
            <w:shd w:val="clear" w:color="auto" w:fill="EEEEEE"/>
          </w:tcPr>
          <w:p>
            <w:pPr>
              <w:ind w:left="100"/>
              <w:spacing w:after="0" w:line="191" w:lineRule="exact"/>
              <w:rPr>
                <w:sz w:val="20"/>
                <w:szCs w:val="20"/>
                <w:color w:val="auto"/>
              </w:rPr>
            </w:pPr>
            <w:r>
              <w:rPr>
                <w:rFonts w:ascii="Times New Roman" w:cs="Times New Roman" w:eastAsia="Times New Roman" w:hAnsi="Times New Roman"/>
                <w:sz w:val="18"/>
                <w:szCs w:val="18"/>
                <w:color w:val="auto"/>
              </w:rPr>
              <w:t>488,783 USD</w:t>
            </w:r>
          </w:p>
        </w:tc>
        <w:tc>
          <w:tcPr>
            <w:tcW w:w="2960" w:type="dxa"/>
            <w:vAlign w:val="bottom"/>
            <w:tcBorders>
              <w:right w:val="single" w:sz="8" w:color="auto"/>
            </w:tcBorders>
            <w:shd w:val="clear" w:color="auto" w:fill="EEEEEE"/>
          </w:tcPr>
          <w:p>
            <w:pPr>
              <w:ind w:left="80"/>
              <w:spacing w:after="0" w:line="191" w:lineRule="exact"/>
              <w:rPr>
                <w:sz w:val="20"/>
                <w:szCs w:val="20"/>
                <w:color w:val="auto"/>
              </w:rPr>
            </w:pPr>
            <w:r>
              <w:rPr>
                <w:rFonts w:ascii="Times New Roman" w:cs="Times New Roman" w:eastAsia="Times New Roman" w:hAnsi="Times New Roman"/>
                <w:sz w:val="18"/>
                <w:szCs w:val="18"/>
                <w:color w:val="auto"/>
              </w:rPr>
              <w:t>A fixed interest rate of 2.4200%,</w:t>
            </w:r>
          </w:p>
        </w:tc>
        <w:tc>
          <w:tcPr>
            <w:tcW w:w="1480" w:type="dxa"/>
            <w:vAlign w:val="bottom"/>
            <w:tcBorders>
              <w:right w:val="single" w:sz="8" w:color="auto"/>
            </w:tcBorders>
            <w:shd w:val="clear" w:color="auto" w:fill="EEEEEE"/>
          </w:tcPr>
          <w:p>
            <w:pPr>
              <w:ind w:left="100"/>
              <w:spacing w:after="0" w:line="191" w:lineRule="exact"/>
              <w:rPr>
                <w:sz w:val="20"/>
                <w:szCs w:val="20"/>
                <w:color w:val="auto"/>
              </w:rPr>
            </w:pPr>
            <w:r>
              <w:rPr>
                <w:rFonts w:ascii="Times New Roman" w:cs="Times New Roman" w:eastAsia="Times New Roman" w:hAnsi="Times New Roman"/>
                <w:sz w:val="18"/>
                <w:szCs w:val="18"/>
                <w:color w:val="auto"/>
              </w:rPr>
              <w:t>Option 1:</w:t>
            </w:r>
          </w:p>
        </w:tc>
        <w:tc>
          <w:tcPr>
            <w:tcW w:w="2260" w:type="dxa"/>
            <w:vAlign w:val="bottom"/>
            <w:tcBorders>
              <w:right w:val="single" w:sz="8" w:color="auto"/>
            </w:tcBorders>
            <w:shd w:val="clear" w:color="auto" w:fill="EEEEEE"/>
          </w:tcPr>
          <w:p>
            <w:pPr>
              <w:ind w:left="80"/>
              <w:spacing w:after="0" w:line="191" w:lineRule="exact"/>
              <w:rPr>
                <w:sz w:val="20"/>
                <w:szCs w:val="20"/>
                <w:color w:val="auto"/>
              </w:rPr>
            </w:pPr>
            <w:r>
              <w:rPr>
                <w:rFonts w:ascii="Times New Roman" w:cs="Times New Roman" w:eastAsia="Times New Roman" w:hAnsi="Times New Roman"/>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equal to LIBOR plus 180 basis points</w:t>
            </w:r>
          </w:p>
        </w:tc>
        <w:tc>
          <w:tcPr>
            <w:tcW w:w="1480" w:type="dxa"/>
            <w:vAlign w:val="bottom"/>
            <w:tcBorders>
              <w:right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On December</w:t>
            </w:r>
          </w:p>
        </w:tc>
        <w:tc>
          <w:tcPr>
            <w:tcW w:w="22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On March 20, 2015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and 135 basis points of service charge</w:t>
            </w:r>
          </w:p>
        </w:tc>
        <w:tc>
          <w:tcPr>
            <w:tcW w:w="1480" w:type="dxa"/>
            <w:vAlign w:val="bottom"/>
            <w:tcBorders>
              <w:right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22, 2014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amount of 488,783 USD</w:t>
            </w:r>
          </w:p>
        </w:tc>
      </w:tr>
      <w:tr>
        <w:trPr>
          <w:trHeight w:val="234"/>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1500" w:type="dxa"/>
            <w:vAlign w:val="bottom"/>
            <w:tcBorders>
              <w:bottom w:val="single" w:sz="8" w:color="auto"/>
              <w:right w:val="single" w:sz="8" w:color="auto"/>
            </w:tcBorders>
            <w:shd w:val="clear" w:color="auto" w:fill="EEEEEE"/>
          </w:tcPr>
          <w:p>
            <w:pPr>
              <w:spacing w:after="0"/>
              <w:rPr>
                <w:sz w:val="20"/>
                <w:szCs w:val="20"/>
                <w:color w:val="auto"/>
              </w:rPr>
            </w:pPr>
          </w:p>
        </w:tc>
        <w:tc>
          <w:tcPr>
            <w:tcW w:w="296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488,783 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5, 2015, with respect to the consolidated financial statements included in the Annual Report of Applied Optoelectronics, Inc. on Form 10-K for the year ended December 31, 2014. We hereby consent to the incorporation by reference of said report in the Registration Statement of Applied Optoelectronics, Inc. on Form S-8 (File No. 333-192407), effective November 19,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700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70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ectPr>
          <w:pgSz w:w="11900" w:h="16838" w:orient="portrait"/>
          <w:cols w:equalWidth="0" w:num="1">
            <w:col w:w="11420"/>
          </w:cols>
          <w:pgMar w:left="240" w:top="117"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Optoelectronics, Inc.;</w:t>
      </w:r>
    </w:p>
    <w:p>
      <w:pPr>
        <w:spacing w:after="0" w:line="225" w:lineRule="exact"/>
        <w:rPr>
          <w:rFonts w:ascii="Times New Roman" w:cs="Times New Roman" w:eastAsia="Times New Roman" w:hAnsi="Times New Roman"/>
          <w:sz w:val="18"/>
          <w:szCs w:val="18"/>
          <w:color w:val="auto"/>
        </w:rPr>
      </w:pPr>
    </w:p>
    <w:p>
      <w:pPr>
        <w:ind w:right="340" w:firstLine="424"/>
        <w:spacing w:after="0" w:line="282" w:lineRule="auto"/>
        <w:tabs>
          <w:tab w:leader="none" w:pos="5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424"/>
        <w:spacing w:after="0" w:line="282" w:lineRule="auto"/>
        <w:tabs>
          <w:tab w:leader="none" w:pos="5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540" w:firstLine="424"/>
        <w:spacing w:after="0" w:line="282" w:lineRule="auto"/>
        <w:tabs>
          <w:tab w:leader="none" w:pos="5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420" w:right="40" w:hanging="7"/>
        <w:spacing w:after="0" w:line="266" w:lineRule="auto"/>
        <w:tabs>
          <w:tab w:leader="none" w:pos="65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20" w:right="60" w:hanging="7"/>
        <w:spacing w:after="0" w:line="282" w:lineRule="auto"/>
        <w:tabs>
          <w:tab w:leader="none" w:pos="6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20" w:right="120" w:hanging="7"/>
        <w:spacing w:after="0" w:line="266" w:lineRule="auto"/>
        <w:tabs>
          <w:tab w:leader="none" w:pos="65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40" w:firstLine="424"/>
        <w:spacing w:after="0" w:line="282" w:lineRule="auto"/>
        <w:tabs>
          <w:tab w:leader="none" w:pos="59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20" w:right="460" w:hanging="7"/>
        <w:spacing w:after="0" w:line="282" w:lineRule="auto"/>
        <w:tabs>
          <w:tab w:leader="none" w:pos="66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right="40" w:hanging="7"/>
        <w:spacing w:after="0" w:line="282" w:lineRule="auto"/>
        <w:tabs>
          <w:tab w:leader="none" w:pos="6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420"/>
          </w:cols>
          <w:pgMar w:left="240" w:top="117"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00" w:hanging="176"/>
        <w:spacing w:after="0"/>
        <w:tabs>
          <w:tab w:leader="none" w:pos="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Optoelectronics, Inc.;</w:t>
      </w:r>
    </w:p>
    <w:p>
      <w:pPr>
        <w:spacing w:after="0" w:line="225" w:lineRule="exact"/>
        <w:rPr>
          <w:rFonts w:ascii="Times New Roman" w:cs="Times New Roman" w:eastAsia="Times New Roman" w:hAnsi="Times New Roman"/>
          <w:sz w:val="18"/>
          <w:szCs w:val="18"/>
          <w:color w:val="auto"/>
        </w:rPr>
      </w:pPr>
    </w:p>
    <w:p>
      <w:pPr>
        <w:ind w:right="340" w:firstLine="424"/>
        <w:spacing w:after="0" w:line="282" w:lineRule="auto"/>
        <w:tabs>
          <w:tab w:leader="none" w:pos="5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424"/>
        <w:spacing w:after="0" w:line="282" w:lineRule="auto"/>
        <w:tabs>
          <w:tab w:leader="none" w:pos="5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540" w:firstLine="424"/>
        <w:spacing w:after="0" w:line="282" w:lineRule="auto"/>
        <w:tabs>
          <w:tab w:leader="none" w:pos="5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500" w:right="180" w:hanging="6"/>
        <w:spacing w:after="0" w:line="266" w:lineRule="auto"/>
        <w:tabs>
          <w:tab w:leader="none" w:pos="74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00" w:right="320" w:firstLine="642"/>
        <w:spacing w:after="0" w:line="282" w:lineRule="auto"/>
        <w:tabs>
          <w:tab w:leader="none" w:pos="1403"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ind w:left="500" w:right="20" w:hanging="6"/>
        <w:spacing w:after="0" w:line="266" w:lineRule="auto"/>
        <w:tabs>
          <w:tab w:leader="none" w:pos="74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40" w:firstLine="424"/>
        <w:spacing w:after="0" w:line="282" w:lineRule="auto"/>
        <w:tabs>
          <w:tab w:leader="none" w:pos="5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360" w:hanging="6"/>
        <w:spacing w:after="0" w:line="282" w:lineRule="auto"/>
        <w:tabs>
          <w:tab w:leader="none" w:pos="74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320" w:hanging="6"/>
        <w:spacing w:after="0" w:line="282" w:lineRule="auto"/>
        <w:tabs>
          <w:tab w:leader="none" w:pos="75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20" w:firstLine="416"/>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76" w:lineRule="exact"/>
        <w:rPr>
          <w:sz w:val="20"/>
          <w:szCs w:val="20"/>
          <w:color w:val="auto"/>
        </w:rPr>
      </w:pPr>
    </w:p>
    <w:p>
      <w:pPr>
        <w:ind w:right="280" w:firstLine="424"/>
        <w:spacing w:after="0" w:line="282" w:lineRule="auto"/>
        <w:tabs>
          <w:tab w:leader="none" w:pos="5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2014,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580" w:firstLine="424"/>
        <w:spacing w:after="0" w:line="282" w:lineRule="auto"/>
        <w:tabs>
          <w:tab w:leader="none" w:pos="5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3rd day of March 5, 2015.</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1" w:lineRule="exact"/>
        <w:rPr>
          <w:sz w:val="20"/>
          <w:szCs w:val="20"/>
          <w:color w:val="auto"/>
        </w:rPr>
      </w:pPr>
    </w:p>
    <w:p>
      <w:pPr>
        <w:sectPr>
          <w:pgSz w:w="11900" w:h="16838" w:orient="portrait"/>
          <w:cols w:equalWidth="0" w:num="2">
            <w:col w:w="5000" w:space="720"/>
            <w:col w:w="5700"/>
          </w:cols>
          <w:pgMar w:left="240" w:top="117" w:right="239" w:bottom="1440" w:gutter="0" w:footer="0" w:header="0"/>
          <w:type w:val="continuous"/>
        </w:sectPr>
      </w:pPr>
    </w:p>
    <w:p>
      <w:pPr>
        <w:spacing w:after="0" w:line="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sectPr>
      <w:pgSz w:w="11900" w:h="16838" w:orient="portrait"/>
      <w:cols w:equalWidth="0" w:num="1">
        <w:col w:w="11420"/>
      </w:cols>
      <w:pgMar w:left="240" w:top="1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x"/>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1)"/>
      <w:numFmt w:val="decimal"/>
      <w:start w:val="1"/>
    </w:lvl>
  </w:abstractNum>
  <w:abstractNum w:abstractNumId="18">
    <w:nsid w:val="3222E7CD"/>
    <w:multiLevelType w:val="hybridMultilevel"/>
    <w:lvl w:ilvl="0">
      <w:lvlJc w:val="left"/>
      <w:lvlText w:val="(%1)"/>
      <w:numFmt w:val="decimal"/>
      <w:start w:val="1"/>
    </w:lvl>
  </w:abstractNum>
  <w:abstractNum w:abstractNumId="19">
    <w:nsid w:val="74DE0EE3"/>
    <w:multiLevelType w:val="hybridMultilevel"/>
    <w:lvl w:ilvl="0">
      <w:lvlJc w:val="left"/>
      <w:lvlText w:val="(%1)"/>
      <w:numFmt w:val="decimal"/>
      <w:start w:val="1"/>
    </w:lvl>
  </w:abstractNum>
  <w:abstractNum w:abstractNumId="20">
    <w:nsid w:val="68EBC550"/>
    <w:multiLevelType w:val="hybridMultilevel"/>
    <w:lvl w:ilvl="0">
      <w:lvlJc w:val="left"/>
      <w:lvlText w:val="(%1)"/>
      <w:numFmt w:val="decimal"/>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1."/>
      <w:numFmt w:val="lowerLetter"/>
      <w:start w:val="1"/>
    </w:lvl>
  </w:abstractNum>
  <w:abstractNum w:abstractNumId="25">
    <w:nsid w:val="57FC4FBB"/>
    <w:multiLevelType w:val="hybridMultilevel"/>
    <w:lvl w:ilvl="0">
      <w:lvlJc w:val="left"/>
      <w:lvlText w:val="%1."/>
      <w:numFmt w:val="lowerLetter"/>
      <w:start w:val="2"/>
    </w:lvl>
  </w:abstractNum>
  <w:abstractNum w:abstractNumId="26">
    <w:nsid w:val="CC1016F"/>
    <w:multiLevelType w:val="hybridMultilevel"/>
    <w:lvl w:ilvl="0">
      <w:lvlJc w:val="left"/>
      <w:lvlText w:val="%1."/>
      <w:numFmt w:val="lowerLetter"/>
      <w:start w:val="3"/>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1."/>
      <w:numFmt w:val="decimal"/>
      <w:start w:val="1"/>
    </w:lvl>
  </w:abstractNum>
  <w:abstractNum w:abstractNumId="31">
    <w:nsid w:val="49DA307D"/>
    <w:multiLevelType w:val="hybridMultilevel"/>
    <w:lvl w:ilvl="0">
      <w:lvlJc w:val="left"/>
      <w:lvlText w:val="%1."/>
      <w:numFmt w:val="decimal"/>
      <w:start w:val="2"/>
    </w:lvl>
  </w:abstractNum>
  <w:abstractNum w:abstractNumId="32">
    <w:nsid w:val="7055A5F5"/>
    <w:multiLevelType w:val="hybridMultilevel"/>
    <w:lvl w:ilvl="0">
      <w:lvlJc w:val="left"/>
      <w:lvlText w:val="%1."/>
      <w:numFmt w:val="decimal"/>
      <w:start w:val="3"/>
    </w:lvl>
  </w:abstractNum>
  <w:abstractNum w:abstractNumId="33">
    <w:nsid w:val="5FB8370B"/>
    <w:multiLevelType w:val="hybridMultilevel"/>
    <w:lvl w:ilvl="0">
      <w:lvlJc w:val="left"/>
      <w:lvlText w:val="%1."/>
      <w:numFmt w:val="decimal"/>
      <w:start w:val="4"/>
    </w:lvl>
  </w:abstractNum>
  <w:abstractNum w:abstractNumId="34">
    <w:nsid w:val="50801EE1"/>
    <w:multiLevelType w:val="hybridMultilevel"/>
    <w:lvl w:ilvl="0">
      <w:lvlJc w:val="left"/>
      <w:lvlText w:val="%1."/>
      <w:numFmt w:val="decimal"/>
      <w:start w:val="5"/>
    </w:lvl>
  </w:abstractNum>
  <w:abstractNum w:abstractNumId="35">
    <w:nsid w:val="488AC1A"/>
    <w:multiLevelType w:val="hybridMultilevel"/>
    <w:lvl w:ilvl="0">
      <w:lvlJc w:val="left"/>
      <w:lvlText w:val="%1."/>
      <w:numFmt w:val="decimal"/>
      <w:start w:val="6"/>
    </w:lvl>
  </w:abstractNum>
  <w:abstractNum w:abstractNumId="36">
    <w:nsid w:val="5FB8011C"/>
    <w:multiLevelType w:val="hybridMultilevel"/>
    <w:lvl w:ilvl="0">
      <w:lvlJc w:val="left"/>
      <w:lvlText w:val="%1."/>
      <w:numFmt w:val="decimal"/>
      <w:start w:val="7"/>
    </w:lvl>
  </w:abstractNum>
  <w:abstractNum w:abstractNumId="37">
    <w:nsid w:val="6AA78F7F"/>
    <w:multiLevelType w:val="hybridMultilevel"/>
    <w:lvl w:ilvl="0">
      <w:lvlJc w:val="left"/>
      <w:lvlText w:val="%1."/>
      <w:numFmt w:val="decimal"/>
      <w:start w:val="8"/>
    </w:lvl>
  </w:abstractNum>
  <w:abstractNum w:abstractNumId="38">
    <w:nsid w:val="7672BD23"/>
    <w:multiLevelType w:val="hybridMultilevel"/>
    <w:lvl w:ilvl="0">
      <w:lvlJc w:val="left"/>
      <w:lvlText w:val="%1."/>
      <w:numFmt w:val="decimal"/>
      <w:start w:val="9"/>
    </w:lvl>
  </w:abstractNum>
  <w:abstractNum w:abstractNumId="39">
    <w:nsid w:val="6FC75AF8"/>
    <w:multiLevelType w:val="hybridMultilevel"/>
    <w:lvl w:ilvl="0">
      <w:lvlJc w:val="left"/>
      <w:lvlText w:val="%1."/>
      <w:numFmt w:val="decimal"/>
      <w:start w:val="10"/>
    </w:lvl>
  </w:abstractNum>
  <w:abstractNum w:abstractNumId="40">
    <w:nsid w:val="6A5F7029"/>
    <w:multiLevelType w:val="hybridMultilevel"/>
    <w:lvl w:ilvl="0">
      <w:lvlJc w:val="left"/>
      <w:lvlText w:val="%1."/>
      <w:numFmt w:val="decimal"/>
      <w:start w:val="11"/>
    </w:lvl>
  </w:abstractNum>
  <w:abstractNum w:abstractNumId="41">
    <w:nsid w:val="7D5E18F8"/>
    <w:multiLevelType w:val="hybridMultilevel"/>
    <w:lvl w:ilvl="0">
      <w:lvlJc w:val="left"/>
      <w:lvlText w:val="%1."/>
      <w:numFmt w:val="decimal"/>
      <w:start w:val="12"/>
    </w:lvl>
  </w:abstractNum>
  <w:abstractNum w:abstractNumId="42">
    <w:nsid w:val="5F3534A4"/>
    <w:multiLevelType w:val="hybridMultilevel"/>
    <w:lvl w:ilvl="0">
      <w:lvlJc w:val="left"/>
      <w:lvlText w:val="%1."/>
      <w:numFmt w:val="decimal"/>
      <w:start w:val="13"/>
    </w:lvl>
  </w:abstractNum>
  <w:abstractNum w:abstractNumId="43">
    <w:nsid w:val="73A1821B"/>
    <w:multiLevelType w:val="hybridMultilevel"/>
    <w:lvl w:ilvl="0">
      <w:lvlJc w:val="left"/>
      <w:lvlText w:val="%1."/>
      <w:numFmt w:val="decimal"/>
      <w:start w:val="14"/>
    </w:lvl>
  </w:abstractNum>
  <w:abstractNum w:abstractNumId="44">
    <w:nsid w:val="7DE67713"/>
    <w:multiLevelType w:val="hybridMultilevel"/>
    <w:lvl w:ilvl="0">
      <w:lvlJc w:val="left"/>
      <w:lvlText w:val="%1."/>
      <w:numFmt w:val="decimal"/>
      <w:start w:val="15"/>
    </w:lvl>
  </w:abstractNum>
  <w:abstractNum w:abstractNumId="45">
    <w:nsid w:val="555C55B5"/>
    <w:multiLevelType w:val="hybridMultilevel"/>
    <w:lvl w:ilvl="0">
      <w:lvlJc w:val="left"/>
      <w:lvlText w:val="%1."/>
      <w:numFmt w:val="decimal"/>
      <w:start w:val="16"/>
    </w:lvl>
  </w:abstractNum>
  <w:abstractNum w:abstractNumId="46">
    <w:nsid w:val="3FA62ACA"/>
    <w:multiLevelType w:val="hybridMultilevel"/>
    <w:lvl w:ilvl="0">
      <w:lvlJc w:val="left"/>
      <w:lvlText w:val="%1."/>
      <w:numFmt w:val="decimal"/>
      <w:start w:val="17"/>
    </w:lvl>
  </w:abstractNum>
  <w:abstractNum w:abstractNumId="47">
    <w:nsid w:val="14FCE74E"/>
    <w:multiLevelType w:val="hybridMultilevel"/>
    <w:lvl w:ilvl="0">
      <w:lvlJc w:val="left"/>
      <w:lvlText w:val="%1"/>
      <w:numFmt w:val="decimal"/>
      <w:start w:val="18"/>
    </w:lvl>
  </w:abstractNum>
  <w:abstractNum w:abstractNumId="48">
    <w:nsid w:val="6A3DD3E8"/>
    <w:multiLevelType w:val="hybridMultilevel"/>
    <w:lvl w:ilvl="0">
      <w:lvlJc w:val="left"/>
      <w:lvlText w:val="%1."/>
      <w:numFmt w:val="decimal"/>
      <w:start w:val="19"/>
    </w:lvl>
  </w:abstractNum>
  <w:abstractNum w:abstractNumId="49">
    <w:nsid w:val="71C91298"/>
    <w:multiLevelType w:val="hybridMultilevel"/>
    <w:lvl w:ilvl="0">
      <w:lvlJc w:val="left"/>
      <w:lvlText w:val="%1."/>
      <w:numFmt w:val="decimal"/>
      <w:start w:val="20"/>
    </w:lvl>
  </w:abstractNum>
  <w:abstractNum w:abstractNumId="50">
    <w:nsid w:val="9DAF632"/>
    <w:multiLevelType w:val="hybridMultilevel"/>
    <w:lvl w:ilvl="0">
      <w:lvlJc w:val="left"/>
      <w:lvlText w:val="%1."/>
      <w:numFmt w:val="decimal"/>
      <w:start w:val="21"/>
    </w:lvl>
  </w:abstractNum>
  <w:abstractNum w:abstractNumId="51">
    <w:nsid w:val="53299938"/>
    <w:multiLevelType w:val="hybridMultilevel"/>
    <w:lvl w:ilvl="0">
      <w:lvlJc w:val="left"/>
      <w:lvlText w:val="%1."/>
      <w:numFmt w:val="decimal"/>
      <w:start w:val="22"/>
    </w:lvl>
  </w:abstractNum>
  <w:abstractNum w:abstractNumId="52">
    <w:nsid w:val="1FBFE8E0"/>
    <w:multiLevelType w:val="hybridMultilevel"/>
    <w:lvl w:ilvl="0">
      <w:lvlJc w:val="left"/>
      <w:lvlText w:val="%1."/>
      <w:numFmt w:val="decimal"/>
      <w:start w:val="23"/>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1)"/>
      <w:numFmt w:val="decimal"/>
      <w:start w:val="1"/>
    </w:lvl>
  </w:abstractNum>
  <w:abstractNum w:abstractNumId="55">
    <w:nsid w:val="59ADEA3D"/>
    <w:multiLevelType w:val="hybridMultilevel"/>
    <w:lvl w:ilvl="0">
      <w:lvlJc w:val="left"/>
      <w:lvlText w:val="%1."/>
      <w:numFmt w:val="decimal"/>
      <w:start w:val="1"/>
    </w:lvl>
  </w:abstractNum>
  <w:abstractNum w:abstractNumId="56">
    <w:nsid w:val="288F1A34"/>
    <w:multiLevelType w:val="hybridMultilevel"/>
    <w:lvl w:ilvl="0">
      <w:lvlJc w:val="left"/>
      <w:lvlText w:val="(%1)"/>
      <w:numFmt w:val="decimal"/>
      <w:start w:val="2"/>
    </w:lvl>
  </w:abstractNum>
  <w:abstractNum w:abstractNumId="57">
    <w:nsid w:val="2A155DBC"/>
    <w:multiLevelType w:val="hybridMultilevel"/>
    <w:lvl w:ilvl="0">
      <w:lvlJc w:val="left"/>
      <w:lvlText w:val="(%1)"/>
      <w:numFmt w:val="decimal"/>
      <w:start w:val="1"/>
    </w:lvl>
  </w:abstractNum>
  <w:abstractNum w:abstractNumId="58">
    <w:nsid w:val="1D9F6E5F"/>
    <w:multiLevelType w:val="hybridMultilevel"/>
    <w:lvl w:ilvl="0">
      <w:lvlJc w:val="left"/>
      <w:lvlText w:val="(%1)"/>
      <w:numFmt w:val="decimal"/>
      <w:start w:val="1"/>
    </w:lvl>
  </w:abstractNum>
  <w:abstractNum w:abstractNumId="59">
    <w:nsid w:val="97E1B4E"/>
    <w:multiLevelType w:val="hybridMultilevel"/>
    <w:lvl w:ilvl="0">
      <w:lvlJc w:val="left"/>
      <w:lvlText w:val="(%1)"/>
      <w:numFmt w:val="decimal"/>
      <w:start w:val="2"/>
    </w:lvl>
    <w:lvl w:ilvl="1">
      <w:lvlJc w:val="left"/>
      <w:lvlText w:val="(%2)"/>
      <w:numFmt w:val="lowerRoman"/>
      <w:start w:val="1"/>
    </w:lvl>
  </w:abstractNum>
  <w:abstractNum w:abstractNumId="60">
    <w:nsid w:val="51088277"/>
    <w:multiLevelType w:val="hybridMultilevel"/>
    <w:lvl w:ilvl="0">
      <w:lvlJc w:val="left"/>
      <w:lvlText w:val="%1."/>
      <w:numFmt w:val="decimal"/>
      <w:start w:val="5"/>
    </w:lvl>
  </w:abstractNum>
  <w:abstractNum w:abstractNumId="61">
    <w:nsid w:val="1CA0C5FA"/>
    <w:multiLevelType w:val="hybridMultilevel"/>
    <w:lvl w:ilvl="0">
      <w:lvlJc w:val="left"/>
      <w:lvlText w:val="(%1)"/>
      <w:numFmt w:val="decimal"/>
      <w:start w:val="1"/>
    </w:lvl>
  </w:abstractNum>
  <w:abstractNum w:abstractNumId="62">
    <w:nsid w:val="53584BCB"/>
    <w:multiLevelType w:val="hybridMultilevel"/>
    <w:lvl w:ilvl="0">
      <w:lvlJc w:val="left"/>
      <w:lvlText w:val="(%1)"/>
      <w:numFmt w:val="decimal"/>
      <w:start w:val="1"/>
    </w:lvl>
  </w:abstractNum>
  <w:abstractNum w:abstractNumId="63">
    <w:nsid w:val="415E286C"/>
    <w:multiLevelType w:val="hybridMultilevel"/>
    <w:lvl w:ilvl="0">
      <w:lvlJc w:val="left"/>
      <w:lvlText w:val="(%1)"/>
      <w:numFmt w:val="decimal"/>
      <w:start w:val="2"/>
    </w:lvl>
  </w:abstractNum>
  <w:abstractNum w:abstractNumId="64">
    <w:nsid w:val="7C58FD05"/>
    <w:multiLevelType w:val="hybridMultilevel"/>
    <w:lvl w:ilvl="0">
      <w:lvlJc w:val="left"/>
      <w:lvlText w:val="(%1)"/>
      <w:numFmt w:val="decimal"/>
      <w:start w:val="3"/>
    </w:lvl>
  </w:abstractNum>
  <w:abstractNum w:abstractNumId="65">
    <w:nsid w:val="23D86AAC"/>
    <w:multiLevelType w:val="hybridMultilevel"/>
    <w:lvl w:ilvl="0">
      <w:lvlJc w:val="left"/>
      <w:lvlText w:val="(%1)"/>
      <w:numFmt w:val="decimal"/>
      <w:start w:val="1"/>
    </w:lvl>
  </w:abstractNum>
  <w:abstractNum w:abstractNumId="66">
    <w:nsid w:val="45E6D486"/>
    <w:multiLevelType w:val="hybridMultilevel"/>
    <w:lvl w:ilvl="0">
      <w:lvlJc w:val="left"/>
      <w:lvlText w:val="(%1)"/>
      <w:numFmt w:val="decimal"/>
      <w:start w:val="1"/>
    </w:lvl>
  </w:abstractNum>
  <w:abstractNum w:abstractNumId="67">
    <w:nsid w:val="5C10FE21"/>
    <w:multiLevelType w:val="hybridMultilevel"/>
    <w:lvl w:ilvl="0">
      <w:lvlJc w:val="left"/>
      <w:lvlText w:val="(%1)"/>
      <w:numFmt w:val="decimal"/>
      <w:start w:val="1"/>
    </w:lvl>
  </w:abstractNum>
  <w:abstractNum w:abstractNumId="68">
    <w:nsid w:val="E7FFA2B"/>
    <w:multiLevelType w:val="hybridMultilevel"/>
    <w:lvl w:ilvl="0">
      <w:lvlJc w:val="left"/>
      <w:lvlText w:val="(%1)"/>
      <w:numFmt w:val="decimal"/>
      <w:start w:val="1"/>
    </w:lvl>
  </w:abstractNum>
  <w:abstractNum w:abstractNumId="69">
    <w:nsid w:val="3C5991AA"/>
    <w:multiLevelType w:val="hybridMultilevel"/>
    <w:lvl w:ilvl="0">
      <w:lvlJc w:val="left"/>
      <w:lvlText w:val="(%1)"/>
      <w:numFmt w:val="decimal"/>
      <w:start w:val="1"/>
    </w:lvl>
    <w:lvl w:ilvl="1">
      <w:lvlJc w:val="left"/>
      <w:lvlText w:val="(%2)"/>
      <w:numFmt w:val="lowerRoman"/>
      <w:start w:val="1"/>
    </w:lvl>
  </w:abstractNum>
  <w:abstractNum w:abstractNumId="70">
    <w:nsid w:val="4BD8591A"/>
    <w:multiLevelType w:val="hybridMultilevel"/>
    <w:lvl w:ilvl="0">
      <w:lvlJc w:val="left"/>
      <w:lvlText w:val="%1"/>
      <w:numFmt w:val="decimal"/>
      <w:start w:val="1"/>
    </w:lvl>
    <w:lvl w:ilvl="1">
      <w:lvlJc w:val="left"/>
      <w:lvlText w:val="(%2)"/>
      <w:numFmt w:val="lowerRoman"/>
      <w:start w:val="2"/>
    </w:lvl>
  </w:abstractNum>
  <w:abstractNum w:abstractNumId="71">
    <w:nsid w:val="78DF6A55"/>
    <w:multiLevelType w:val="hybridMultilevel"/>
    <w:lvl w:ilvl="0">
      <w:lvlJc w:val="left"/>
      <w:lvlText w:val="(%1)"/>
      <w:numFmt w:val="decimal"/>
      <w:start w:val="2"/>
    </w:lvl>
    <w:lvl w:ilvl="1">
      <w:lvlJc w:val="left"/>
      <w:lvlText w:val="(%2)"/>
      <w:numFmt w:val="lowerRoman"/>
      <w:start w:val="1"/>
    </w:lvl>
  </w:abstractNum>
  <w:abstractNum w:abstractNumId="72">
    <w:nsid w:val="39B7AAA2"/>
    <w:multiLevelType w:val="hybridMultilevel"/>
    <w:lvl w:ilvl="0">
      <w:lvlJc w:val="left"/>
      <w:lvlText w:val="(%1)"/>
      <w:numFmt w:val="decimal"/>
      <w:start w:val="6"/>
    </w:lvl>
  </w:abstractNum>
  <w:abstractNum w:abstractNumId="73">
    <w:nsid w:val="2B0D8DBE"/>
    <w:multiLevelType w:val="hybridMultilevel"/>
    <w:lvl w:ilvl="0">
      <w:lvlJc w:val="left"/>
      <w:lvlText w:val="(%1)"/>
      <w:numFmt w:val="decimal"/>
      <w:start w:val="1"/>
    </w:lvl>
  </w:abstractNum>
  <w:abstractNum w:abstractNumId="74">
    <w:nsid w:val="6C80EC70"/>
    <w:multiLevelType w:val="hybridMultilevel"/>
    <w:lvl w:ilvl="0">
      <w:lvlJc w:val="left"/>
      <w:lvlText w:val="%1."/>
      <w:numFmt w:val="decimal"/>
      <w:start w:val="6"/>
    </w:lvl>
  </w:abstractNum>
  <w:abstractNum w:abstractNumId="75">
    <w:nsid w:val="379E21B5"/>
    <w:multiLevelType w:val="hybridMultilevel"/>
    <w:lvl w:ilvl="0">
      <w:lvlJc w:val="left"/>
      <w:lvlText w:val="(%1)"/>
      <w:numFmt w:val="decimal"/>
      <w:start w:val="1"/>
    </w:lvl>
  </w:abstractNum>
  <w:abstractNum w:abstractNumId="76">
    <w:nsid w:val="69E373"/>
    <w:multiLevelType w:val="hybridMultilevel"/>
    <w:lvl w:ilvl="0">
      <w:lvlJc w:val="left"/>
      <w:lvlText w:val="(%1)"/>
      <w:numFmt w:val="decimal"/>
      <w:start w:val="2"/>
    </w:lvl>
    <w:lvl w:ilvl="1">
      <w:lvlJc w:val="left"/>
      <w:lvlText w:val="(%2)"/>
      <w:numFmt w:val="lowerRoman"/>
      <w:start w:val="1"/>
    </w:lvl>
  </w:abstractNum>
  <w:abstractNum w:abstractNumId="77">
    <w:nsid w:val="2C27173B"/>
    <w:multiLevelType w:val="hybridMultilevel"/>
    <w:lvl w:ilvl="0">
      <w:lvlJc w:val="left"/>
      <w:lvlText w:val="(%1)"/>
      <w:numFmt w:val="lowerRoman"/>
      <w:start w:val="6"/>
    </w:lvl>
  </w:abstractNum>
  <w:abstractNum w:abstractNumId="78">
    <w:nsid w:val="4C9B0904"/>
    <w:multiLevelType w:val="hybridMultilevel"/>
    <w:lvl w:ilvl="0">
      <w:lvlJc w:val="left"/>
      <w:lvlText w:val="%1"/>
      <w:numFmt w:val="decimal"/>
      <w:start w:val="1"/>
    </w:lvl>
    <w:lvl w:ilvl="1">
      <w:lvlJc w:val="left"/>
      <w:lvlText w:val="(%2)"/>
      <w:numFmt w:val="lowerRoman"/>
      <w:start w:val="10"/>
    </w:lvl>
  </w:abstractNum>
  <w:abstractNum w:abstractNumId="79">
    <w:nsid w:val="6AA7B75C"/>
    <w:multiLevelType w:val="hybridMultilevel"/>
    <w:lvl w:ilvl="0">
      <w:lvlJc w:val="left"/>
      <w:lvlText w:val="%1."/>
      <w:numFmt w:val="decimal"/>
      <w:start w:val="7"/>
    </w:lvl>
    <w:lvl w:ilvl="1">
      <w:lvlJc w:val="left"/>
      <w:lvlText w:val="%2"/>
      <w:numFmt w:val="lowerRoman"/>
      <w:start w:val="1"/>
    </w:lvl>
  </w:abstractNum>
  <w:abstractNum w:abstractNumId="80">
    <w:nsid w:val="1DF029D3"/>
    <w:multiLevelType w:val="hybridMultilevel"/>
    <w:lvl w:ilvl="0">
      <w:lvlJc w:val="left"/>
      <w:lvlText w:val="(%1)"/>
      <w:numFmt w:val="decimal"/>
      <w:start w:val="1"/>
    </w:lvl>
  </w:abstractNum>
  <w:abstractNum w:abstractNumId="81">
    <w:nsid w:val="5675FF36"/>
    <w:multiLevelType w:val="hybridMultilevel"/>
    <w:lvl w:ilvl="0">
      <w:lvlJc w:val="left"/>
      <w:lvlText w:val="(%1)"/>
      <w:numFmt w:val="decimal"/>
      <w:start w:val="1"/>
    </w:lvl>
  </w:abstractNum>
  <w:abstractNum w:abstractNumId="82">
    <w:nsid w:val="3DD15094"/>
    <w:multiLevelType w:val="hybridMultilevel"/>
    <w:lvl w:ilvl="0">
      <w:lvlJc w:val="left"/>
      <w:lvlText w:val="%1."/>
      <w:numFmt w:val="decimal"/>
      <w:start w:val="8"/>
    </w:lvl>
    <w:lvl w:ilvl="1">
      <w:lvlJc w:val="left"/>
      <w:lvlText w:val="(%2)"/>
      <w:numFmt w:val="decimal"/>
      <w:start w:val="1"/>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1"/>
      <w:numFmt w:val="decimal"/>
      <w:start w:val="1"/>
    </w:lvl>
    <w:lvl w:ilvl="1">
      <w:lvlJc w:val="left"/>
      <w:lvlText w:val="(%2)"/>
      <w:numFmt w:val="decimal"/>
      <w:start w:val="5"/>
    </w:lvl>
  </w:abstractNum>
  <w:abstractNum w:abstractNumId="85">
    <w:nsid w:val="5B25ACE2"/>
    <w:multiLevelType w:val="hybridMultilevel"/>
    <w:lvl w:ilvl="0">
      <w:lvlJc w:val="left"/>
      <w:lvlText w:val="%1."/>
      <w:numFmt w:val="decimal"/>
      <w:start w:val="9"/>
    </w:lvl>
    <w:lvl w:ilvl="1">
      <w:lvlJc w:val="left"/>
      <w:lvlText w:val="%2"/>
      <w:numFmt w:val="decimal"/>
      <w:start w:val="1"/>
    </w:lvl>
  </w:abstractNum>
  <w:abstractNum w:abstractNumId="86">
    <w:nsid w:val="175DFCF0"/>
    <w:multiLevelType w:val="hybridMultilevel"/>
    <w:lvl w:ilvl="0">
      <w:lvlJc w:val="left"/>
      <w:lvlText w:val="(%1)"/>
      <w:numFmt w:val="decimal"/>
      <w:start w:val="1"/>
    </w:lvl>
  </w:abstractNum>
  <w:abstractNum w:abstractNumId="87">
    <w:nsid w:val="4F97E3E4"/>
    <w:multiLevelType w:val="hybridMultilevel"/>
    <w:lvl w:ilvl="0">
      <w:lvlJc w:val="left"/>
      <w:lvlText w:val="%1."/>
      <w:numFmt w:val="decimal"/>
      <w:start w:val="10"/>
    </w:lvl>
  </w:abstractNum>
  <w:abstractNum w:abstractNumId="88">
    <w:nsid w:val="53B0A9E"/>
    <w:multiLevelType w:val="hybridMultilevel"/>
    <w:lvl w:ilvl="0">
      <w:lvlJc w:val="left"/>
      <w:lvlText w:val="(%1)"/>
      <w:numFmt w:val="decimal"/>
      <w:start w:val="1"/>
    </w:lvl>
  </w:abstractNum>
  <w:abstractNum w:abstractNumId="89">
    <w:nsid w:val="34FD6B4F"/>
    <w:multiLevelType w:val="hybridMultilevel"/>
    <w:lvl w:ilvl="0">
      <w:lvlJc w:val="left"/>
      <w:lvlText w:val="(%1)"/>
      <w:numFmt w:val="decimal"/>
      <w:start w:val="1"/>
    </w:lvl>
  </w:abstractNum>
  <w:abstractNum w:abstractNumId="90">
    <w:nsid w:val="5915FF32"/>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91">
    <w:nsid w:val="56438D15"/>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92">
    <w:nsid w:val="519E3149"/>
    <w:multiLevelType w:val="hybridMultilevel"/>
    <w:lvl w:ilvl="0">
      <w:lvlJc w:val="left"/>
      <w:lvlText w:val="(%1)"/>
      <w:numFmt w:val="decimal"/>
      <w:start w:val="6"/>
    </w:lvl>
    <w:lvl w:ilvl="1">
      <w:lvlJc w:val="left"/>
      <w:lvlText w:val="(%2)"/>
      <w:numFmt w:val="lowerRoman"/>
      <w:start w:val="1"/>
    </w:lvl>
  </w:abstractNum>
  <w:abstractNum w:abstractNumId="93">
    <w:nsid w:val="2C6E4AFD"/>
    <w:multiLevelType w:val="hybridMultilevel"/>
    <w:lvl w:ilvl="0">
      <w:lvlJc w:val="left"/>
      <w:lvlText w:val="(%1)"/>
      <w:numFmt w:val="decimal"/>
      <w:start w:val="1"/>
    </w:lvl>
  </w:abstractNum>
  <w:abstractNum w:abstractNumId="94">
    <w:nsid w:val="17A1B582"/>
    <w:multiLevelType w:val="hybridMultilevel"/>
    <w:lvl w:ilvl="0">
      <w:lvlJc w:val="left"/>
      <w:lvlText w:val="(%1)"/>
      <w:numFmt w:val="decimal"/>
      <w:start w:val="2"/>
    </w:lvl>
    <w:lvl w:ilvl="1">
      <w:lvlJc w:val="left"/>
      <w:lvlText w:val="%"/>
      <w:numFmt w:val="bullet"/>
      <w:start w:val="1"/>
    </w:lvl>
    <w:lvl w:ilvl="2">
      <w:lvlJc w:val="left"/>
      <w:lvlText w:val="(%3)"/>
      <w:numFmt w:val="lowerRoman"/>
      <w:start w:val="1"/>
    </w:lvl>
  </w:abstractNum>
  <w:abstractNum w:abstractNumId="95">
    <w:nsid w:val="4DF72E4E"/>
    <w:multiLevelType w:val="hybridMultilevel"/>
    <w:lvl w:ilvl="0">
      <w:lvlJc w:val="left"/>
      <w:lvlText w:val="%1."/>
      <w:numFmt w:val="decimal"/>
      <w:start w:val="11"/>
    </w:lvl>
    <w:lvl w:ilvl="1">
      <w:lvlJc w:val="left"/>
      <w:lvlText w:val="(%2)"/>
      <w:numFmt w:val="decimal"/>
      <w:start w:val="1"/>
    </w:lvl>
  </w:abstractNum>
  <w:abstractNum w:abstractNumId="96">
    <w:nsid w:val="5046B5A9"/>
    <w:multiLevelType w:val="hybridMultilevel"/>
    <w:lvl w:ilvl="0">
      <w:lvlJc w:val="left"/>
      <w:lvlText w:val="(%1)"/>
      <w:numFmt w:val="decimal"/>
      <w:start w:val="1"/>
    </w:lvl>
  </w:abstractNum>
  <w:abstractNum w:abstractNumId="97">
    <w:nsid w:val="5D888A08"/>
    <w:multiLevelType w:val="hybridMultilevel"/>
    <w:lvl w:ilvl="0">
      <w:lvlJc w:val="left"/>
      <w:lvlText w:val="(%1)"/>
      <w:numFmt w:val="decimal"/>
      <w:start w:val="1"/>
    </w:lvl>
  </w:abstractNum>
  <w:abstractNum w:abstractNumId="98">
    <w:nsid w:val="2A082C70"/>
    <w:multiLevelType w:val="hybridMultilevel"/>
    <w:lvl w:ilvl="0">
      <w:lvlJc w:val="left"/>
      <w:lvlText w:val="%1."/>
      <w:numFmt w:val="decimal"/>
      <w:start w:val="12"/>
    </w:lvl>
  </w:abstractNum>
  <w:abstractNum w:abstractNumId="99">
    <w:nsid w:val="5EC6AFD4"/>
    <w:multiLevelType w:val="hybridMultilevel"/>
    <w:lvl w:ilvl="0">
      <w:lvlJc w:val="left"/>
      <w:lvlText w:val="%1."/>
      <w:numFmt w:val="decimal"/>
      <w:start w:val="1"/>
    </w:lvl>
  </w:abstractNum>
  <w:abstractNum w:abstractNumId="100">
    <w:nsid w:val="19E21BB2"/>
    <w:multiLevelType w:val="hybridMultilevel"/>
    <w:lvl w:ilvl="0">
      <w:lvlJc w:val="left"/>
      <w:lvlText w:val="(%1)"/>
      <w:numFmt w:val="decimal"/>
      <w:start w:val="1"/>
    </w:lvl>
  </w:abstractNum>
  <w:abstractNum w:abstractNumId="101">
    <w:nsid w:val="75E0858A"/>
    <w:multiLevelType w:val="hybridMultilevel"/>
    <w:lvl w:ilvl="0">
      <w:lvlJc w:val="left"/>
      <w:lvlText w:val="%1."/>
      <w:numFmt w:val="decimal"/>
      <w:start w:val="1"/>
    </w:lvl>
    <w:lvl w:ilvl="1">
      <w:lvlJc w:val="left"/>
      <w:lvlText w:val="(%2)"/>
      <w:numFmt w:val="decimal"/>
      <w:start w:val="1"/>
    </w:lvl>
  </w:abstractNum>
  <w:abstractNum w:abstractNumId="102">
    <w:nsid w:val="57A61A29"/>
    <w:multiLevelType w:val="hybridMultilevel"/>
    <w:lvl w:ilvl="0">
      <w:lvlJc w:val="left"/>
      <w:lvlText w:val="(%1)"/>
      <w:numFmt w:val="decimal"/>
      <w:start w:val="3"/>
    </w:lvl>
  </w:abstractNum>
  <w:abstractNum w:abstractNumId="103">
    <w:nsid w:val="5399C654"/>
    <w:multiLevelType w:val="hybridMultilevel"/>
    <w:lvl w:ilvl="0">
      <w:lvlJc w:val="left"/>
      <w:lvlText w:val="(%1)"/>
      <w:numFmt w:val="decimal"/>
      <w:start w:val="1"/>
    </w:lvl>
  </w:abstractNum>
  <w:abstractNum w:abstractNumId="104">
    <w:nsid w:val="20EE134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105">
    <w:nsid w:val="4427069A"/>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106">
    <w:nsid w:val="B37E80A"/>
    <w:multiLevelType w:val="hybridMultilevel"/>
    <w:lvl w:ilvl="0">
      <w:lvlJc w:val="left"/>
      <w:lvlText w:val="(%1)"/>
      <w:numFmt w:val="decimal"/>
      <w:start w:val="1"/>
    </w:lvl>
  </w:abstractNum>
  <w:abstractNum w:abstractNumId="107">
    <w:nsid w:val="2157F6BC"/>
    <w:multiLevelType w:val="hybridMultilevel"/>
    <w:lvl w:ilvl="0">
      <w:lvlJc w:val="left"/>
      <w:lvlText w:val="(%1)"/>
      <w:numFmt w:val="decimal"/>
      <w:start w:val="1"/>
    </w:lvl>
  </w:abstractNum>
  <w:abstractNum w:abstractNumId="108">
    <w:nsid w:val="704E1DD5"/>
    <w:multiLevelType w:val="hybridMultilevel"/>
    <w:lvl w:ilvl="0">
      <w:lvlJc w:val="left"/>
      <w:lvlText w:val="(%1)"/>
      <w:numFmt w:val="decimal"/>
      <w:start w:val="2"/>
    </w:lvl>
  </w:abstractNum>
  <w:abstractNum w:abstractNumId="109">
    <w:nsid w:val="57D2F10E"/>
    <w:multiLevelType w:val="hybridMultilevel"/>
    <w:lvl w:ilvl="0">
      <w:lvlJc w:val="left"/>
      <w:lvlText w:val="(%1)"/>
      <w:numFmt w:val="decimal"/>
      <w:start w:val="3"/>
    </w:lvl>
  </w:abstractNum>
  <w:abstractNum w:abstractNumId="110">
    <w:nsid w:val="BFFAE18"/>
    <w:multiLevelType w:val="hybridMultilevel"/>
    <w:lvl w:ilvl="0">
      <w:lvlJc w:val="left"/>
      <w:lvlText w:val="(%1)"/>
      <w:numFmt w:val="decimal"/>
      <w:start w:val="1"/>
    </w:lvl>
  </w:abstractNum>
  <w:abstractNum w:abstractNumId="111">
    <w:nsid w:val="E3E47A8"/>
    <w:multiLevelType w:val="hybridMultilevel"/>
    <w:lvl w:ilvl="0">
      <w:lvlJc w:val="left"/>
      <w:lvlText w:val="(%1)"/>
      <w:numFmt w:val="decimal"/>
      <w:start w:val="1"/>
    </w:lvl>
  </w:abstractNum>
  <w:abstractNum w:abstractNumId="112">
    <w:nsid w:val="2E48F044"/>
    <w:multiLevelType w:val="hybridMultilevel"/>
    <w:lvl w:ilvl="0">
      <w:lvlJc w:val="left"/>
      <w:lvlText w:val="(%1)"/>
      <w:numFmt w:val="decimal"/>
      <w:start w:val="1"/>
    </w:lvl>
  </w:abstractNum>
  <w:abstractNum w:abstractNumId="113">
    <w:nsid w:val="49D0FEAC"/>
    <w:multiLevelType w:val="hybridMultilevel"/>
    <w:lvl w:ilvl="0">
      <w:lvlJc w:val="left"/>
      <w:lvlText w:val="(%1)"/>
      <w:numFmt w:val="decimal"/>
      <w:start w:val="1"/>
    </w:lvl>
  </w:abstractNum>
  <w:abstractNum w:abstractNumId="114">
    <w:nsid w:val="4BEE5A5B"/>
    <w:multiLevelType w:val="hybridMultilevel"/>
    <w:lvl w:ilvl="0">
      <w:lvlJc w:val="left"/>
      <w:lvlText w:val="(%1)"/>
      <w:numFmt w:val="decimal"/>
      <w:start w:val="1"/>
    </w:lvl>
  </w:abstractNum>
  <w:abstractNum w:abstractNumId="115">
    <w:nsid w:val="5551B9F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116">
    <w:nsid w:val="24F6AB8E"/>
    <w:multiLevelType w:val="hybridMultilevel"/>
    <w:lvl w:ilvl="0">
      <w:lvlJc w:val="left"/>
      <w:lvlText w:val="(%1)"/>
      <w:numFmt w:val="decimal"/>
      <w:start w:val="2"/>
    </w:lvl>
    <w:lvl w:ilvl="1">
      <w:lvlJc w:val="left"/>
      <w:lvlText w:val="(%2)"/>
      <w:numFmt w:val="decimal"/>
      <w:start w:val="4"/>
    </w:lvl>
    <w:lvl w:ilvl="2">
      <w:lvlJc w:val="left"/>
      <w:lvlText w:val="%3"/>
      <w:numFmt w:val="lowerRoman"/>
      <w:start w:val="1"/>
    </w:lvl>
    <w:lvl w:ilvl="3">
      <w:lvlJc w:val="left"/>
      <w:lvlText w:val="%4"/>
      <w:numFmt w:val="lowerRoman"/>
      <w:start w:val="1"/>
    </w:lvl>
  </w:abstractNum>
  <w:abstractNum w:abstractNumId="117">
    <w:nsid w:val="634C574C"/>
    <w:multiLevelType w:val="hybridMultilevel"/>
    <w:lvl w:ilvl="0">
      <w:lvlJc w:val="left"/>
      <w:lvlText w:val="(%1)"/>
      <w:numFmt w:val="decimal"/>
      <w:start w:val="5"/>
    </w:lvl>
    <w:lvl w:ilvl="1">
      <w:lvlJc w:val="left"/>
      <w:lvlText w:val="(%2)"/>
      <w:numFmt w:val="lowerRoman"/>
      <w:start w:val="1"/>
    </w:lvl>
  </w:abstractNum>
  <w:abstractNum w:abstractNumId="118">
    <w:nsid w:val="24E99DD7"/>
    <w:multiLevelType w:val="hybridMultilevel"/>
    <w:lvl w:ilvl="0">
      <w:lvlJc w:val="left"/>
      <w:lvlText w:val="(%1)"/>
      <w:numFmt w:val="lowerRoman"/>
      <w:start w:val="2"/>
    </w:lvl>
  </w:abstractNum>
  <w:abstractNum w:abstractNumId="119">
    <w:nsid w:val="2A31B62D"/>
    <w:multiLevelType w:val="hybridMultilevel"/>
    <w:lvl w:ilvl="0">
      <w:lvlJc w:val="left"/>
      <w:lvlText w:val="(%1)"/>
      <w:numFmt w:val="lowerRoman"/>
      <w:start w:val="3"/>
    </w:lvl>
  </w:abstractNum>
  <w:abstractNum w:abstractNumId="120">
    <w:nsid w:val="1849C29B"/>
    <w:multiLevelType w:val="hybridMultilevel"/>
    <w:lvl w:ilvl="0">
      <w:lvlJc w:val="left"/>
      <w:lvlText w:val="(%1)"/>
      <w:numFmt w:val="decimal"/>
      <w:start w:val="1"/>
    </w:lvl>
  </w:abstractNum>
  <w:abstractNum w:abstractNumId="121">
    <w:nsid w:val="7DFF9D09"/>
    <w:multiLevelType w:val="hybridMultilevel"/>
    <w:lvl w:ilvl="0">
      <w:lvlJc w:val="left"/>
      <w:lvlText w:val="%1."/>
      <w:numFmt w:val="decimal"/>
      <w:start w:val="6"/>
    </w:lvl>
  </w:abstractNum>
  <w:abstractNum w:abstractNumId="122">
    <w:nsid w:val="754342"/>
    <w:multiLevelType w:val="hybridMultilevel"/>
    <w:lvl w:ilvl="0">
      <w:lvlJc w:val="left"/>
      <w:lvlText w:val="(%1)"/>
      <w:numFmt w:val="decimal"/>
      <w:start w:val="1"/>
    </w:lvl>
  </w:abstractNum>
  <w:abstractNum w:abstractNumId="123">
    <w:nsid w:val="69E7F3E5"/>
    <w:multiLevelType w:val="hybridMultilevel"/>
    <w:lvl w:ilvl="0">
      <w:lvlJc w:val="left"/>
      <w:lvlText w:val="(%1)"/>
      <w:numFmt w:val="decimal"/>
      <w:start w:val="1"/>
    </w:lvl>
  </w:abstractNum>
  <w:abstractNum w:abstractNumId="124">
    <w:nsid w:val="2A6DE806"/>
    <w:multiLevelType w:val="hybridMultilevel"/>
    <w:lvl w:ilvl="0">
      <w:lvlJc w:val="left"/>
      <w:lvlText w:val="(%1)"/>
      <w:numFmt w:val="decimal"/>
      <w:start w:val="3"/>
    </w:lvl>
    <w:lvl w:ilvl="1">
      <w:lvlJc w:val="left"/>
      <w:lvlText w:val="(%2)"/>
      <w:numFmt w:val="lowerRoman"/>
      <w:start w:val="1"/>
    </w:lvl>
  </w:abstractNum>
  <w:abstractNum w:abstractNumId="125">
    <w:nsid w:val="1816F8C4"/>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126">
    <w:nsid w:val="37DF2233"/>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0"/>
    </w:lvl>
  </w:abstractNum>
  <w:abstractNum w:abstractNumId="127">
    <w:nsid w:val="7AB49DAF"/>
    <w:multiLevelType w:val="hybridMultilevel"/>
    <w:lvl w:ilvl="0">
      <w:lvlJc w:val="left"/>
      <w:lvlText w:val="%1."/>
      <w:numFmt w:val="decimal"/>
      <w:start w:val="7"/>
    </w:lvl>
  </w:abstractNum>
  <w:abstractNum w:abstractNumId="128">
    <w:nsid w:val="759F82CD"/>
    <w:multiLevelType w:val="hybridMultilevel"/>
    <w:lvl w:ilvl="0">
      <w:lvlJc w:val="left"/>
      <w:lvlText w:val="(%1)"/>
      <w:numFmt w:val="decimal"/>
      <w:start w:val="1"/>
    </w:lvl>
  </w:abstractNum>
  <w:abstractNum w:abstractNumId="129">
    <w:nsid w:val="61E74EA3"/>
    <w:multiLevelType w:val="hybridMultilevel"/>
    <w:lvl w:ilvl="0">
      <w:lvlJc w:val="left"/>
      <w:lvlText w:val="(%1)"/>
      <w:numFmt w:val="decimal"/>
      <w:start w:val="1"/>
    </w:lvl>
  </w:abstractNum>
  <w:abstractNum w:abstractNumId="130">
    <w:nsid w:val="597B4D84"/>
    <w:multiLevelType w:val="hybridMultilevel"/>
    <w:lvl w:ilvl="0">
      <w:lvlJc w:val="left"/>
      <w:lvlText w:val="%1."/>
      <w:numFmt w:val="decimal"/>
      <w:start w:val="8"/>
    </w:lvl>
  </w:abstractNum>
  <w:abstractNum w:abstractNumId="131">
    <w:nsid w:val="F819E7F"/>
    <w:multiLevelType w:val="hybridMultilevel"/>
    <w:lvl w:ilvl="0">
      <w:lvlJc w:val="left"/>
      <w:lvlText w:val="(%1)"/>
      <w:numFmt w:val="decimal"/>
      <w:start w:val="1"/>
    </w:lvl>
  </w:abstractNum>
  <w:abstractNum w:abstractNumId="132">
    <w:nsid w:val="57C7D42D"/>
    <w:multiLevelType w:val="hybridMultilevel"/>
    <w:lvl w:ilvl="0">
      <w:lvlJc w:val="left"/>
      <w:lvlText w:val="(%1)"/>
      <w:numFmt w:val="decimal"/>
      <w:start w:val="1"/>
    </w:lvl>
  </w:abstractNum>
  <w:abstractNum w:abstractNumId="133">
    <w:nsid w:val="312167AD"/>
    <w:multiLevelType w:val="hybridMultilevel"/>
    <w:lvl w:ilvl="0">
      <w:lvlJc w:val="left"/>
      <w:lvlText w:val="(%1)"/>
      <w:numFmt w:val="decimal"/>
      <w:start w:val="3"/>
    </w:lvl>
  </w:abstractNum>
  <w:abstractNum w:abstractNumId="134">
    <w:nsid w:val="631B64D4"/>
    <w:multiLevelType w:val="hybridMultilevel"/>
    <w:lvl w:ilvl="0">
      <w:lvlJc w:val="left"/>
      <w:lvlText w:val="%1."/>
      <w:numFmt w:val="decimal"/>
      <w:start w:val="9"/>
    </w:lvl>
  </w:abstractNum>
  <w:abstractNum w:abstractNumId="135">
    <w:nsid w:val="78B5E776"/>
    <w:multiLevelType w:val="hybridMultilevel"/>
    <w:lvl w:ilvl="0">
      <w:lvlJc w:val="left"/>
      <w:lvlText w:val="(%1)"/>
      <w:numFmt w:val="decimal"/>
      <w:start w:val="1"/>
    </w:lvl>
  </w:abstractNum>
  <w:abstractNum w:abstractNumId="136">
    <w:nsid w:val="75486E47"/>
    <w:multiLevelType w:val="hybridMultilevel"/>
    <w:lvl w:ilvl="0">
      <w:lvlJc w:val="left"/>
      <w:lvlText w:val="(%1)"/>
      <w:numFmt w:val="decimal"/>
      <w:start w:val="1"/>
    </w:lvl>
  </w:abstractNum>
  <w:abstractNum w:abstractNumId="137">
    <w:nsid w:val="6E534CDE"/>
    <w:multiLevelType w:val="hybridMultilevel"/>
    <w:lvl w:ilvl="0">
      <w:lvlJc w:val="left"/>
      <w:lvlText w:val="(%1)"/>
      <w:numFmt w:val="decimal"/>
      <w:start w:val="1"/>
    </w:lvl>
  </w:abstractNum>
  <w:abstractNum w:abstractNumId="138">
    <w:nsid w:val="1A0DDE32"/>
    <w:multiLevelType w:val="hybridMultilevel"/>
    <w:lvl w:ilvl="0">
      <w:lvlJc w:val="left"/>
      <w:lvlText w:val="(%1)"/>
      <w:numFmt w:val="decimal"/>
      <w:start w:val="1"/>
    </w:lvl>
  </w:abstractNum>
  <w:abstractNum w:abstractNumId="139">
    <w:nsid w:val="65968C1C"/>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40">
    <w:nsid w:val="46263DEC"/>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abstractNum>
  <w:abstractNum w:abstractNumId="141">
    <w:nsid w:val="260D8C4A"/>
    <w:multiLevelType w:val="hybridMultilevel"/>
    <w:lvl w:ilvl="0">
      <w:lvlJc w:val="left"/>
      <w:lvlText w:val="%1"/>
      <w:numFmt w:val="decimal"/>
      <w:start w:val="1"/>
    </w:lvl>
    <w:lvl w:ilvl="1">
      <w:lvlJc w:val="left"/>
      <w:lvlText w:val="(%2)"/>
      <w:numFmt w:val="lowerRoman"/>
      <w:start w:val="4"/>
    </w:lvl>
  </w:abstractNum>
  <w:abstractNum w:abstractNumId="142">
    <w:nsid w:val="73D4D3C4"/>
    <w:multiLevelType w:val="hybridMultilevel"/>
    <w:lvl w:ilvl="0">
      <w:lvlJc w:val="left"/>
      <w:lvlText w:val="(%1)"/>
      <w:numFmt w:val="decimal"/>
      <w:start w:val="7"/>
    </w:lvl>
    <w:lvl w:ilvl="1">
      <w:lvlJc w:val="left"/>
      <w:lvlText w:val="%2"/>
      <w:numFmt w:val="lowerRoman"/>
      <w:start w:val="1"/>
    </w:lvl>
  </w:abstractNum>
  <w:abstractNum w:abstractNumId="143">
    <w:nsid w:val="746F2E30"/>
    <w:multiLevelType w:val="hybridMultilevel"/>
    <w:lvl w:ilvl="0">
      <w:lvlJc w:val="left"/>
      <w:lvlText w:val="(%1)"/>
      <w:numFmt w:val="decimal"/>
      <w:start w:val="1"/>
    </w:lvl>
  </w:abstractNum>
  <w:abstractNum w:abstractNumId="144">
    <w:nsid w:val="6FDE8AF6"/>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145">
    <w:nsid w:val="3FC32E20"/>
    <w:multiLevelType w:val="hybridMultilevel"/>
    <w:lvl w:ilvl="0">
      <w:lvlJc w:val="left"/>
      <w:lvlText w:val="%1."/>
      <w:numFmt w:val="decimal"/>
      <w:start w:val="11"/>
    </w:lvl>
    <w:lvl w:ilvl="1">
      <w:lvlJc w:val="left"/>
      <w:lvlText w:val="%2"/>
      <w:numFmt w:val="decimal"/>
      <w:start w:val="1"/>
    </w:lvl>
    <w:lvl w:ilvl="2">
      <w:lvlJc w:val="left"/>
      <w:lvlText w:val="%3"/>
      <w:numFmt w:val="lowerRoman"/>
      <w:start w:val="1"/>
    </w:lvl>
  </w:abstractNum>
  <w:abstractNum w:abstractNumId="146">
    <w:nsid w:val="49C0E823"/>
    <w:multiLevelType w:val="hybridMultilevel"/>
    <w:lvl w:ilvl="0">
      <w:lvlJc w:val="left"/>
      <w:lvlText w:val="(%1)"/>
      <w:numFmt w:val="decimal"/>
      <w:start w:val="1"/>
    </w:lvl>
  </w:abstractNum>
  <w:abstractNum w:abstractNumId="147">
    <w:nsid w:val="14D53685"/>
    <w:multiLevelType w:val="hybridMultilevel"/>
    <w:lvl w:ilvl="0">
      <w:lvlJc w:val="left"/>
      <w:lvlText w:val="(%1)"/>
      <w:numFmt w:val="decimal"/>
      <w:start w:val="1"/>
    </w:lvl>
  </w:abstractNum>
  <w:abstractNum w:abstractNumId="148">
    <w:nsid w:val="230F856C"/>
    <w:multiLevelType w:val="hybridMultilevel"/>
    <w:lvl w:ilvl="0">
      <w:lvlJc w:val="left"/>
      <w:lvlText w:val="(%1)"/>
      <w:numFmt w:val="decimal"/>
      <w:start w:val="1"/>
    </w:lvl>
  </w:abstractNum>
  <w:abstractNum w:abstractNumId="149">
    <w:nsid w:val="6EAA85FB"/>
    <w:multiLevelType w:val="hybridMultilevel"/>
    <w:lvl w:ilvl="0">
      <w:lvlJc w:val="left"/>
      <w:lvlText w:val="%1."/>
      <w:numFmt w:val="decimal"/>
      <w:start w:val="2"/>
    </w:lvl>
  </w:abstractNum>
  <w:abstractNum w:abstractNumId="150">
    <w:nsid w:val="3F06ECB2"/>
    <w:multiLevelType w:val="hybridMultilevel"/>
    <w:lvl w:ilvl="0">
      <w:lvlJc w:val="left"/>
      <w:lvlText w:val="%1."/>
      <w:numFmt w:val="decimal"/>
      <w:start w:val="3"/>
    </w:lvl>
  </w:abstractNum>
  <w:abstractNum w:abstractNumId="151">
    <w:nsid w:val="3B594807"/>
    <w:multiLevelType w:val="hybridMultilevel"/>
    <w:lvl w:ilvl="0">
      <w:lvlJc w:val="left"/>
      <w:lvlText w:val="%1."/>
      <w:numFmt w:val="decimal"/>
      <w:start w:val="1"/>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decimal"/>
      <w:start w:val="5"/>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56">
    <w:nsid w:val="579328B9"/>
    <w:multiLevelType w:val="hybridMultilevel"/>
    <w:lvl w:ilvl="0">
      <w:lvlJc w:val="left"/>
      <w:lvlText w:val="%1"/>
      <w:numFmt w:val="decimal"/>
      <w:start w:val="1"/>
    </w:lvl>
    <w:lvl w:ilvl="1">
      <w:lvlJc w:val="left"/>
      <w:lvlText w:val="(%2)"/>
      <w:numFmt w:val="lowerLetter"/>
      <w:start w:val="3"/>
    </w:lvl>
  </w:abstractNum>
  <w:abstractNum w:abstractNumId="157">
    <w:nsid w:val="5D205E20"/>
    <w:multiLevelType w:val="hybridMultilevel"/>
    <w:lvl w:ilvl="0">
      <w:lvlJc w:val="left"/>
      <w:lvlText w:val="%1."/>
      <w:numFmt w:val="decimal"/>
      <w:start w:val="5"/>
    </w:lvl>
    <w:lvl w:ilvl="1">
      <w:lvlJc w:val="left"/>
      <w:lvlText w:val="(%2)"/>
      <w:numFmt w:val="lowerLetter"/>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2019-12-07T22:19:31Z</dcterms:created>
  <dcterms:modified xsi:type="dcterms:W3CDTF">2019-12-07T22:19:31Z</dcterms:modified>
</cp:coreProperties>
</file>