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9" w:lineRule="exact"/>
        <w:rPr>
          <w:sz w:val="24"/>
          <w:szCs w:val="24"/>
          <w:color w:val="auto"/>
        </w:rPr>
      </w:pPr>
    </w:p>
    <w:p>
      <w:pPr>
        <w:ind w:left="4100" w:right="2980" w:hanging="4092"/>
        <w:spacing w:after="0" w:line="521" w:lineRule="auto"/>
        <w:tabs>
          <w:tab w:leader="none" w:pos="35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1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5080" w:type="dxa"/>
            <w:vAlign w:val="bottom"/>
          </w:tcPr>
          <w:p>
            <w:pPr>
              <w:ind w:left="29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c>
          <w:tcPr>
            <w:tcW w:w="76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420"/>
        </w:trPr>
        <w:tc>
          <w:tcPr>
            <w:tcW w:w="8960" w:type="dxa"/>
            <w:vAlign w:val="bottom"/>
            <w:gridSpan w:val="6"/>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Commission File Number: 001-36083</w:t>
            </w:r>
          </w:p>
        </w:tc>
      </w:tr>
      <w:tr>
        <w:trPr>
          <w:trHeight w:val="395"/>
        </w:trPr>
        <w:tc>
          <w:tcPr>
            <w:tcW w:w="5900" w:type="dxa"/>
            <w:vAlign w:val="bottom"/>
            <w:gridSpan w:val="3"/>
          </w:tcPr>
          <w:p>
            <w:pPr>
              <w:jc w:val="center"/>
              <w:ind w:left="3799"/>
              <w:spacing w:after="0"/>
              <w:rPr>
                <w:sz w:val="20"/>
                <w:szCs w:val="20"/>
                <w:color w:val="auto"/>
              </w:rPr>
            </w:pPr>
            <w:r>
              <w:rPr>
                <w:rFonts w:ascii="Times New Roman" w:cs="Times New Roman" w:eastAsia="Times New Roman" w:hAnsi="Times New Roman"/>
                <w:sz w:val="16"/>
                <w:szCs w:val="16"/>
                <w:b w:val="1"/>
                <w:bCs w:val="1"/>
                <w:color w:val="auto"/>
              </w:rPr>
              <w:t>Applied Optoelectronics,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8960" w:type="dxa"/>
            <w:vAlign w:val="bottom"/>
            <w:gridSpan w:val="6"/>
          </w:tcPr>
          <w:p>
            <w:pPr>
              <w:ind w:left="30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03"/>
        </w:trPr>
        <w:tc>
          <w:tcPr>
            <w:tcW w:w="5900" w:type="dxa"/>
            <w:vAlign w:val="bottom"/>
            <w:gridSpan w:val="3"/>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76-0533927</w:t>
            </w:r>
          </w:p>
        </w:tc>
      </w:tr>
      <w:tr>
        <w:trPr>
          <w:trHeight w:val="203"/>
        </w:trPr>
        <w:tc>
          <w:tcPr>
            <w:tcW w:w="5900" w:type="dxa"/>
            <w:vAlign w:val="bottom"/>
            <w:gridSpan w:val="3"/>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200" w:type="dxa"/>
            <w:vAlign w:val="bottom"/>
          </w:tcPr>
          <w:p>
            <w:pPr>
              <w:spacing w:after="0"/>
              <w:rPr>
                <w:sz w:val="17"/>
                <w:szCs w:val="17"/>
                <w:color w:val="auto"/>
              </w:rPr>
            </w:pPr>
          </w:p>
        </w:tc>
        <w:tc>
          <w:tcPr>
            <w:tcW w:w="28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03"/>
        </w:trPr>
        <w:tc>
          <w:tcPr>
            <w:tcW w:w="5900" w:type="dxa"/>
            <w:vAlign w:val="bottom"/>
            <w:gridSpan w:val="3"/>
          </w:tcPr>
          <w:p>
            <w:pPr>
              <w:jc w:val="center"/>
              <w:ind w:left="3779"/>
              <w:spacing w:after="0"/>
              <w:rPr>
                <w:sz w:val="20"/>
                <w:szCs w:val="20"/>
                <w:color w:val="auto"/>
              </w:rPr>
            </w:pPr>
            <w:r>
              <w:rPr>
                <w:rFonts w:ascii="Times New Roman" w:cs="Times New Roman" w:eastAsia="Times New Roman" w:hAnsi="Times New Roman"/>
                <w:sz w:val="16"/>
                <w:szCs w:val="16"/>
                <w:b w:val="1"/>
                <w:bCs w:val="1"/>
                <w:color w:val="auto"/>
              </w:rPr>
              <w:t>13139 Jess Pirtle Blvd.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2"/>
        </w:trPr>
        <w:tc>
          <w:tcPr>
            <w:tcW w:w="5900" w:type="dxa"/>
            <w:vAlign w:val="bottom"/>
            <w:gridSpan w:val="3"/>
          </w:tcPr>
          <w:p>
            <w:pPr>
              <w:jc w:val="center"/>
              <w:ind w:left="3839"/>
              <w:spacing w:after="0"/>
              <w:rPr>
                <w:sz w:val="20"/>
                <w:szCs w:val="20"/>
                <w:color w:val="auto"/>
              </w:rPr>
            </w:pPr>
            <w:r>
              <w:rPr>
                <w:rFonts w:ascii="Times New Roman" w:cs="Times New Roman" w:eastAsia="Times New Roman" w:hAnsi="Times New Roman"/>
                <w:sz w:val="16"/>
                <w:szCs w:val="16"/>
                <w:b w:val="1"/>
                <w:bCs w:val="1"/>
                <w:color w:val="auto"/>
              </w:rPr>
              <w:t>Sugar Land, TX 77478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11" w:lineRule="exact"/>
        <w:rPr>
          <w:sz w:val="24"/>
          <w:szCs w:val="24"/>
          <w:color w:val="auto"/>
        </w:rPr>
      </w:pPr>
    </w:p>
    <w:p>
      <w:pPr>
        <w:ind w:left="5500" w:hanging="382"/>
        <w:spacing w:after="0"/>
        <w:tabs>
          <w:tab w:leader="none" w:pos="55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295-1800</w:t>
      </w:r>
    </w:p>
    <w:p>
      <w:pPr>
        <w:spacing w:after="0" w:line="28" w:lineRule="exact"/>
        <w:rPr>
          <w:rFonts w:ascii="Times New Roman" w:cs="Times New Roman" w:eastAsia="Times New Roman" w:hAnsi="Times New Roman"/>
          <w:sz w:val="16"/>
          <w:szCs w:val="16"/>
          <w:b w:val="1"/>
          <w:bCs w:val="1"/>
          <w:color w:val="auto"/>
        </w:rPr>
      </w:pPr>
    </w:p>
    <w:p>
      <w:pPr>
        <w:ind w:left="4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(Registrant’s telephone number)</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6"/>
                <w:szCs w:val="16"/>
                <w:color w:val="auto"/>
              </w:rPr>
            </w:pPr>
          </w:p>
        </w:tc>
        <w:tc>
          <w:tcPr>
            <w:tcW w:w="5100" w:type="dxa"/>
            <w:vAlign w:val="bottom"/>
          </w:tcPr>
          <w:p>
            <w:pPr>
              <w:spacing w:after="0"/>
              <w:rPr>
                <w:sz w:val="16"/>
                <w:szCs w:val="16"/>
                <w:color w:val="auto"/>
              </w:rPr>
            </w:pPr>
          </w:p>
        </w:tc>
      </w:tr>
      <w:tr>
        <w:trPr>
          <w:trHeight w:val="223"/>
        </w:trPr>
        <w:tc>
          <w:tcPr>
            <w:tcW w:w="4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4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Trading Symbol(s)</w:t>
            </w:r>
          </w:p>
        </w:tc>
        <w:tc>
          <w:tcPr>
            <w:tcW w:w="510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Trading Name of each exchange on which registered</w:t>
            </w:r>
          </w:p>
        </w:tc>
      </w:tr>
      <w:tr>
        <w:trPr>
          <w:trHeight w:val="210"/>
        </w:trPr>
        <w:tc>
          <w:tcPr>
            <w:tcW w:w="42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94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AAOI</w:t>
            </w:r>
          </w:p>
        </w:tc>
        <w:tc>
          <w:tcPr>
            <w:tcW w:w="510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18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85" w:lineRule="exact"/>
        <w:rPr>
          <w:sz w:val="24"/>
          <w:szCs w:val="24"/>
          <w:color w:val="auto"/>
        </w:rPr>
      </w:pPr>
    </w:p>
    <w:p>
      <w:pPr>
        <w:ind w:left="400" w:right="1720"/>
        <w:spacing w:after="0" w:line="33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of 1933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right="300" w:firstLine="38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20" w:firstLine="38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74" w:lineRule="exact"/>
        <w:rPr>
          <w:sz w:val="24"/>
          <w:szCs w:val="24"/>
          <w:color w:val="auto"/>
        </w:rPr>
      </w:pPr>
    </w:p>
    <w:p>
      <w:pPr>
        <w:ind w:right="220" w:firstLine="4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tbl>
      <w:tblPr>
        <w:tblLayout w:type="fixed"/>
        <w:tblInd w:w="660" w:type="dxa"/>
        <w:tblCellMar>
          <w:top w:w="0" w:type="dxa"/>
          <w:left w:w="0" w:type="dxa"/>
          <w:bottom w:w="0" w:type="dxa"/>
          <w:right w:w="0" w:type="dxa"/>
        </w:tblCellMar>
      </w:tblPr>
      <w:tr>
        <w:trPr>
          <w:trHeight w:val="160"/>
        </w:trPr>
        <w:tc>
          <w:tcPr>
            <w:tcW w:w="2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Large accelerated filer</w:t>
            </w:r>
          </w:p>
        </w:tc>
        <w:tc>
          <w:tcPr>
            <w:tcW w:w="16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line="160" w:lineRule="exact"/>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right="280" w:firstLine="39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ind w:right="160" w:firstLine="39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3" w:lineRule="exact"/>
        <w:rPr>
          <w:sz w:val="24"/>
          <w:szCs w:val="24"/>
          <w:color w:val="auto"/>
        </w:rPr>
      </w:pPr>
    </w:p>
    <w:p>
      <w:pPr>
        <w:ind w:right="160" w:firstLine="389"/>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4"/>
          <w:szCs w:val="24"/>
          <w:color w:val="auto"/>
        </w:rPr>
      </w:pPr>
    </w:p>
    <w:p>
      <w:pPr>
        <w:ind w:right="160" w:firstLine="38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ind w:left="40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ind w:right="120" w:firstLine="389"/>
        <w:spacing w:after="0" w:line="275" w:lineRule="auto"/>
        <w:rPr>
          <w:sz w:val="20"/>
          <w:szCs w:val="20"/>
          <w:color w:val="auto"/>
        </w:rPr>
      </w:pPr>
      <w:r>
        <w:rPr>
          <w:rFonts w:ascii="Times New Roman" w:cs="Times New Roman" w:eastAsia="Times New Roman" w:hAnsi="Times New Roman"/>
          <w:sz w:val="16"/>
          <w:szCs w:val="16"/>
          <w:color w:val="auto"/>
        </w:rPr>
        <w:t>As of June 30, 2024, the aggregate market value of the common stock held by non-affiliates of the Registrant was $308,762,020 based upon the closing sales price of the Registrant’s common stock as reported on the NASDAQ Global Markets on June 28, 2024 of $8.29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6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February 24, 2025, the Registrant had49,651,482 outstanding shares of Common Stock.</w:t>
      </w:r>
    </w:p>
    <w:p>
      <w:pPr>
        <w:sectPr>
          <w:pgSz w:w="11900" w:h="16838" w:orient="portrait"/>
          <w:cols w:equalWidth="0" w:num="1">
            <w:col w:w="11240"/>
          </w:cols>
          <w:pgMar w:left="320" w:top="1120" w:right="339" w:bottom="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1" w:lineRule="exact"/>
        <w:rPr>
          <w:sz w:val="20"/>
          <w:szCs w:val="20"/>
          <w:color w:val="auto"/>
        </w:rPr>
      </w:pPr>
    </w:p>
    <w:p>
      <w:pPr>
        <w:ind w:firstLine="389"/>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Registrant’s 2025 Special and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6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9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1.</w:t>
            </w:r>
          </w:p>
        </w:tc>
        <w:tc>
          <w:tcPr>
            <w:tcW w:w="600" w:type="dxa"/>
            <w:vAlign w:val="bottom"/>
            <w:gridSpan w:val="4"/>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1A.</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13</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1"/>
              </w:rPr>
              <w:t>Item 1B.</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1"/>
              </w:rPr>
              <w:t>Item 1C.</w:t>
            </w:r>
          </w:p>
        </w:tc>
        <w:tc>
          <w:tcPr>
            <w:tcW w:w="440" w:type="dxa"/>
            <w:vAlign w:val="bottom"/>
            <w:gridSpan w:val="2"/>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gridSpan w:val="6"/>
          </w:tcPr>
          <w:p>
            <w:pPr>
              <w:spacing w:after="0"/>
              <w:rPr>
                <w:sz w:val="24"/>
                <w:szCs w:val="24"/>
                <w:color w:val="auto"/>
              </w:rPr>
            </w:pPr>
          </w:p>
        </w:tc>
        <w:tc>
          <w:tcPr>
            <w:tcW w:w="6840" w:type="dxa"/>
            <w:vAlign w:val="bottom"/>
            <w:gridSpan w:val="12"/>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2.</w:t>
            </w:r>
          </w:p>
        </w:tc>
        <w:tc>
          <w:tcPr>
            <w:tcW w:w="1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gridSpan w:val="3"/>
          </w:tcPr>
          <w:p>
            <w:pPr>
              <w:spacing w:after="0"/>
              <w:rPr>
                <w:sz w:val="24"/>
                <w:szCs w:val="24"/>
                <w:color w:val="auto"/>
              </w:rPr>
            </w:pPr>
          </w:p>
        </w:tc>
        <w:tc>
          <w:tcPr>
            <w:tcW w:w="7860" w:type="dxa"/>
            <w:vAlign w:val="bottom"/>
            <w:gridSpan w:val="18"/>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3.</w:t>
            </w:r>
          </w:p>
        </w:tc>
        <w:tc>
          <w:tcPr>
            <w:tcW w:w="600" w:type="dxa"/>
            <w:vAlign w:val="bottom"/>
            <w:gridSpan w:val="4"/>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560" w:type="dxa"/>
            <w:vAlign w:val="bottom"/>
            <w:gridSpan w:val="17"/>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4.</w:t>
            </w:r>
          </w:p>
        </w:tc>
        <w:tc>
          <w:tcPr>
            <w:tcW w:w="600" w:type="dxa"/>
            <w:vAlign w:val="bottom"/>
            <w:gridSpan w:val="4"/>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Mine Safety Disclosure</w:t>
            </w:r>
          </w:p>
        </w:tc>
        <w:tc>
          <w:tcPr>
            <w:tcW w:w="7180" w:type="dxa"/>
            <w:vAlign w:val="bottom"/>
            <w:gridSpan w:val="15"/>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5.</w:t>
            </w:r>
          </w:p>
        </w:tc>
        <w:tc>
          <w:tcPr>
            <w:tcW w:w="600" w:type="dxa"/>
            <w:vAlign w:val="bottom"/>
            <w:gridSpan w:val="4"/>
          </w:tcPr>
          <w:p>
            <w:pPr>
              <w:spacing w:after="0"/>
              <w:rPr>
                <w:sz w:val="24"/>
                <w:szCs w:val="24"/>
                <w:color w:val="auto"/>
              </w:rPr>
            </w:pPr>
          </w:p>
        </w:tc>
        <w:tc>
          <w:tcPr>
            <w:tcW w:w="80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6.</w:t>
            </w:r>
          </w:p>
        </w:tc>
        <w:tc>
          <w:tcPr>
            <w:tcW w:w="600" w:type="dxa"/>
            <w:vAlign w:val="bottom"/>
            <w:gridSpan w:val="4"/>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gridSpan w:val="19"/>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7.</w:t>
            </w:r>
          </w:p>
        </w:tc>
        <w:tc>
          <w:tcPr>
            <w:tcW w:w="600" w:type="dxa"/>
            <w:vAlign w:val="bottom"/>
            <w:gridSpan w:val="4"/>
          </w:tcPr>
          <w:p>
            <w:pPr>
              <w:spacing w:after="0"/>
              <w:rPr>
                <w:sz w:val="24"/>
                <w:szCs w:val="24"/>
                <w:color w:val="auto"/>
              </w:rPr>
            </w:pPr>
          </w:p>
        </w:tc>
        <w:tc>
          <w:tcPr>
            <w:tcW w:w="6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420" w:type="dxa"/>
            <w:vAlign w:val="bottom"/>
            <w:gridSpan w:val="4"/>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30</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7A.</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43</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8.</w:t>
            </w:r>
          </w:p>
        </w:tc>
        <w:tc>
          <w:tcPr>
            <w:tcW w:w="1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43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580" w:type="dxa"/>
            <w:vAlign w:val="bottom"/>
            <w:gridSpan w:val="7"/>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9.</w:t>
            </w:r>
          </w:p>
        </w:tc>
        <w:tc>
          <w:tcPr>
            <w:tcW w:w="600" w:type="dxa"/>
            <w:vAlign w:val="bottom"/>
            <w:gridSpan w:val="4"/>
          </w:tcPr>
          <w:p>
            <w:pPr>
              <w:spacing w:after="0"/>
              <w:rPr>
                <w:sz w:val="24"/>
                <w:szCs w:val="24"/>
                <w:color w:val="auto"/>
              </w:rPr>
            </w:pPr>
          </w:p>
        </w:tc>
        <w:tc>
          <w:tcPr>
            <w:tcW w:w="64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400" w:type="dxa"/>
            <w:vAlign w:val="bottom"/>
            <w:gridSpan w:val="3"/>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9A.</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1"/>
              </w:rPr>
              <w:t>Item 9B.</w:t>
            </w:r>
          </w:p>
        </w:tc>
        <w:tc>
          <w:tcPr>
            <w:tcW w:w="4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24"/>
                <w:szCs w:val="24"/>
                <w:color w:val="auto"/>
              </w:rPr>
            </w:pPr>
          </w:p>
        </w:tc>
        <w:tc>
          <w:tcPr>
            <w:tcW w:w="7120" w:type="dxa"/>
            <w:vAlign w:val="bottom"/>
            <w:gridSpan w:val="14"/>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5"/>
              </w:rPr>
              <w:t>Item 9C</w:t>
            </w:r>
          </w:p>
        </w:tc>
        <w:tc>
          <w:tcPr>
            <w:tcW w:w="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9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980" w:type="dxa"/>
            <w:vAlign w:val="bottom"/>
            <w:gridSpan w:val="6"/>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Part III</w:t>
            </w:r>
          </w:p>
        </w:tc>
        <w:tc>
          <w:tcPr>
            <w:tcW w:w="5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10.</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11.</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12.</w:t>
            </w:r>
          </w:p>
        </w:tc>
        <w:tc>
          <w:tcPr>
            <w:tcW w:w="440" w:type="dxa"/>
            <w:vAlign w:val="bottom"/>
            <w:gridSpan w:val="2"/>
          </w:tcPr>
          <w:p>
            <w:pPr>
              <w:spacing w:after="0"/>
              <w:rPr>
                <w:sz w:val="24"/>
                <w:szCs w:val="24"/>
                <w:color w:val="auto"/>
              </w:rPr>
            </w:pPr>
          </w:p>
        </w:tc>
        <w:tc>
          <w:tcPr>
            <w:tcW w:w="7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580" w:type="dxa"/>
            <w:vAlign w:val="bottom"/>
            <w:gridSpan w:val="2"/>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13.</w:t>
            </w:r>
          </w:p>
        </w:tc>
        <w:tc>
          <w:tcPr>
            <w:tcW w:w="440" w:type="dxa"/>
            <w:vAlign w:val="bottom"/>
            <w:gridSpan w:val="2"/>
          </w:tcPr>
          <w:p>
            <w:pPr>
              <w:spacing w:after="0"/>
              <w:rPr>
                <w:sz w:val="24"/>
                <w:szCs w:val="24"/>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24"/>
                <w:szCs w:val="24"/>
                <w:color w:val="auto"/>
              </w:rPr>
            </w:pPr>
          </w:p>
        </w:tc>
        <w:tc>
          <w:tcPr>
            <w:tcW w:w="1580" w:type="dxa"/>
            <w:vAlign w:val="bottom"/>
            <w:gridSpan w:val="2"/>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14.</w:t>
            </w:r>
          </w:p>
        </w:tc>
        <w:tc>
          <w:tcPr>
            <w:tcW w:w="440" w:type="dxa"/>
            <w:vAlign w:val="bottom"/>
            <w:gridSpan w:val="2"/>
          </w:tcPr>
          <w:p>
            <w:pPr>
              <w:spacing w:after="0"/>
              <w:rPr>
                <w:sz w:val="24"/>
                <w:szCs w:val="24"/>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420" w:type="dxa"/>
            <w:vAlign w:val="bottom"/>
            <w:gridSpan w:val="5"/>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Part IV</w:t>
            </w:r>
          </w:p>
        </w:tc>
        <w:tc>
          <w:tcPr>
            <w:tcW w:w="5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49</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440" w:type="dxa"/>
            <w:vAlign w:val="bottom"/>
            <w:gridSpan w:val="2"/>
          </w:tcPr>
          <w:p>
            <w:pPr>
              <w:spacing w:after="0"/>
              <w:rPr>
                <w:sz w:val="24"/>
                <w:szCs w:val="24"/>
                <w:color w:val="auto"/>
              </w:rPr>
            </w:pP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720" w:type="dxa"/>
            <w:vAlign w:val="bottom"/>
            <w:gridSpan w:val="10"/>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49</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16.</w:t>
            </w:r>
          </w:p>
        </w:tc>
        <w:tc>
          <w:tcPr>
            <w:tcW w:w="44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gridSpan w:val="6"/>
          </w:tcPr>
          <w:p>
            <w:pPr>
              <w:spacing w:after="0"/>
              <w:rPr>
                <w:sz w:val="24"/>
                <w:szCs w:val="24"/>
                <w:color w:val="auto"/>
              </w:rPr>
            </w:pPr>
          </w:p>
        </w:tc>
        <w:tc>
          <w:tcPr>
            <w:tcW w:w="5720" w:type="dxa"/>
            <w:vAlign w:val="bottom"/>
            <w:gridSpan w:val="10"/>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49</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54</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21" w:right="499" w:bottom="1440" w:gutter="0" w:footer="0" w:header="0"/>
        </w:sectPr>
      </w:pPr>
    </w:p>
    <w:p>
      <w:pPr>
        <w:spacing w:after="0" w:line="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expectations regarding the acquisition or divestiture of assets and business;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8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(the “Company” or "AOI") is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 deployments and system updates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internet data center market is currently our largest and fastest-growing market. Our customers in this market are generally large internet-based (“hyperscale”) data center operators, along with equipment suppliers who supply our products along with others to our hyperscale data center operator customers. In both cases,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 In addition, we believe that the significant automation employed in our production process for data center optical modules gives us advantages over our competitors in the ability to scale production rapidly, which is beneficial because the rapid adoption of artificial intelligence ("AI") is fueling a new wave of investment by hyperscale data center operators, as AI computing is very compute and bandwidth intensive.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CATV market is our second largest and the most established market, for which we supply a broad array of products, including lasers, transmitters and transceivers, and turn-key equipment. Sales of headend, node and distribution equipment, including amplifiers, have contributed significantly to our revenue in recent years as a result of our ability to meet the needs of CATV equipment vendors who have continued to outsource both the design and manufacturing of this equipment. In 2023, we began offering many of our CATV products directly to MSO customers, under the newly-created Quantum Bandwidth™ brand name. We made this strategic decision in order to better address the needs of our MSO customers as we believe they are embarking on a complex and lengthy series of network upgrades that will likely require significant innovation from their equipment suppliers. By selling products directly to these customers, we believe that we will be able to address these needs more efficiently and will improve our time to market for these new innovations, which MSOs have indicated will be critical to timely rollout of their planned network upgrades.</w:t>
      </w:r>
    </w:p>
    <w:p>
      <w:pPr>
        <w:spacing w:after="0" w:line="192" w:lineRule="exact"/>
        <w:rPr>
          <w:sz w:val="20"/>
          <w:szCs w:val="20"/>
          <w:color w:val="auto"/>
        </w:rPr>
      </w:pPr>
    </w:p>
    <w:p>
      <w:pPr>
        <w:ind w:firstLine="683"/>
        <w:spacing w:after="0" w:line="255" w:lineRule="auto"/>
        <w:rPr>
          <w:sz w:val="20"/>
          <w:szCs w:val="20"/>
          <w:color w:val="auto"/>
        </w:rPr>
      </w:pPr>
      <w:r>
        <w:rPr>
          <w:rFonts w:ascii="Times New Roman" w:cs="Times New Roman" w:eastAsia="Times New Roman" w:hAnsi="Times New Roman"/>
          <w:sz w:val="18"/>
          <w:szCs w:val="18"/>
          <w:color w:val="auto"/>
        </w:rPr>
        <w:t>As the complexity of CATV networks has increased over the years, equipment vendors, many of whom are our customers, have been under pressure to supply a wider variety of increasingly complex equipment to MSOs. In order to meet these demands, many equipment vendors have looked to engage with suppliers like us who have the capability to design and manufacture various network equipment or subassemblies, rather than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 Our recent launch of our own branded line of equipment offers an additional growth opportunity for us, enabling us to sell directly to MSOs in certain cases rather than to CATV equipment vendors.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2024, 2023 and 2022, our revenue was $249.4 million, $217.6 million and $222.8 million and our gross margin was 24.8%, 27.1% and 15.1%, respectively. In the years ended December 31, 2024, 2023 and 2022, we had net loss of $186.7 million, $56.0 million and $66.4 million, respectively.</w:t>
      </w:r>
    </w:p>
    <w:p>
      <w:pPr>
        <w:ind w:right="320"/>
        <w:spacing w:after="0" w:line="260" w:lineRule="auto"/>
        <w:rPr>
          <w:sz w:val="20"/>
          <w:szCs w:val="20"/>
          <w:color w:val="auto"/>
        </w:rPr>
      </w:pPr>
      <w:r>
        <w:rPr>
          <w:rFonts w:ascii="Times New Roman" w:cs="Times New Roman" w:eastAsia="Times New Roman" w:hAnsi="Times New Roman"/>
          <w:sz w:val="18"/>
          <w:szCs w:val="18"/>
          <w:color w:val="auto"/>
        </w:rPr>
        <w:t>At December 31, 2024 and 2023, our accumulated deficits were $451.9 million and $265.1 million, respectively. In 2024, we earned 59.5% of our total revenue from the internet data center market and 35.2% of our total revenue from the CATV market.</w:t>
      </w:r>
    </w:p>
    <w:p>
      <w:pPr>
        <w:spacing w:after="0" w:line="1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2024, our key customers in the internet data center market included Microsoft and Oracle. In 2024, 2023 and 2022, Microsoft accounted for 43.7%, 46.6% and 18.4% of our revenue, and Oracle accounted for 12.4%, 8.8% and 5.9% of our revenue, respectively. In 2024, our key customer in the CATV market was Digicomm. In 2024, 2023, and 2022, Digicomm accounted for 34.1%, 11.3% and 0% of our revenue and ATX Networks accounted for 0%, 15.6% and 47.3% of our revenue, respectively.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2024, our four target markets, internet data center, CATV, telecom and FTTH, experienced a significant growth in bandwidth consumption and the corresponding need for network infrastructure improvement to support this growth.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prevailing trends in our target markets include:</w:t>
      </w:r>
    </w:p>
    <w:p>
      <w:pPr>
        <w:spacing w:after="0" w:line="221" w:lineRule="exact"/>
        <w:rPr>
          <w:sz w:val="20"/>
          <w:szCs w:val="20"/>
          <w:color w:val="auto"/>
        </w:rPr>
      </w:pPr>
    </w:p>
    <w:p>
      <w:pPr>
        <w:ind w:left="980" w:right="20" w:hanging="324"/>
        <w:spacing w:after="0" w:line="251" w:lineRule="auto"/>
        <w:tabs>
          <w:tab w:leader="none" w:pos="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Trends in the Internet Data Center Market. </w:t>
      </w:r>
      <w:r>
        <w:rPr>
          <w:rFonts w:ascii="Times New Roman" w:cs="Times New Roman" w:eastAsia="Times New Roman" w:hAnsi="Times New Roman"/>
          <w:sz w:val="18"/>
          <w:szCs w:val="18"/>
          <w:color w:val="auto"/>
        </w:rPr>
        <w:t>To support the substantial increase in bandwidth consumption, internet data center operators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the scale of their internet data centers and deploying infrastructure capable of higher data transmission rates. As a result, there is an ongoing transition from the use of copper cable, typically at speeds of up to 1 gigabit per second ("Gbps"), to optical fiber as a transport medium, typically providing speeds from 10 Gbps to 800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 In recent years, supply chain disruptions caused by the pandemic and other factors have become increasingly concerning to our customers. As a result, we believe that our ability to manufacture lasers and other data center products in the US represents a competitive advantage compared with many of our competitors who have most or all of their production outside the US. We have developed a highly-automated production process for many of our data center products, and we believe that this gives us advantages over many of our competitors in terms of ability to scale production rapidly, as well as being able to locate production in favorable geographic locations while maintaining relatively low production costs. Hyperscale data center operators have consistently sought and deployed the most advanced technologies to support the compute and bandwidth needs within their facilities, driving the growth of optical networking within data centers. These operators have adopted more open internet data center architectures and have designed their own networking equipment, both of which use a mix of systems and components from a variety of vendors. We have benefited from these trends over the past several years, and we expect to continue to benefit from them. Recently the hyperscale data center operators have begun to build and upgrade their data centers to support AI, offering us a new growth opportunity. The leading-edge AI applications require significantly more compute capacity and bandwidth, driving the need for faster (400Gbps and higher) and innovative optical networking solutions to support the intra-data center connectivity needs.</w:t>
      </w:r>
    </w:p>
    <w:p>
      <w:pPr>
        <w:spacing w:after="0" w:line="205" w:lineRule="exact"/>
        <w:rPr>
          <w:rFonts w:ascii="MS PGothic" w:cs="MS PGothic" w:eastAsia="MS PGothic" w:hAnsi="MS PGothic"/>
          <w:sz w:val="18"/>
          <w:szCs w:val="18"/>
          <w:color w:val="auto"/>
        </w:rPr>
      </w:pPr>
    </w:p>
    <w:p>
      <w:pPr>
        <w:ind w:left="980" w:hanging="324"/>
        <w:spacing w:after="0" w:line="230" w:lineRule="auto"/>
        <w:tabs>
          <w:tab w:leader="none" w:pos="980" w:val="left"/>
        </w:tabs>
        <w:numPr>
          <w:ilvl w:val="0"/>
          <w:numId w:val="4"/>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i w:val="1"/>
          <w:iCs w:val="1"/>
          <w:color w:val="auto"/>
        </w:rPr>
        <w:t xml:space="preserve">Trends in the CATV Market. </w:t>
      </w:r>
      <w:r>
        <w:rPr>
          <w:rFonts w:ascii="Times New Roman" w:cs="Times New Roman" w:eastAsia="Times New Roman" w:hAnsi="Times New Roman"/>
          <w:sz w:val="18"/>
          <w:szCs w:val="18"/>
          <w:color w:val="auto"/>
        </w:rPr>
        <w:t>Beginning over two decades ago, CATV service providers have invested extensively to support high speed, two-way communications over their networks and we expect that they will continue to do so. In North America, CATV service providers have most recently upgraded their networks with technologies like DOCSIS 3.1, which enables them to offer high speed internet connections to their customers. In order to increase available bandwidth for their customers beyond the bandwidth possible with DOCSIS 3.1, cable MSOs have supported the development of DOCSIS 4.0, which is primarily aimed at increasing the amount of bandwidth available to offer to customers, and also to making the distribution of bandwidth between "forward-path" (i.e. from the MSO office to the customer) and "return-path" (i.e. from the customer to the MSO office) more flexible. In part, enabling the flexible deployment of bandwidth between forward-path and return-path is an effort by MSOs to enable their networks to more effectively scale with consumer demand trends in the future. MSOs like Comcast and Charter have announced plans to spend billions of dollars over the next few years to upgrade to DOCSIS 4.0 network equipment. As one of the early developers of DOCSIS 4.0 equipment, we believe that this represents a significant opportunity for sales of CATV equipment in the next few years.</w:t>
      </w:r>
    </w:p>
    <w:p>
      <w:pPr>
        <w:spacing w:after="0" w:line="196" w:lineRule="exact"/>
        <w:rPr>
          <w:rFonts w:ascii="MS PGothic" w:cs="MS PGothic" w:eastAsia="MS PGothic" w:hAnsi="MS PGothic"/>
          <w:sz w:val="43"/>
          <w:szCs w:val="43"/>
          <w:color w:val="auto"/>
          <w:vertAlign w:val="subscript"/>
        </w:rPr>
      </w:pPr>
    </w:p>
    <w:p>
      <w:pPr>
        <w:ind w:left="980" w:right="20" w:hanging="324"/>
        <w:spacing w:after="0" w:line="220" w:lineRule="auto"/>
        <w:tabs>
          <w:tab w:leader="none" w:pos="980" w:val="left"/>
        </w:tabs>
        <w:numPr>
          <w:ilvl w:val="0"/>
          <w:numId w:val="4"/>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i w:val="1"/>
          <w:iCs w:val="1"/>
          <w:color w:val="auto"/>
        </w:rPr>
        <w:t>Trends in the Telecom Market.</w:t>
      </w:r>
      <w:r>
        <w:rPr>
          <w:rFonts w:ascii="Times New Roman" w:cs="Times New Roman" w:eastAsia="Times New Roman" w:hAnsi="Times New Roman"/>
          <w:sz w:val="18"/>
          <w:szCs w:val="18"/>
          <w:color w:val="auto"/>
        </w:rPr>
        <w:t>The telecom market is composed of customers who deploy wireline optical networks, other than Passive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Optical Networks, or PONs, for telecom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w:t>
      </w:r>
    </w:p>
    <w:p>
      <w:pPr>
        <w:spacing w:after="0" w:line="195" w:lineRule="exact"/>
        <w:rPr>
          <w:rFonts w:ascii="MS PGothic" w:cs="MS PGothic" w:eastAsia="MS PGothic" w:hAnsi="MS PGothic"/>
          <w:sz w:val="43"/>
          <w:szCs w:val="43"/>
          <w:color w:val="auto"/>
          <w:vertAlign w:val="subscript"/>
        </w:rPr>
      </w:pPr>
    </w:p>
    <w:p>
      <w:pPr>
        <w:ind w:left="980" w:right="60" w:hanging="324"/>
        <w:spacing w:after="0" w:line="254" w:lineRule="auto"/>
        <w:tabs>
          <w:tab w:leader="none" w:pos="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Trends in the FTTH Market. </w:t>
      </w:r>
      <w:r>
        <w:rPr>
          <w:rFonts w:ascii="Times New Roman" w:cs="Times New Roman" w:eastAsia="Times New Roman" w:hAnsi="Times New Roman"/>
          <w:sz w:val="18"/>
          <w:szCs w:val="18"/>
          <w:color w:val="auto"/>
        </w:rPr>
        <w:t>The FTTH market generally refers to the PONs that telecom service providers deploy. The most commonly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 Another approach is XGS-PON, which offers 10 Gbps over a single fiber strand. We also see opportunities for 10 Gbps Ethernet Passive Optical Network ("EPON") and higher data rate PON networks in the future. We have also developed solutions for 25 Gbps PON networks and 50 Gbps PON networks, which we believe will one day be adopted by customers. We have seen trends towards cable television MSOs beginning to deploy PON networks. We see opportunities with these customers particularly given our knowledge and experience in CATV.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addressing the challenges in our target markets, we provide the following benefits to our customers:</w:t>
      </w:r>
    </w:p>
    <w:p>
      <w:pPr>
        <w:spacing w:after="0" w:line="221" w:lineRule="exact"/>
        <w:rPr>
          <w:sz w:val="20"/>
          <w:szCs w:val="20"/>
          <w:color w:val="auto"/>
        </w:rPr>
      </w:pPr>
    </w:p>
    <w:p>
      <w:pPr>
        <w:jc w:val="both"/>
        <w:ind w:left="980" w:right="40" w:hanging="324"/>
        <w:spacing w:after="0" w:line="268" w:lineRule="auto"/>
        <w:tabs>
          <w:tab w:leader="none" w:pos="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Enable customers to deliver innovative products. </w:t>
      </w:r>
      <w:r>
        <w:rPr>
          <w:rFonts w:ascii="Times New Roman" w:cs="Times New Roman" w:eastAsia="Times New Roman" w:hAnsi="Times New Roman"/>
          <w:sz w:val="18"/>
          <w:szCs w:val="18"/>
          <w:color w:val="auto"/>
        </w:rPr>
        <w:t>We leverage our extensive expertise in high-speed optical, mixed-signal semiconductor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mechanical engineering, and MOCVD and our proprietary MBE laser fabrication process to deliver technologically advanced products to our customers.</w:t>
      </w:r>
    </w:p>
    <w:p>
      <w:pPr>
        <w:spacing w:after="0" w:line="170" w:lineRule="exact"/>
        <w:rPr>
          <w:rFonts w:ascii="MS PGothic" w:cs="MS PGothic" w:eastAsia="MS PGothic" w:hAnsi="MS PGothic"/>
          <w:sz w:val="18"/>
          <w:szCs w:val="18"/>
          <w:color w:val="auto"/>
        </w:rPr>
      </w:pPr>
    </w:p>
    <w:p>
      <w:pPr>
        <w:ind w:left="980" w:right="20" w:hanging="324"/>
        <w:spacing w:after="0" w:line="317" w:lineRule="auto"/>
        <w:tabs>
          <w:tab w:leader="none" w:pos="9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i w:val="1"/>
          <w:iCs w:val="1"/>
          <w:color w:val="auto"/>
        </w:rPr>
        <w:t xml:space="preserve">Enhance efficiency and cost effectiveness of our customers’ supply chains. </w:t>
      </w:r>
      <w:r>
        <w:rPr>
          <w:rFonts w:ascii="Times New Roman" w:cs="Times New Roman" w:eastAsia="Times New Roman" w:hAnsi="Times New Roman"/>
          <w:sz w:val="17"/>
          <w:szCs w:val="17"/>
          <w:color w:val="auto"/>
        </w:rPr>
        <w:t>We design and sell products at the level of integration desired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customer, from components to turn-key equipment, providing our customers a dependable, cost-effective and simplified supply chain. Our</w:t>
      </w:r>
    </w:p>
    <w:p>
      <w:pPr>
        <w:sectPr>
          <w:pgSz w:w="11900" w:h="16838" w:orient="portrait"/>
          <w:cols w:equalWidth="0" w:num="1">
            <w:col w:w="11240"/>
          </w:cols>
          <w:pgMar w:left="320" w:top="121" w:right="339" w:bottom="0" w:gutter="0" w:footer="0" w:header="0"/>
        </w:sectPr>
      </w:pPr>
    </w:p>
    <w:bookmarkStart w:id="6" w:name="page7"/>
    <w:bookmarkEnd w:id="6"/>
    <w:p>
      <w:pPr>
        <w:ind w:left="324" w:right="600"/>
        <w:spacing w:after="0" w:line="282" w:lineRule="auto"/>
        <w:rPr>
          <w:sz w:val="20"/>
          <w:szCs w:val="20"/>
          <w:color w:val="auto"/>
        </w:rPr>
      </w:pPr>
      <w:r>
        <w:rPr>
          <w:rFonts w:ascii="Times New Roman" w:cs="Times New Roman" w:eastAsia="Times New Roman" w:hAnsi="Times New Roman"/>
          <w:sz w:val="18"/>
          <w:szCs w:val="18"/>
          <w:color w:val="auto"/>
        </w:rPr>
        <w:t>relatively more automated production process for certain optical modules also allows us more freedom in locating our manufacturing operations in customer-favored geographic locations while maintaining relatively low labor costs.</w:t>
      </w:r>
    </w:p>
    <w:p>
      <w:pPr>
        <w:spacing w:after="0" w:line="158" w:lineRule="exact"/>
        <w:rPr>
          <w:sz w:val="20"/>
          <w:szCs w:val="20"/>
          <w:color w:val="auto"/>
        </w:rPr>
      </w:pPr>
    </w:p>
    <w:p>
      <w:pPr>
        <w:ind w:left="324" w:hanging="324"/>
        <w:spacing w:after="0" w:line="262" w:lineRule="auto"/>
        <w:tabs>
          <w:tab w:leader="none" w:pos="32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Deliver high quality, reliable products in high volume. </w:t>
      </w:r>
      <w:r>
        <w:rPr>
          <w:rFonts w:ascii="Times New Roman" w:cs="Times New Roman" w:eastAsia="Times New Roman" w:hAnsi="Times New Roman"/>
          <w:sz w:val="18"/>
          <w:szCs w:val="18"/>
          <w:color w:val="auto"/>
        </w:rPr>
        <w:t>As a vertically integrated supplier, we are able to monitor and maintain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76" w:lineRule="exact"/>
        <w:rPr>
          <w:rFonts w:ascii="MS PGothic" w:cs="MS PGothic" w:eastAsia="MS PGothic" w:hAnsi="MS PGothic"/>
          <w:sz w:val="18"/>
          <w:szCs w:val="18"/>
          <w:color w:val="auto"/>
        </w:rPr>
      </w:pPr>
    </w:p>
    <w:p>
      <w:pPr>
        <w:ind w:left="324" w:right="240" w:hanging="324"/>
        <w:spacing w:after="0" w:line="317" w:lineRule="auto"/>
        <w:tabs>
          <w:tab w:leader="none" w:pos="324"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i w:val="1"/>
          <w:iCs w:val="1"/>
          <w:color w:val="auto"/>
        </w:rPr>
        <w:t xml:space="preserve">Provide sophisticated design solutions to our customers. </w:t>
      </w:r>
      <w:r>
        <w:rPr>
          <w:rFonts w:ascii="Times New Roman" w:cs="Times New Roman" w:eastAsia="Times New Roman" w:hAnsi="Times New Roman"/>
          <w:sz w:val="17"/>
          <w:szCs w:val="17"/>
          <w:color w:val="auto"/>
        </w:rPr>
        <w:t>We believe our in-house expertise in both analog and digital optical engineering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enables us to design comprehensive solutions that meet many of the different network architectures and protocols used by our customers.</w:t>
      </w:r>
    </w:p>
    <w:p>
      <w:pPr>
        <w:spacing w:after="0" w:line="13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key competitive strengths include the following:</w:t>
      </w:r>
    </w:p>
    <w:p>
      <w:pPr>
        <w:spacing w:after="0" w:line="221" w:lineRule="exact"/>
        <w:rPr>
          <w:sz w:val="20"/>
          <w:szCs w:val="20"/>
          <w:color w:val="auto"/>
        </w:rPr>
      </w:pPr>
    </w:p>
    <w:p>
      <w:pPr>
        <w:ind w:left="980" w:right="780" w:hanging="324"/>
        <w:spacing w:after="0" w:line="286"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technological expertise and track record of innovation. </w:t>
      </w:r>
      <w:r>
        <w:rPr>
          <w:rFonts w:ascii="Times New Roman" w:cs="Times New Roman" w:eastAsia="Times New Roman" w:hAnsi="Times New Roman"/>
          <w:sz w:val="18"/>
          <w:szCs w:val="18"/>
          <w:color w:val="auto"/>
        </w:rPr>
        <w:t>We continue to develop innovative products by leveraging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technological expertise, including our proprietary MBE and MOCVD laser fabrication process.</w:t>
      </w:r>
    </w:p>
    <w:p>
      <w:pPr>
        <w:spacing w:after="0" w:line="154" w:lineRule="exact"/>
        <w:rPr>
          <w:rFonts w:ascii="MS PGothic" w:cs="MS PGothic" w:eastAsia="MS PGothic" w:hAnsi="MS PGothic"/>
          <w:sz w:val="18"/>
          <w:szCs w:val="18"/>
          <w:color w:val="auto"/>
        </w:rPr>
      </w:pPr>
    </w:p>
    <w:p>
      <w:pPr>
        <w:ind w:left="980" w:right="80" w:hanging="324"/>
        <w:spacing w:after="0" w:line="262"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Innovative light engine design and manufacturing. </w:t>
      </w:r>
      <w:r>
        <w:rPr>
          <w:rFonts w:ascii="Times New Roman" w:cs="Times New Roman" w:eastAsia="Times New Roman" w:hAnsi="Times New Roman"/>
          <w:sz w:val="18"/>
          <w:szCs w:val="18"/>
          <w:color w:val="auto"/>
        </w:rPr>
        <w:t>High-speed data center interconnect transceivers increasingly rely on multiple parallel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optical signals. Our expertise in designing and manufacturing light engines, which combine lasers and photodiodes, and in some cases, driver electronics and/or signal amplifiers, with channel multiplexing and de-multiplexing elements, gives us the ability to quickly develop new products for our data center customers.</w:t>
      </w:r>
    </w:p>
    <w:p>
      <w:pPr>
        <w:spacing w:after="0" w:line="176" w:lineRule="exact"/>
        <w:rPr>
          <w:rFonts w:ascii="MS PGothic" w:cs="MS PGothic" w:eastAsia="MS PGothic" w:hAnsi="MS PGothic"/>
          <w:sz w:val="18"/>
          <w:szCs w:val="18"/>
          <w:color w:val="auto"/>
        </w:rPr>
      </w:pPr>
    </w:p>
    <w:p>
      <w:pPr>
        <w:ind w:left="980" w:right="180" w:hanging="324"/>
        <w:spacing w:after="0" w:line="268"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Proven system design capabilities. </w:t>
      </w:r>
      <w:r>
        <w:rPr>
          <w:rFonts w:ascii="Times New Roman" w:cs="Times New Roman" w:eastAsia="Times New Roman" w:hAnsi="Times New Roman"/>
          <w:sz w:val="18"/>
          <w:szCs w:val="18"/>
          <w:color w:val="auto"/>
        </w:rPr>
        <w:t>We have extensive expertise and proven design capabilities in high-speed optical, mixed-signal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semiconductor and mechanical engineering, which we believe position us to take advantage of the continuing shift to outsourced design and manufacturing among CATV equipment vendors.</w:t>
      </w:r>
    </w:p>
    <w:p>
      <w:pPr>
        <w:spacing w:after="0" w:line="170" w:lineRule="exact"/>
        <w:rPr>
          <w:rFonts w:ascii="MS PGothic" w:cs="MS PGothic" w:eastAsia="MS PGothic" w:hAnsi="MS PGothic"/>
          <w:sz w:val="18"/>
          <w:szCs w:val="18"/>
          <w:color w:val="auto"/>
        </w:rPr>
      </w:pPr>
    </w:p>
    <w:p>
      <w:pPr>
        <w:ind w:left="980" w:right="100" w:hanging="324"/>
        <w:spacing w:after="0" w:line="268"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Industry-leading position in the CATV market. </w:t>
      </w:r>
      <w:r>
        <w:rPr>
          <w:rFonts w:ascii="Times New Roman" w:cs="Times New Roman" w:eastAsia="Times New Roman" w:hAnsi="Times New Roman"/>
          <w:sz w:val="18"/>
          <w:szCs w:val="18"/>
          <w:color w:val="auto"/>
        </w:rPr>
        <w:t>We continue to be awarded new design and manufacturing opportunities for CATV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70" w:lineRule="exact"/>
        <w:rPr>
          <w:rFonts w:ascii="MS PGothic" w:cs="MS PGothic" w:eastAsia="MS PGothic" w:hAnsi="MS PGothic"/>
          <w:sz w:val="18"/>
          <w:szCs w:val="18"/>
          <w:color w:val="auto"/>
        </w:rPr>
      </w:pPr>
    </w:p>
    <w:p>
      <w:pPr>
        <w:ind w:left="980" w:right="120" w:hanging="324"/>
        <w:spacing w:after="0" w:line="257"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highly automated and geographically distributed manufacturing model. </w:t>
      </w:r>
      <w:r>
        <w:rPr>
          <w:rFonts w:ascii="Times New Roman" w:cs="Times New Roman" w:eastAsia="Times New Roman" w:hAnsi="Times New Roman"/>
          <w:sz w:val="18"/>
          <w:szCs w:val="18"/>
          <w:color w:val="auto"/>
        </w:rPr>
        <w:t>Our vertically integrated design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 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 In addition, we have developed many automated processes used in our production which we believe give us advantages in terms of scalability and control of labor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seek to be the leading global provider of optical components, modules and equipment for each of our four target markets: internet data centers,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CATV, telecom and FTTH. Our strategy includes the following key elements:</w:t>
      </w:r>
    </w:p>
    <w:p>
      <w:pPr>
        <w:spacing w:after="0" w:line="203" w:lineRule="exact"/>
        <w:rPr>
          <w:sz w:val="20"/>
          <w:szCs w:val="20"/>
          <w:color w:val="auto"/>
        </w:rPr>
      </w:pPr>
    </w:p>
    <w:p>
      <w:pPr>
        <w:jc w:val="both"/>
        <w:ind w:left="980" w:right="24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Continue to penetrate the internet data center market. </w:t>
      </w:r>
      <w:r>
        <w:rPr>
          <w:rFonts w:ascii="Times New Roman" w:cs="Times New Roman" w:eastAsia="Times New Roman" w:hAnsi="Times New Roman"/>
          <w:sz w:val="18"/>
          <w:szCs w:val="18"/>
          <w:color w:val="auto"/>
        </w:rPr>
        <w:t>In the internet data center market, we primarily target internet data center operators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have adopted an open system architecture—one in which the optical connectivity solutions can be provided by a different vendor than the vendor which provides their servers and switches.</w:t>
      </w:r>
    </w:p>
    <w:p>
      <w:pPr>
        <w:spacing w:after="0" w:line="170" w:lineRule="exact"/>
        <w:rPr>
          <w:rFonts w:ascii="MS PGothic" w:cs="MS PGothic" w:eastAsia="MS PGothic" w:hAnsi="MS PGothic"/>
          <w:sz w:val="18"/>
          <w:szCs w:val="18"/>
          <w:color w:val="auto"/>
        </w:rPr>
      </w:pPr>
    </w:p>
    <w:p>
      <w:pPr>
        <w:ind w:left="98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Extend our leadership in CATV networking. </w:t>
      </w:r>
      <w:r>
        <w:rPr>
          <w:rFonts w:ascii="Times New Roman" w:cs="Times New Roman" w:eastAsia="Times New Roman" w:hAnsi="Times New Roman"/>
          <w:sz w:val="18"/>
          <w:szCs w:val="18"/>
          <w:color w:val="auto"/>
        </w:rPr>
        <w:t>We intend to add to our product portfolio in the CATV market following our recent launch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own branded products to sell directly to MSOs, which we believe offers us further opportunity to enhance our presence as a supplier in the CATV market.</w:t>
      </w:r>
    </w:p>
    <w:p>
      <w:pPr>
        <w:spacing w:after="0" w:line="170" w:lineRule="exact"/>
        <w:rPr>
          <w:rFonts w:ascii="MS PGothic" w:cs="MS PGothic" w:eastAsia="MS PGothic" w:hAnsi="MS PGothic"/>
          <w:sz w:val="18"/>
          <w:szCs w:val="18"/>
          <w:color w:val="auto"/>
        </w:rPr>
      </w:pPr>
    </w:p>
    <w:p>
      <w:pPr>
        <w:jc w:val="both"/>
        <w:ind w:left="980" w:right="16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Continue to invest in our capabilities, especially our automated module production, and infrastructure. </w:t>
      </w:r>
      <w:r>
        <w:rPr>
          <w:rFonts w:ascii="Times New Roman" w:cs="Times New Roman" w:eastAsia="Times New Roman" w:hAnsi="Times New Roman"/>
          <w:sz w:val="18"/>
          <w:szCs w:val="18"/>
          <w:color w:val="auto"/>
        </w:rPr>
        <w:t>We intend to continue to invest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products, new technology and our highly-automated production infrastructure and facilities to maintain and strengthen our competitive position. We engage in an active research and development program to develop new products and enhance existing products.</w:t>
      </w:r>
    </w:p>
    <w:p>
      <w:pPr>
        <w:spacing w:after="0" w:line="170" w:lineRule="exact"/>
        <w:rPr>
          <w:rFonts w:ascii="MS PGothic" w:cs="MS PGothic" w:eastAsia="MS PGothic" w:hAnsi="MS PGothic"/>
          <w:sz w:val="18"/>
          <w:szCs w:val="18"/>
          <w:color w:val="auto"/>
        </w:rPr>
      </w:pPr>
    </w:p>
    <w:p>
      <w:pPr>
        <w:ind w:left="980" w:right="4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Selectively pursue other opportunities that leverage our existing expertise. </w:t>
      </w:r>
      <w:r>
        <w:rPr>
          <w:rFonts w:ascii="Times New Roman" w:cs="Times New Roman" w:eastAsia="Times New Roman" w:hAnsi="Times New Roman"/>
          <w:sz w:val="18"/>
          <w:szCs w:val="18"/>
          <w:color w:val="auto"/>
        </w:rPr>
        <w:t>Our expertise in designing and manufacturing outdoor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70" w:lineRule="exact"/>
        <w:rPr>
          <w:rFonts w:ascii="MS PGothic" w:cs="MS PGothic" w:eastAsia="MS PGothic" w:hAnsi="MS PGothic"/>
          <w:sz w:val="18"/>
          <w:szCs w:val="18"/>
          <w:color w:val="auto"/>
        </w:rPr>
      </w:pPr>
    </w:p>
    <w:p>
      <w:pPr>
        <w:ind w:left="980" w:right="20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Pursue complementary acquisition and strategic alliance opportunities. </w:t>
      </w:r>
      <w:r>
        <w:rPr>
          <w:rFonts w:ascii="Times New Roman" w:cs="Times New Roman" w:eastAsia="Times New Roman" w:hAnsi="Times New Roman"/>
          <w:sz w:val="18"/>
          <w:szCs w:val="18"/>
          <w:color w:val="auto"/>
        </w:rPr>
        <w:t>We evaluate and selectively pursue acquisition opportunities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alliances that we believe will enhance or complement our current product offerings, augment our technology roadmap, or diversify our revenue base.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58" w:lineRule="exact"/>
        <w:rPr>
          <w:sz w:val="20"/>
          <w:szCs w:val="20"/>
          <w:color w:val="auto"/>
        </w:rPr>
      </w:pPr>
    </w:p>
    <w:p>
      <w:pPr>
        <w:ind w:left="980" w:hanging="324"/>
        <w:spacing w:after="0" w:line="253"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Differentiated semiconductor laser manufacturing. </w:t>
      </w:r>
      <w:r>
        <w:rPr>
          <w:rFonts w:ascii="Times New Roman" w:cs="Times New Roman" w:eastAsia="Times New Roman" w:hAnsi="Times New Roman"/>
          <w:sz w:val="18"/>
          <w:szCs w:val="18"/>
          <w:color w:val="auto"/>
        </w:rPr>
        <w:t>We use a combination of MBE and MOCVD processes in the fabrication of our lasers.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187" w:lineRule="exact"/>
        <w:rPr>
          <w:rFonts w:ascii="MS PGothic" w:cs="MS PGothic" w:eastAsia="MS PGothic" w:hAnsi="MS PGothic"/>
          <w:sz w:val="18"/>
          <w:szCs w:val="18"/>
          <w:color w:val="auto"/>
        </w:rPr>
      </w:pPr>
    </w:p>
    <w:p>
      <w:pPr>
        <w:ind w:left="980" w:right="140" w:hanging="324"/>
        <w:spacing w:after="0" w:line="259"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Laser enhancement technology. </w:t>
      </w:r>
      <w:r>
        <w:rPr>
          <w:rFonts w:ascii="Times New Roman" w:cs="Times New Roman" w:eastAsia="Times New Roman" w:hAnsi="Times New Roman"/>
          <w:sz w:val="18"/>
          <w:szCs w:val="18"/>
          <w:color w:val="auto"/>
        </w:rPr>
        <w:t>Certain properties of the semiconductor lasers predominantly used in traditional communications devices,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79" w:lineRule="exact"/>
        <w:rPr>
          <w:rFonts w:ascii="MS PGothic" w:cs="MS PGothic" w:eastAsia="MS PGothic" w:hAnsi="MS PGothic"/>
          <w:sz w:val="18"/>
          <w:szCs w:val="18"/>
          <w:color w:val="auto"/>
        </w:rPr>
      </w:pPr>
    </w:p>
    <w:p>
      <w:pPr>
        <w:ind w:left="980" w:hanging="324"/>
        <w:spacing w:after="0" w:line="254"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Optical hybrid-integration technology. </w:t>
      </w:r>
      <w:r>
        <w:rPr>
          <w:rFonts w:ascii="Times New Roman" w:cs="Times New Roman" w:eastAsia="Times New Roman" w:hAnsi="Times New Roman"/>
          <w:sz w:val="18"/>
          <w:szCs w:val="18"/>
          <w:color w:val="auto"/>
        </w:rPr>
        <w:t>Reducing the size, power consumption and complexity of optical devices is essential for achieving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and performance targets of our customers. Our ability to integrate multiple optical networking functions into a single device and to co-package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92" w:lineRule="exact"/>
        <w:rPr>
          <w:rFonts w:ascii="MS PGothic" w:cs="MS PGothic" w:eastAsia="MS PGothic" w:hAnsi="MS PGothic"/>
          <w:sz w:val="18"/>
          <w:szCs w:val="18"/>
          <w:color w:val="auto"/>
        </w:rPr>
      </w:pPr>
    </w:p>
    <w:p>
      <w:pPr>
        <w:ind w:left="980" w:right="40"/>
        <w:spacing w:after="0" w:line="25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84" w:lineRule="exact"/>
        <w:rPr>
          <w:rFonts w:ascii="MS PGothic" w:cs="MS PGothic" w:eastAsia="MS PGothic" w:hAnsi="MS PGothic"/>
          <w:sz w:val="18"/>
          <w:szCs w:val="18"/>
          <w:color w:val="auto"/>
        </w:rPr>
      </w:pPr>
    </w:p>
    <w:p>
      <w:pPr>
        <w:ind w:left="980" w:hanging="324"/>
        <w:spacing w:after="0" w:line="254"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Mixed-signal design. </w:t>
      </w:r>
      <w:r>
        <w:rPr>
          <w:rFonts w:ascii="Times New Roman" w:cs="Times New Roman" w:eastAsia="Times New Roman" w:hAnsi="Times New Roman"/>
          <w:sz w:val="18"/>
          <w:szCs w:val="18"/>
          <w:color w:val="auto"/>
        </w:rPr>
        <w:t>As CATV providers continue to evolve from primarily broadcast-video content providers to a mixture of HD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Our products include an array of optical communications solutions at varying levels of integration. We commonly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76"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 Notwithstanding our expertise in optical transmission equipment, in some cases we utilize our technical expertise in radio frequency ("RF") design to develop products that do not have significant optical technology incorporated, for example our CATV amplifier products which serve to</w:t>
      </w:r>
    </w:p>
    <w:p>
      <w:pPr>
        <w:sectPr>
          <w:pgSz w:w="11900" w:h="16838" w:orient="portrait"/>
          <w:cols w:equalWidth="0" w:num="1">
            <w:col w:w="11220"/>
          </w:cols>
          <w:pgMar w:left="320" w:top="121" w:right="359" w:bottom="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amplify the RF signals in the coaxial-cable portion of an MSO's network do not incorporate optics, but do rely on advanced mixed-signal RF and digital electronic design as well as software and firmware which we develop in house.</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 we had a total of 284 employees working in the R&amp;D department, including 12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owned a total of 188 U.S. issued patents, 137 patents issued in China and Taiwan and 10 patents issued in Europe, plus a number of pending U.S. and foreign/international patent applications. Our issued U.S. and foreign patents will expire between 2025 and 2044. While our patents are an important element of our success, our business as a whole is not dependent on any one patent or group of patents. We do not anticipate any material effect on our business due to any patents expiring in 2024, and we continue to obtain new patents through our ongoing research and development.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patents and patent applications covers several different technology families including:</w:t>
      </w:r>
    </w:p>
    <w:p>
      <w:pPr>
        <w:spacing w:after="0" w:line="29" w:lineRule="exact"/>
        <w:rPr>
          <w:sz w:val="20"/>
          <w:szCs w:val="20"/>
          <w:color w:val="auto"/>
        </w:rPr>
      </w:pPr>
    </w:p>
    <w:p>
      <w:pPr>
        <w:ind w:left="980" w:hanging="324"/>
        <w:spacing w:after="0"/>
        <w:tabs>
          <w:tab w:leader="none" w:pos="980" w:val="left"/>
        </w:tabs>
        <w:numPr>
          <w:ilvl w:val="0"/>
          <w:numId w:val="10"/>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laser structure and design;</w:t>
      </w:r>
    </w:p>
    <w:p>
      <w:pPr>
        <w:spacing w:after="0" w:line="84" w:lineRule="exact"/>
        <w:rPr>
          <w:rFonts w:ascii="MS PGothic" w:cs="MS PGothic" w:eastAsia="MS PGothic" w:hAnsi="MS PGothic"/>
          <w:sz w:val="43"/>
          <w:szCs w:val="43"/>
          <w:color w:val="auto"/>
          <w:vertAlign w:val="subscript"/>
        </w:rPr>
      </w:pPr>
    </w:p>
    <w:p>
      <w:pPr>
        <w:ind w:left="980" w:hanging="324"/>
        <w:spacing w:after="0" w:line="216" w:lineRule="auto"/>
        <w:tabs>
          <w:tab w:leader="none" w:pos="980" w:val="left"/>
        </w:tabs>
        <w:numPr>
          <w:ilvl w:val="0"/>
          <w:numId w:val="10"/>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optical signal conditioning and laser control;</w:t>
      </w:r>
    </w:p>
    <w:p>
      <w:pPr>
        <w:spacing w:after="0" w:line="239" w:lineRule="exact"/>
        <w:rPr>
          <w:rFonts w:ascii="MS PGothic" w:cs="MS PGothic" w:eastAsia="MS PGothic" w:hAnsi="MS PGothic"/>
          <w:sz w:val="43"/>
          <w:szCs w:val="43"/>
          <w:color w:val="auto"/>
          <w:vertAlign w:val="subscript"/>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laser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photodiode and optical receiver design and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optical device and module designs;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optical device packaging equipment and techniques;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optical network enhancements; and</w:t>
      </w:r>
    </w:p>
    <w:p>
      <w:pPr>
        <w:spacing w:after="0" w:line="252" w:lineRule="exact"/>
        <w:rPr>
          <w:sz w:val="20"/>
          <w:szCs w:val="20"/>
          <w:color w:val="auto"/>
        </w:rPr>
      </w:pPr>
    </w:p>
    <w:p>
      <w:pPr>
        <w:ind w:left="560"/>
        <w:spacing w:after="0"/>
        <w:tabs>
          <w:tab w:leader="none" w:pos="780" w:val="left"/>
        </w:tabs>
        <w:rPr>
          <w:sz w:val="20"/>
          <w:szCs w:val="20"/>
          <w:color w:val="auto"/>
        </w:rPr>
      </w:pPr>
      <w:r>
        <w:rPr>
          <w:rFonts w:ascii="Times New Roman" w:cs="Times New Roman" w:eastAsia="Times New Roman" w:hAnsi="Times New Roman"/>
          <w:sz w:val="18"/>
          <w:szCs w:val="18"/>
          <w:color w:val="auto"/>
        </w:rPr>
        <w:t>-</w:t>
        <w:tab/>
        <w:t xml:space="preserve">CATV networking technologies.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We have registered the trademarks APPLIED OPTOELECTRONICS, INC., AOI, and Quantum Bandwidth with the U.S. Patent and Trademark Office on the Principal Register. These marks are also registered in, or have applications for registration pending in, various foreign trademark offices.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We also manufacture CATV outdoor equipment including amplifiers. In our China facility, we take advantage of lower labor costs and manufacture certain more labor intensive components and optical equipment systems, such as optical subassemblies and transceivers for the CATV transmitters (at the headend), internet data center market, and CATV outdoor equipment). Each manufacturing facility conducts testing on the components, modules or subsystems it manufactures and each facility is certified to ISO 9001:2015 and ISO 14001:2015.</w:t>
      </w:r>
    </w:p>
    <w:p>
      <w:pPr>
        <w:sectPr>
          <w:pgSz w:w="11900" w:h="16838" w:orient="portrait"/>
          <w:cols w:equalWidth="0" w:num="1">
            <w:col w:w="11220"/>
          </w:cols>
          <w:pgMar w:left="320" w:top="121" w:right="359" w:bottom="848"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4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Raw Materials</w:t>
      </w:r>
    </w:p>
    <w:p>
      <w:pPr>
        <w:spacing w:after="0" w:line="229"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8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internet data center operators, CATV, telecom equipment manufacturers, and internet service providers. We generally employ a direct sales model in North America and in the rest of the world we use both direct and indirect sales channels. In 2024, 2023 and 2022, we obtained 64.4%, 88.6% and 99.6%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last six years, we have taken several actions to increase the diversity of our customer base. These actions include hiring sales staff to improve our ability to serve new customers and the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2024, the three customers who contributed most to our internet data center revenue were Microsoft, Oracle and a U.S. based manufacturer. In 2024, our largest CATV customer was Digicomm. In 2024, revenue from the internet data center market, CATV market, telecom market, FTTH market and other markets provided 59.5%, 35.2%, 4.4%, 0.0% and 0.9% of our revenue, respectively, compared to 64.9%, 27.5%, 6.4%, 0.0% and 1.2%, respectively, in 2023.</w:t>
      </w:r>
    </w:p>
    <w:p>
      <w:pPr>
        <w:spacing w:after="0" w:line="180"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support our sales efforts by attendance at industry trade shows (virtually and in person), technical conferences and other promotional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efforts are aimed at attracting new customers and enhancing our existing customer relationships.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Coherent Corporation, Foxconn Interconnect Technology Ltd., InnoLight Technology (Suzhou) Ltd., Intel Corporation, Lumentum Holdings, Inc., Mitsubishi, Molex, LLC, Source Photonics, Inc. and Sumitomo Electric Industries, Ltd.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of our competitors are larger than we are and have significantly greater financial, marketing and other resources.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of internally manufactured components;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product breadth and functionality;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timing and pace of new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breadth of customer base;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technological expertise;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reliability of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product pricing;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manufacturing efficiency.</w:t>
      </w:r>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Operations—Seasonality,” regarding seasonality of certain of the Company’s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3,309 full-time employees, of which 49 held Ph.D. degrees in a science or engineering field. Of our employees, 375 are located in the U.S., 698 are located in Taiwan and 2,236 are located in China.</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 Development and Career Planning</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In the past, we have conducted confidential surveys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Safety</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Wellness</w:t>
      </w:r>
    </w:p>
    <w:p>
      <w:pPr>
        <w:spacing w:after="0" w:line="22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We offer fair, competitive compensation and benefits that support our employees’ overall wellness.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We offer financial education and financial wellness tools and resources to help employees reach their personal financial goals. Additionally, we provide robust compensation and benefits through internal and external benchmarking.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To date, costs and accruals incurred to comply with these governmental regulations have not been material to our capital expenditures, results of operations, and competitive position.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maintaining compliance with all environmental laws applicable to our operations, products, and services and to reducing our environmental impact across our business. Our operations and many of our products are subject to various federal, state, local, and foreign regulations that have been adopted with respect to the environment, such as the Directive on the Restriction of the Use of Certain Hazardous Substances in Electrical and Electronic Equipment; Registration, Evaluation, Authorization, and Restriction of Chemicals; and Substances of Concern In Products, regulations adopted by the European Union, or EU.</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Over and above our commitment to compliance with all environmental laws, we have further committed ourselves to the following environment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w:t>
      </w:r>
    </w:p>
    <w:p>
      <w:pPr>
        <w:spacing w:after="0" w:line="207" w:lineRule="exact"/>
        <w:rPr>
          <w:sz w:val="20"/>
          <w:szCs w:val="20"/>
          <w:color w:val="auto"/>
        </w:rPr>
      </w:pPr>
    </w:p>
    <w:p>
      <w:pPr>
        <w:ind w:left="980" w:hanging="16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at least 20% of the energy used in our operations from renewable sources</w:t>
      </w:r>
    </w:p>
    <w:p>
      <w:pPr>
        <w:spacing w:after="0" w:line="36"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recycle waste materials including paper, electronic components, glass and batteries</w:t>
      </w:r>
    </w:p>
    <w:p>
      <w:pPr>
        <w:spacing w:after="0" w:line="36"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generation of hazardous waste by at least 10% over the five year period beginning in 2024</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meet these goals, we maintain an Integrated Environmental and Safety Management System.</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 and Sustainability</w:t>
      </w:r>
    </w:p>
    <w:p>
      <w:pPr>
        <w:spacing w:after="0" w:line="22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are spreading initiatives that aim to drive sustainability and reduce our environmental impact. In addition, we continue to focus on the efficiency of our technology, including but not limited to using light sensors and dimming technology that control brightness and exploring alternative energy 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Export Controls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Our products are primarily classified under Export Control Classification Numbers ("ECCN") 5A991, 6A995, and EAR99. Export Control Classification requirements are dependent upon an item’s technical characteristics, the destination, the end-use, the end-user, and the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8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regulatory compliance and a discussion of the risks associated with governmental regulations that may materially impact us is described more fully under the heading “Risk Factors”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 Our website address is www.ao-inc.com. Information contained on our website is not incorporated by reference into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ectPr>
          <w:pgSz w:w="11900" w:h="16838" w:orient="portrait"/>
          <w:cols w:equalWidth="0" w:num="1">
            <w:col w:w="11220"/>
          </w:cols>
          <w:pgMar w:left="320" w:top="121" w:right="359" w:bottom="312"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31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For each year ended 2024, 2023 and 2022, our top ten customers represented 95%, 92.7% and 87.2% of our revenue, respectively. In 2024, Microsoft represented 43.7% of our revenue, Digicomm represented 35.1% of our revenue and Oracle represented 12.4%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3" w:lineRule="exact"/>
        <w:rPr>
          <w:sz w:val="20"/>
          <w:szCs w:val="20"/>
          <w:color w:val="auto"/>
        </w:rPr>
      </w:pPr>
    </w:p>
    <w:p>
      <w:pPr>
        <w:ind w:right="340" w:firstLine="648"/>
        <w:spacing w:after="0" w:line="289" w:lineRule="auto"/>
        <w:rPr>
          <w:sz w:val="20"/>
          <w:szCs w:val="20"/>
          <w:color w:val="auto"/>
        </w:rPr>
      </w:pPr>
      <w:r>
        <w:rPr>
          <w:rFonts w:ascii="Times New Roman" w:cs="Times New Roman" w:eastAsia="Times New Roman" w:hAnsi="Times New Roman"/>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ectPr>
          <w:pgSz w:w="11900" w:h="16838" w:orient="portrait"/>
          <w:cols w:equalWidth="0" w:num="1">
            <w:col w:w="11200"/>
          </w:cols>
          <w:pgMar w:left="320" w:top="121" w:right="379" w:bottom="1440" w:gutter="0" w:footer="0" w:header="0"/>
        </w:sectPr>
      </w:pP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adoption cycles impact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each of our markets, technology standards influence customer purchasing patterns and vendor selection. Network operators deploy the next generation of technology at different times, and typically reduce or stop their purchase of the trailing generation of equipment in advance of their deployment of the next generation. Our revenue from sales of the trailing generation products may fall rapidly, or at an uneven rate, and the prices at which we can sell the trailing generation products may decline. If we do not effectively manage our inventory, we may have an excess of inventory that we may not be able to participate in vendor selection processes of operators and their equipment providers for the next generation of technology deployment, which would reduce our future revenue potential.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could have a negative effect on our business, results of operations and financial condition and liquidity.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general slowdown in the global economy or in a particular region or industry, other unfavorable changes in economic conditions, such as inflation, higher interest rates, tightening of the credit markets, recession or slowing growth, or an increase in trade tensions with U.S. trading partners could negatively impact our business, financial condition and liquidity. Adverse global economic conditions have from time to time caused or exacerbated significant slowdowns in the industries and markets in which we operate, which have adversely affected our business and results of operations. Macroeconomic weakness and uncertainty also make it more difficult for us to accurately forecast operating results, and may make it more difficult to raise or refinance debt. An escalation of trade tensions between the U.S. and China has resulted in trade restrictions, increased protectionism and increased tariffs that harm our ability to participate in Chinese markets or compete effectively with Chinese companies. Sustained uncertainty about, or worsening of, current global economic conditions and further escalation of trade tensions between the U.S. and its trading partners, especially China, and the decoupling of the U.S. and China economies, could result in a global economic slowdown and long-term changes to global trade. Such events may also (i) cause our customers and consumers to reduce, delay or forgo technology spending, (ii) result in customers sourcing products from other suppliers not subject to such restrictions or tariffs, (iii) lead to the insolvency or consolidation of key suppliers and customers, and (iv) intensify pricing pressures. Any or all of these factors could negatively affect demand for our products and our business, financial condition and results of operations.</w:t>
      </w:r>
    </w:p>
    <w:p>
      <w:pPr>
        <w:spacing w:after="0" w:line="1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MBE, fabrication process to make our lasers, in addition to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We may also experience delays in production, typically in February, during the Lunar New Year holiday when our facilities in China and Taiwan are closed.</w:t>
      </w:r>
    </w:p>
    <w:p>
      <w:pPr>
        <w:spacing w:after="0" w:line="16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2,879 of our employees as of December 31, 2024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United States tariff and import/export regulations may have a negative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ability to design, manufacture and deliver products which meet customer requirements in a timely and cost-effective manner;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gain or loss of key customers;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seasonality of certain of our products and manufacturing capabilities;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unanticipated increases in costs or expenses, including rising inflation or other changes in macroeconomic conditions;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loss of key employees;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MS PGothic" w:cs="MS PGothic" w:eastAsia="MS PGothic" w:hAnsi="MS PGothic"/>
          <w:sz w:val="18"/>
          <w:szCs w:val="18"/>
          <w:color w:val="auto"/>
        </w:rPr>
      </w:pPr>
    </w:p>
    <w:p>
      <w:pPr>
        <w:ind w:left="980" w:right="640" w:hanging="324"/>
        <w:spacing w:after="0" w:line="266" w:lineRule="auto"/>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 and</w:t>
      </w:r>
    </w:p>
    <w:p>
      <w:pPr>
        <w:spacing w:after="0" w:line="175" w:lineRule="exact"/>
        <w:rPr>
          <w:rFonts w:ascii="MS PGothic" w:cs="MS PGothic" w:eastAsia="MS PGothic" w:hAnsi="MS PGothic"/>
          <w:sz w:val="18"/>
          <w:szCs w:val="18"/>
          <w:color w:val="auto"/>
        </w:rPr>
      </w:pPr>
    </w:p>
    <w:p>
      <w:pPr>
        <w:ind w:left="980" w:right="140" w:hanging="324"/>
        <w:spacing w:after="0" w:line="282" w:lineRule="auto"/>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trade-related government actions that impose barriers or restrictions that would impact our ability to sell or ship products to Huawei or other customers.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are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implement our business plan, we also intend to hire additional employees in expanding areas of our business.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 diseases, such as COVID-19, or the perception of their effects, could have a material adverse effect on our business, financial condition, results of operation, or cash flows.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Outbreaks of epidemic, pandemic, or contagious diseases, such as the recent COVID-19 or, historically, the Ebola virus, Middle East Respiratory Syndrome, Severe Acute Respiratory Syndrome, or the H1N1 virus, could result in business disruptions.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spread of COVID-19 has previously impacted our supply chain operations through restrictions, reduced capacity and shutdown of business activities by suppliers whom we rely on for sourcing components and materials and third-party partners whom we rely on for manufacturing, warehousing and logistics services. Any disruption resulting from similar events on a larger scale or over a prolonged period could cause significant delays in supply of needed components, which would likely have a negative impact on our business, results of operations, and our financial condition.</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 4 , we had U.S. accumulated net operating loss carryforwards, or NOLs, of approximately $147.3 million, federal and state research and development credits (“R&amp;D credits”) of $12.5 million, business interest expense carryforwards of $20.7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would not have prevented us from using all NOLs and tax credits accumulated before such ownership changes, assuming we were otherwise able to do so,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 Also, any foreign NOLs (for example NOLs in our China and Taiwan jurisdictions) are subject to different NOL expirations, generally shorter than in the US.</w:t>
      </w:r>
    </w:p>
    <w:p>
      <w:pPr>
        <w:spacing w:after="0" w:line="191" w:lineRule="exact"/>
        <w:rPr>
          <w:sz w:val="20"/>
          <w:szCs w:val="20"/>
          <w:color w:val="auto"/>
        </w:rPr>
      </w:pPr>
    </w:p>
    <w:p>
      <w:pPr>
        <w:ind w:left="160" w:right="160" w:hanging="16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may, if not remediated, result in material misstatements in our financial statement.</w:t>
      </w:r>
    </w:p>
    <w:p>
      <w:pPr>
        <w:spacing w:after="0" w:line="159" w:lineRule="exact"/>
        <w:rPr>
          <w:sz w:val="20"/>
          <w:szCs w:val="20"/>
          <w:color w:val="auto"/>
        </w:rPr>
      </w:pPr>
    </w:p>
    <w:p>
      <w:pPr>
        <w:ind w:left="160" w:right="120"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under the Securities Exchange Act of 1934. As disclosed in Item 9A, “Controls and Procedures,” our controls and procedures were not effective as a result of a material weakness in internal controls over financial reporting. The material weakness related to an error pertaining to operation of controls over our review of technical accounting analysis.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this material weakness, our management concluded that our internal control over financial reporting and related disclosure controls and procedures were not effective. We are actively engaged in developing a remediation plan designed to address this material weakness. If our remedial measures are insufficient to address the material weakness, or if additional material weaknesses or significant deficiencies in our internal control are discovered or occur in the future, our ability to record, process and report financial information accurately, and to prepare financial statements within required time periods, could be adversely affected. If we are unable to remediate the material weakness, or if we are otherwise unable to maintain effective internal control over financial reporting, our financial statements may contain material misstatements and we could be required to restate our financial results. If our financial statements are not filed on a timely basis or we are required to restate our financial results, we could be in violation of covenants contained in the agreements governing our debt and other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future results of operations may be subject to volatility as a result of exposure to fluctuations in currency exchange </w:t>
      </w:r>
      <w:r>
        <w:rPr>
          <w:rFonts w:ascii="Times New Roman" w:cs="Times New Roman" w:eastAsia="Times New Roman" w:hAnsi="Times New Roman"/>
          <w:sz w:val="21"/>
          <w:szCs w:val="21"/>
          <w:b w:val="1"/>
          <w:bCs w:val="1"/>
          <w:i w:val="1"/>
          <w:iCs w:val="1"/>
          <w:color w:val="auto"/>
        </w:rPr>
        <w:t>rates.</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6"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252" w:lineRule="exact"/>
        <w:rPr>
          <w:rFonts w:ascii="MS PGothic" w:cs="MS PGothic" w:eastAsia="MS PGothic" w:hAnsi="MS PGothic"/>
          <w:sz w:val="18"/>
          <w:szCs w:val="18"/>
          <w:color w:val="auto"/>
        </w:rPr>
      </w:pPr>
    </w:p>
    <w:p>
      <w:pPr>
        <w:ind w:left="980" w:right="940" w:hanging="324"/>
        <w:spacing w:after="0" w:line="282" w:lineRule="auto"/>
        <w:tabs>
          <w:tab w:leader="none" w:pos="98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52"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w:t>
      </w:r>
    </w:p>
    <w:p>
      <w:pPr>
        <w:sectPr>
          <w:pgSz w:w="11900" w:h="16976" w:orient="portrait"/>
          <w:cols w:equalWidth="0" w:num="1">
            <w:col w:w="11240"/>
          </w:cols>
          <w:pgMar w:left="320" w:top="121" w:right="339" w:bottom="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excess of what we anticipate. A failure to evaluate and execute an acquisition appropriately or otherwise adequately address these risks may adversely affect our financial condition and results of operations.</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divestitures may adversely affect our financial condition and results of operations.</w:t>
      </w:r>
    </w:p>
    <w:p>
      <w:pPr>
        <w:spacing w:after="0" w:line="229" w:lineRule="exact"/>
        <w:rPr>
          <w:sz w:val="20"/>
          <w:szCs w:val="20"/>
          <w:color w:val="auto"/>
        </w:rPr>
      </w:pPr>
    </w:p>
    <w:p>
      <w:pPr>
        <w:ind w:left="60" w:right="80" w:firstLine="648"/>
        <w:spacing w:after="0" w:line="256" w:lineRule="auto"/>
        <w:rPr>
          <w:sz w:val="20"/>
          <w:szCs w:val="20"/>
          <w:color w:val="auto"/>
        </w:rPr>
      </w:pPr>
      <w:r>
        <w:rPr>
          <w:rFonts w:ascii="Times New Roman" w:cs="Times New Roman" w:eastAsia="Times New Roman" w:hAnsi="Times New Roman"/>
          <w:sz w:val="18"/>
          <w:szCs w:val="18"/>
          <w:color w:val="auto"/>
        </w:rPr>
        <w:t>We frequently evaluate our portfolio of products and may consider divestitures or exits of businesses that we no longer believe to be an appropriate strategic fit. Divestitures may adversely impact our results if we are unable to offset the dilutive impacts from the loss of revenue associated with the divested products or businesses, or mitigate overhead costs allocated to those businesses. Furthermore, the divestitures could adversely affect our ongoing business operations, including by enhancing our competitors' positions or reducing customer confidence in our ongoing brand and products. The inability to effectively and efficiently manage divestitures with the results we expect or in the timeframe we anticipate could adversely affect our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left="60" w:firstLine="648"/>
        <w:spacing w:after="0" w:line="253"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cyberattacks,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cyberattack,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6" w:lineRule="exact"/>
        <w:rPr>
          <w:sz w:val="20"/>
          <w:szCs w:val="20"/>
          <w:color w:val="auto"/>
        </w:rPr>
      </w:pPr>
    </w:p>
    <w:p>
      <w:pPr>
        <w:ind w:left="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retain or recruit key personnel could be adversely affected by the lack of available shares under our equity incentive plan. In addition, if this lack causes us to be unable to settle outstanding awards in shares and such awards must instead be settled in cash, such cash settlement could deplete our available cash, which could have an adverse effect on our business and financial condition.</w:t>
      </w:r>
    </w:p>
    <w:p>
      <w:pPr>
        <w:spacing w:after="0" w:line="175" w:lineRule="exact"/>
        <w:rPr>
          <w:sz w:val="20"/>
          <w:szCs w:val="20"/>
          <w:color w:val="auto"/>
        </w:rPr>
      </w:pPr>
    </w:p>
    <w:p>
      <w:pPr>
        <w:ind w:left="60"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business and results of operations is dependent on our executive officers and other key personnel. Beginning in 2021, in order to improve our ability to retain and recruit such persons, as well as to better align our executive compensation program with the interests of our stockholders, we implemented a long-term incentive program under our 2021 Equity Incentive Plan (the “2021 Plan”) pursuant to which we grant performance-based equity awards that vest on the achievement of specified performance goals for a specified three-year period. These performance-based awards could be earned and become payable with respect to between 0% and 200% of the target number of shares based on the Company’s achievement of preset performance goals.</w:t>
      </w:r>
    </w:p>
    <w:p>
      <w:pPr>
        <w:spacing w:after="0" w:line="187" w:lineRule="exact"/>
        <w:rPr>
          <w:sz w:val="20"/>
          <w:szCs w:val="20"/>
          <w:color w:val="auto"/>
        </w:rPr>
      </w:pPr>
    </w:p>
    <w:p>
      <w:pPr>
        <w:ind w:left="60" w:right="20" w:firstLine="648"/>
        <w:spacing w:after="0" w:line="255" w:lineRule="auto"/>
        <w:rPr>
          <w:sz w:val="20"/>
          <w:szCs w:val="20"/>
          <w:color w:val="auto"/>
        </w:rPr>
      </w:pPr>
      <w:r>
        <w:rPr>
          <w:rFonts w:ascii="Times New Roman" w:cs="Times New Roman" w:eastAsia="Times New Roman" w:hAnsi="Times New Roman"/>
          <w:sz w:val="18"/>
          <w:szCs w:val="18"/>
          <w:color w:val="auto"/>
        </w:rPr>
        <w:t>On June 12, 2024, the Compensation Committee certified that we exceeded the maximum performance target level for each of the performance targets set for the performance awards granted in June 2021 (the “2021 PSUs”). Therefore, executives holding such awards were entitled to payment of the 2021 PSUs at 200% of the target number of shares. On June 6, 2024, at the annual meeting of stockholders, a proposal to increase the number of shares of common stock authorized for issuance under the 2021 Plan by 2,000,000 shares was not approved, and as a result, the Company did not have sufficient shares of common stock available for issuance under the 2021 Plan to issue all of the shares payable pursuant to the 2021 PSUs. As a result, the Company settled the excess portion of the 2021 PSUs in cash, instead of in shares, resulting in reduced cash on the balance sheet and recognition of an additional $2.8 million of stock-based compensation expense for the three months ended June 30, 2024.</w:t>
      </w:r>
    </w:p>
    <w:p>
      <w:pPr>
        <w:spacing w:after="0" w:line="189" w:lineRule="exact"/>
        <w:rPr>
          <w:sz w:val="20"/>
          <w:szCs w:val="20"/>
          <w:color w:val="auto"/>
        </w:rPr>
      </w:pPr>
    </w:p>
    <w:p>
      <w:pPr>
        <w:ind w:left="60" w:firstLine="648"/>
        <w:spacing w:after="0" w:line="261" w:lineRule="auto"/>
        <w:rPr>
          <w:sz w:val="20"/>
          <w:szCs w:val="20"/>
          <w:color w:val="auto"/>
        </w:rPr>
      </w:pPr>
      <w:r>
        <w:rPr>
          <w:rFonts w:ascii="Times New Roman" w:cs="Times New Roman" w:eastAsia="Times New Roman" w:hAnsi="Times New Roman"/>
          <w:sz w:val="18"/>
          <w:szCs w:val="18"/>
          <w:color w:val="auto"/>
        </w:rPr>
        <w:t>If the Company is not able to obtain shareholder approval for additional shares of common stock under the 2021 Plan in the future that are sufficient to permit outstanding awards to be settled in shares, the Company may have to incur additional cash expenditures to settle such awards in cash in lieu of shares. This could impair the effectiveness of our long-term incentive program and negatively affect our ability to retain or recruit key personnel, and cash settlement in lieu of shares could have an adverse effect on our future results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229" w:lineRule="exact"/>
        <w:rPr>
          <w:sz w:val="20"/>
          <w:szCs w:val="20"/>
          <w:color w:val="auto"/>
        </w:rPr>
      </w:pPr>
    </w:p>
    <w:p>
      <w:pPr>
        <w:ind w:left="60" w:right="4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BIS regulates the export of most commercial items and "dual-use" goods that may have both commercial and military applications. Our products are primarily classified under Export Control Classification Numbers (ECCN) 5A991, 6A995, and EAR99. Export Control Classification requirements are dependent upon an item’s technical characteristics and dictate the licensing requirements and permissible destination, end-use, end-users, and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and end-users could be restricted, which could adversely affect our business, financial condition, and results of operations.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policy priorities may modify our import risks footprint affecting the flow of our products into the U.S.</w:t>
      </w:r>
    </w:p>
    <w:p>
      <w:pPr>
        <w:spacing w:after="0" w:line="225" w:lineRule="exact"/>
        <w:rPr>
          <w:sz w:val="20"/>
          <w:szCs w:val="20"/>
          <w:color w:val="auto"/>
        </w:rPr>
      </w:pPr>
    </w:p>
    <w:p>
      <w:pPr>
        <w:ind w:left="60" w:right="400" w:firstLine="648"/>
        <w:spacing w:after="0" w:line="266" w:lineRule="auto"/>
        <w:rPr>
          <w:sz w:val="20"/>
          <w:szCs w:val="20"/>
          <w:color w:val="auto"/>
        </w:rPr>
      </w:pPr>
      <w:r>
        <w:rPr>
          <w:rFonts w:ascii="Times New Roman" w:cs="Times New Roman" w:eastAsia="Times New Roman" w:hAnsi="Times New Roman"/>
          <w:sz w:val="18"/>
          <w:szCs w:val="18"/>
          <w:color w:val="auto"/>
        </w:rPr>
        <w:t>Changes in our products,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cases, our business and the results of operations could be adversely affected.</w:t>
      </w:r>
    </w:p>
    <w:p>
      <w:pPr>
        <w:sectPr>
          <w:pgSz w:w="11900" w:h="16838" w:orient="portrait"/>
          <w:cols w:equalWidth="0" w:num="1">
            <w:col w:w="11240"/>
          </w:cols>
          <w:pgMar w:left="260" w:top="121" w:right="399" w:bottom="1041" w:gutter="0" w:footer="0" w:header="0"/>
        </w:sectPr>
      </w:pP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260" w:top="121" w:right="399" w:bottom="1041"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as a result of shareholder activism.</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59"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subject to legal actions in the ordinary course of our operations, both domestically and internationally. There can be no assurances as to the favorable outcome of any litigation, arbitration or administrative action. In addition it can be costly to defend such matters and these costs could negatively impact our financial results. Any litigation, arbitration, or other administrative action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Future Financing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$161.2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2026 Notes and the 2030 Notes; and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5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2026 Notes and the 2030 Notes, and our cash needs may increase in the future. In addition, our existing credit facilities in Asia contain,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credit facilities with Shanghai Pudong Development Bank Co., Ltd ("SPD") and China Zheshang Bank Co., Ltd. ("CZB") in China. Our loan agreements governing our long-term debt obligations in Asia contain certain financial and operating covenants that limit our management’s discretion with respect to certain business matters. Among other things, these covenants restrict our ability to incur additional debt, create liens or other encumbrances, change the nature of our business, sell or otherwise dispose of assets and merge or consolidate with other entities. In addition, the Indenture governing the 2026 Notes contains covenants that limit our ability and the ability of our subsidiaries to, among other things: (i) incur or guarantee additional indebtedness or issue disqualified stock; and (ii) create or incur liens.</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credit facilities with SPD and CZB are secured by real estate. A breach of any of the covenants under our loan agreements, or a failure to pay interest or indebtedness when due under any of our credit facilities could result in a variety of adverse consequences, including the acceleration of our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0" w:lineRule="exact"/>
        <w:rPr>
          <w:sz w:val="20"/>
          <w:szCs w:val="20"/>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expansion of research and development;</w:t>
      </w:r>
    </w:p>
    <w:p>
      <w:pPr>
        <w:spacing w:after="0" w:line="252" w:lineRule="exact"/>
        <w:rPr>
          <w:rFonts w:ascii="MS PGothic" w:cs="MS PGothic" w:eastAsia="MS PGothic" w:hAnsi="MS PGothic"/>
          <w:sz w:val="18"/>
          <w:szCs w:val="18"/>
          <w:color w:val="auto"/>
        </w:rPr>
      </w:pPr>
    </w:p>
    <w:p>
      <w:pPr>
        <w:ind w:left="660" w:right="7240" w:hanging="4"/>
        <w:spacing w:after="0" w:line="477" w:lineRule="auto"/>
        <w:tabs>
          <w:tab w:leader="none" w:pos="98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expansion of manufacturing capabilities; - payment of any outstanding indebtedness;</w:t>
      </w:r>
    </w:p>
    <w:p>
      <w:pPr>
        <w:spacing w:after="0" w:line="41"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5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Breaches and Network Infrastructures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 To manage our growth and our increasingly complex business operations, we will need to upgrade our operational and financial systems and procedures, which requires management time and may result in significant additional expense. For example, we will be upgrading our enterprise resource planning system in fiscal 2025 in order to accommodate our expanding operations. We cannot be certain that we will institute, in a timely or efficient manner or at all, the improvements to our managerial, operational and financial systems and procedures necessary to support our anticipated increased levels of operations. Problems associated with, or disruptions resulting from, any improvement or expansion of our operational and financial systems could adversely affect our relationships with our suppliers, manufacturers, resellers and customers, inhibit our ability to expand or take advantage of market opportunities, cause harm to our reputation, result in errors in our financial and other reporting, and affect our ability to maintain an effective internal control environment and meet our external reporting obligations, any of which could harm our business and operating results and affect our stock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Trade and Operations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regarding China, may materially and adversely impact our business and operating results.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U.S. government has made statements and taken certain actions that have led and may lead to further changes to U.S. and international trade policies, including imposing additional tariffs on certain products manufactured abroad, with a specific focus on China. Since the beginning of 2018, increasing rhetoric coupled with legislative, administrative, or executive action, from several U.S. and foreign leaders has led to the imposition of increased tariffs on imports of certain materials and products. Five rounds of U.S. tariffs on imports from China (respectively the “U.S. Tariffs on China Imports”) went into effect on July 2018, August 2018, September 2018, September 2019, and February 2020. In 2025, following an Executive order, all Chinese-origin products became subject to additional U.S. tariffs. The Chinese government has, in turn, issued reciprocal tariffs on U.S. goods.</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Due to rapid changes to U.S. import laws and applicable duties the Company faces a variety of import-related risk. Because of the political nature of U.S. trade policy, it is unknown whether and to what extent new tariffs (or other new laws or regulations) will be adopted, the duration of any existing punitive tariffs, or the effect of U.S. trade policy on us or our industry. A significant portion of our manufacturing operations are based in Ningbo, China; therefore, there could be material adverse effects on our business, financial condition, and/or cash flow if any new tariffs, legislation, regulations, or executive orders are implemented, or if existing trade agreements are renegotiated or if China or other affected countries take further retaliatory trade actions.</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Furthermore, the implementation of tariffs both globally and between the U.S. and China specifically carries the risk of negatively impacting China’s overall economic condition, which could negatively affect our business. Bilateral tariffs could cause a decrease in the sales of our products to customers located in China or other customers selling to Chinese end users.</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Company's ability to export U.S.-made products is primarily subject to the jurisdiction of the Bureau of Industry and Security (BIS) of the U.S. Department of Commerce. Because the Company's focus on telecommunications products is a priority trade issue for BIS, the Company actively monitors licensing and export policy for our products.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Significant changes to existing international trade agreements could also lead to sourcing or logistics disruption resulting from import delays or the imposition of increased tariffs on our sourcing partners. For example, the Chinese government could require the use of local suppliers, compel companies that do business in China to partner with local companies, and otherwise provide additional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operations.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2024, 2023 and 2022, 18.3%, 27.7% and 18.5% of our revenue, respectively, was derived from sales outside of North America. In addition, a significant portion of our manufacturing operations are based in Ningbo, China, and Taipei, Taiwan.</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Trade-related government actions by the U.S., China or other countries that impose barriers or restrictions that would impact our ability to sell or ship products to customers or potential customers may have a negative impact on our financial condition and operations. We cannot predict the actions government entities may take in this context and we may be unable to quickly or effectively react to government actions that restrict our ability to sell to certain customers or those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international revenue and operations are subject to several material risks, including:</w:t>
      </w:r>
    </w:p>
    <w:p>
      <w:pPr>
        <w:spacing w:after="0" w:line="20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9" w:lineRule="exact"/>
        <w:rPr>
          <w:sz w:val="20"/>
          <w:szCs w:val="20"/>
          <w:color w:val="auto"/>
        </w:rPr>
      </w:pPr>
    </w:p>
    <w:p>
      <w:pPr>
        <w:ind w:left="980" w:hanging="324"/>
        <w:spacing w:after="0"/>
        <w:tabs>
          <w:tab w:leader="none" w:pos="980" w:val="left"/>
        </w:tabs>
        <w:numPr>
          <w:ilvl w:val="0"/>
          <w:numId w:val="19"/>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38" w:lineRule="exact"/>
        <w:rPr>
          <w:rFonts w:ascii="MS PGothic" w:cs="MS PGothic" w:eastAsia="MS PGothic" w:hAnsi="MS PGothic"/>
          <w:sz w:val="43"/>
          <w:szCs w:val="43"/>
          <w:color w:val="auto"/>
          <w:vertAlign w:val="subscript"/>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52" w:lineRule="exact"/>
        <w:rPr>
          <w:rFonts w:ascii="MS PGothic" w:cs="MS PGothic" w:eastAsia="MS PGothic" w:hAnsi="MS PGothic"/>
          <w:sz w:val="18"/>
          <w:szCs w:val="18"/>
          <w:color w:val="auto"/>
        </w:rPr>
      </w:pPr>
    </w:p>
    <w:p>
      <w:pPr>
        <w:ind w:left="980" w:right="38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foreign and U.S. taxation issues and international trade barriers, including the adoption or expansion of governmental trade tariffs, export controls, and fluctuating changes to end-use and end-user rules;</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252" w:lineRule="exact"/>
        <w:rPr>
          <w:rFonts w:ascii="MS PGothic" w:cs="MS PGothic" w:eastAsia="MS PGothic" w:hAnsi="MS PGothic"/>
          <w:sz w:val="18"/>
          <w:szCs w:val="18"/>
          <w:color w:val="auto"/>
        </w:rPr>
      </w:pPr>
    </w:p>
    <w:p>
      <w:pPr>
        <w:ind w:left="980" w:right="20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fluctuations in foreign economies including the impact of recessionary environments and inflation in the United States and other economies where we do business;</w:t>
      </w:r>
    </w:p>
    <w:p>
      <w:pPr>
        <w:spacing w:after="0" w:line="161" w:lineRule="exact"/>
        <w:rPr>
          <w:rFonts w:ascii="MS PGothic" w:cs="MS PGothic" w:eastAsia="MS PGothic" w:hAnsi="MS PGothic"/>
          <w:sz w:val="18"/>
          <w:szCs w:val="18"/>
          <w:color w:val="auto"/>
        </w:rPr>
      </w:pPr>
    </w:p>
    <w:p>
      <w:pPr>
        <w:ind w:left="980" w:right="4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fluctuations in the value of foreign currencies and interest rates, including the impact of recessionary environments and inflation in the United States and other economies where we do business;</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trade and travel restrictions;</w:t>
      </w:r>
    </w:p>
    <w:p>
      <w:pPr>
        <w:spacing w:after="0" w:line="252" w:lineRule="exact"/>
        <w:rPr>
          <w:rFonts w:ascii="MS PGothic" w:cs="MS PGothic" w:eastAsia="MS PGothic" w:hAnsi="MS PGothic"/>
          <w:sz w:val="18"/>
          <w:szCs w:val="18"/>
          <w:color w:val="auto"/>
        </w:rPr>
      </w:pPr>
    </w:p>
    <w:p>
      <w:pPr>
        <w:ind w:left="980" w:right="48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modifications of the U.S. import regime, the Foreign Corrupt Practices Act and various modifications by the BIS to export policy; and</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we currently operate or may operate in the future.</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factors in China, Taiwan, the U.S.,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plants, and equipment is located in China and Taiwan. We expect to make further investments in Asia in the future. Therefore, our business, financial condition, results of operations and prospects are subject to economic, political, legal, and social events and developments in Asia. Factors affecting military, political or economic conditions between China and Taiwan could have a material adverse effect on our financial condition and results of operations, as well as the market price and the liquidity of our common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are critical to our success. A total of $111.8 million, $43.3 million and $51.3 million or 44.8%, 19.9% and 23.0% of our revenue in the years ended December 31, 2024, 2023 and 2022 was attributable to our product manufactured at our plant in China, respectively. Additionally, a substantial portion of our property, plant and equipment, 46.9%, 43.0% and 42.2%, as of December 31, 2024, 2023 and 2022,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7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30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ectPr>
          <w:pgSz w:w="11900" w:h="16838" w:orient="portrait"/>
          <w:cols w:equalWidth="0" w:num="1">
            <w:col w:w="11220"/>
          </w:cols>
          <w:pgMar w:left="320" w:top="121" w:right="359"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7" w:lineRule="exact"/>
        <w:rPr>
          <w:sz w:val="20"/>
          <w:szCs w:val="20"/>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 substantial monetary damages; or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have been and may become the target of this type of litigation in the future.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3" w:lineRule="exact"/>
        <w:rPr>
          <w:sz w:val="20"/>
          <w:szCs w:val="20"/>
          <w:color w:val="auto"/>
        </w:rPr>
      </w:pPr>
    </w:p>
    <w:p>
      <w:pPr>
        <w:ind w:left="980" w:hanging="324"/>
        <w:spacing w:after="0"/>
        <w:tabs>
          <w:tab w:leader="none" w:pos="980" w:val="left"/>
        </w:tabs>
        <w:numPr>
          <w:ilvl w:val="0"/>
          <w:numId w:val="2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providing for a classified board of directors with staggered, three-year terms;</w:t>
      </w:r>
    </w:p>
    <w:p>
      <w:pPr>
        <w:spacing w:after="0" w:line="84" w:lineRule="exact"/>
        <w:rPr>
          <w:rFonts w:ascii="MS PGothic" w:cs="MS PGothic" w:eastAsia="MS PGothic" w:hAnsi="MS PGothic"/>
          <w:sz w:val="43"/>
          <w:szCs w:val="43"/>
          <w:color w:val="auto"/>
          <w:vertAlign w:val="subscript"/>
        </w:rPr>
      </w:pPr>
    </w:p>
    <w:p>
      <w:pPr>
        <w:ind w:left="980" w:hanging="324"/>
        <w:spacing w:after="0" w:line="216" w:lineRule="auto"/>
        <w:tabs>
          <w:tab w:leader="none" w:pos="980" w:val="left"/>
        </w:tabs>
        <w:numPr>
          <w:ilvl w:val="0"/>
          <w:numId w:val="2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not providing for cumulative voting in the election of directors;</w:t>
      </w:r>
    </w:p>
    <w:p>
      <w:pPr>
        <w:spacing w:after="0" w:line="239" w:lineRule="exact"/>
        <w:rPr>
          <w:rFonts w:ascii="MS PGothic" w:cs="MS PGothic" w:eastAsia="MS PGothic" w:hAnsi="MS PGothic"/>
          <w:sz w:val="43"/>
          <w:szCs w:val="43"/>
          <w:color w:val="auto"/>
          <w:vertAlign w:val="subscript"/>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52" w:lineRule="exact"/>
        <w:rPr>
          <w:rFonts w:ascii="MS PGothic" w:cs="MS PGothic" w:eastAsia="MS PGothic" w:hAnsi="MS PGothic"/>
          <w:sz w:val="18"/>
          <w:szCs w:val="18"/>
          <w:color w:val="auto"/>
        </w:rPr>
      </w:pPr>
    </w:p>
    <w:p>
      <w:pPr>
        <w:ind w:left="980" w:right="140" w:hanging="324"/>
        <w:spacing w:after="0" w:line="282" w:lineRule="auto"/>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62"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6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1"/>
          <w:szCs w:val="21"/>
          <w:color w:val="auto"/>
        </w:rPr>
        <w:t>Cyber criminals are becoming more sophisticated and effective every day. All companies utilizing technology are subject to threats of breaches of their cybersecurity programs. To mitigate the threat to our business, we take a comprehensive approach to cybersecurity risk management and make securing the data customers and other stakeholders entrust to us a top priority. Our board of directors (the "Board") and our management are actively involved in the oversight of risk management program, of which cybersecurity represents an important component. As described in more detail below, we have established policies, standards, processes and practices for assessing, identifying, and managing material risks from cybersecurity threats. We have devoted financial and personnel resources to implement and maintain security measures to meet regulatory requirements and customer expectations, and we intend to continue to make investments to maintain the security of our data and cybersecurity infrastructure. There can be no guarantee that our policies and procedures will be properly followed in every instance or that those policies and procedures will be effective. Our Risk Factors include further detail about the material cybersecurity risks we face and have faced in the past. We can provide no assurance that there will not be incidents in the future or that they will not materially affect us, including our business strategy,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policies, standards, processes and practices for assessing, identifying, and managing material risks from cybersecurity threats are integrated into our overall risk management. Our cybersecurity program in particular focuses on the following key areas: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risks are identified and addressed through a cross-functional approach. Key security, risk, and compliance stakeholders meet to develop strategies for preserving the confidentiality, integrity and availability of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the Board in a timely manner.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229"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and members of management.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Technical Safeguards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have established comprehensive incident response and recovery plans and continue to evaluate the effectiveness of those plans. Our incident response and recovery plans address — and guide our employees, management and the Board on — our response to a cybersecurity incident.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229"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Our policies require our employees to contribute to our data security efforts. We provide awareness training to our employees to help identify, avoid and mitigate cybersecurity threats. Our employees participate annually in required training, including spear phishing and other awareness training.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and Management Oversight</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Board oversees our management of cybersecurity risk. They receive regular reports from management about the prevention, detection, mitigation, and remediation of cybersecurity incidents, including material security risks and information security vulnerabilities.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general manager and MIS director have primary responsibility for assessing and managing material cybersecurity risks. They meet to review security performance metrics, identify security risks, and assess the status of approved security enhancements. They also consider and make recommendations on security policies and procedures, security service requirements, and risk mitigation strategies.</w:t>
      </w:r>
    </w:p>
    <w:p>
      <w:pPr>
        <w:spacing w:after="0" w:line="1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Our MIS director has served in various roles in information technology and information security for over 20 years. Our general manager has over 20 years of experience managing risks, including risks arising from cybersecurity threats.</w:t>
      </w:r>
    </w:p>
    <w:p>
      <w:pPr>
        <w:spacing w:after="0" w:line="1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or Lease</w:t>
            </w:r>
          </w:p>
        </w:tc>
        <w:tc>
          <w:tcPr>
            <w:tcW w:w="10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562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Use</w:t>
            </w:r>
          </w:p>
        </w:tc>
      </w:tr>
      <w:tr>
        <w:trPr>
          <w:trHeight w:val="20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Sugar Land, Texas</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Owned </w:t>
            </w:r>
            <w:r>
              <w:rPr>
                <w:rFonts w:ascii="Times New Roman" w:cs="Times New Roman" w:eastAsia="Times New Roman" w:hAnsi="Times New Roman"/>
                <w:sz w:val="24"/>
                <w:szCs w:val="24"/>
                <w:color w:val="auto"/>
                <w:vertAlign w:val="superscript"/>
              </w:rPr>
              <w:t>(1)</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139,450</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Duluth, Georgia</w:t>
            </w:r>
          </w:p>
        </w:tc>
        <w:tc>
          <w:tcPr>
            <w:tcW w:w="120" w:type="dxa"/>
            <w:vAlign w:val="bottom"/>
          </w:tcPr>
          <w:p>
            <w:pPr>
              <w:spacing w:after="0"/>
              <w:rPr>
                <w:sz w:val="18"/>
                <w:szCs w:val="18"/>
                <w:color w:val="auto"/>
              </w:rPr>
            </w:pPr>
          </w:p>
        </w:tc>
        <w:tc>
          <w:tcPr>
            <w:tcW w:w="20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5"/>
                <w:szCs w:val="25"/>
                <w:color w:val="auto"/>
                <w:vertAlign w:val="superscript"/>
              </w:rPr>
              <w:t>(2)</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10,459</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Sales, research and development</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Ningbo, China</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Owned </w:t>
            </w:r>
            <w:r>
              <w:rPr>
                <w:rFonts w:ascii="Times New Roman" w:cs="Times New Roman" w:eastAsia="Times New Roman" w:hAnsi="Times New Roman"/>
                <w:sz w:val="25"/>
                <w:szCs w:val="25"/>
                <w:color w:val="auto"/>
                <w:vertAlign w:val="superscript"/>
              </w:rPr>
              <w:t>(3)</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458,849</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33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Taipei, Taiwan</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November 30, 2039 </w:t>
            </w:r>
            <w:r>
              <w:rPr>
                <w:rFonts w:ascii="Times New Roman" w:cs="Times New Roman" w:eastAsia="Times New Roman" w:hAnsi="Times New Roman"/>
                <w:sz w:val="29"/>
                <w:szCs w:val="29"/>
                <w:color w:val="auto"/>
                <w:w w:val="97"/>
                <w:vertAlign w:val="superscript"/>
              </w:rPr>
              <w:t>(4)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305,459</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1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laser chips (utilizing our MBE and MOCVD process), subassemblies and components in our Sugar Land, Texas facility.</w:t>
      </w:r>
    </w:p>
    <w:p>
      <w:pPr>
        <w:spacing w:after="0" w:line="205" w:lineRule="exact"/>
        <w:rPr>
          <w:rFonts w:ascii="Times New Roman" w:cs="Times New Roman" w:eastAsia="Times New Roman" w:hAnsi="Times New Roman"/>
          <w:sz w:val="18"/>
          <w:szCs w:val="18"/>
          <w:color w:val="auto"/>
        </w:rPr>
      </w:pPr>
    </w:p>
    <w:p>
      <w:pPr>
        <w:ind w:left="300" w:right="360" w:hanging="29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Georgia facility, we have sales and research and development for CATV market. The lease covering the 2,932 square feet facility will expire October 31, 2025 and the lease covering the 7,527 square feet will expire December 31, 2025.</w:t>
      </w:r>
    </w:p>
    <w:p>
      <w:pPr>
        <w:spacing w:after="0" w:line="161" w:lineRule="exact"/>
        <w:rPr>
          <w:rFonts w:ascii="Times New Roman" w:cs="Times New Roman" w:eastAsia="Times New Roman" w:hAnsi="Times New Roman"/>
          <w:sz w:val="18"/>
          <w:szCs w:val="18"/>
          <w:color w:val="auto"/>
        </w:rPr>
      </w:pPr>
    </w:p>
    <w:p>
      <w:pPr>
        <w:ind w:left="240" w:right="20" w:hanging="232"/>
        <w:spacing w:after="0" w:line="256"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China facility, we manufacture certain more labor intensive components and optical equipment systems, such as optical subassemblies and transceivers for the CATV transmitters (at the headend), CATV outdoor equipment (at the node) and internet data center market.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The land use rights for the second real property expire on December 28, 2067.</w:t>
      </w:r>
    </w:p>
    <w:p>
      <w:pPr>
        <w:spacing w:after="0" w:line="187" w:lineRule="exact"/>
        <w:rPr>
          <w:rFonts w:ascii="Times New Roman" w:cs="Times New Roman" w:eastAsia="Times New Roman" w:hAnsi="Times New Roman"/>
          <w:sz w:val="18"/>
          <w:szCs w:val="18"/>
          <w:color w:val="auto"/>
        </w:rPr>
      </w:pPr>
    </w:p>
    <w:p>
      <w:pPr>
        <w:ind w:left="240" w:right="120" w:hanging="232"/>
        <w:spacing w:after="0" w:line="255"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We also manufacture CATV outdoor equipment in our Taiwan location. The lease covering the Taiwan facility commenced on June 1, 2014 and expires on May 31, 2029.</w:t>
      </w:r>
    </w:p>
    <w:p>
      <w:pPr>
        <w:spacing w:after="0" w:line="2" w:lineRule="exact"/>
        <w:rPr>
          <w:rFonts w:ascii="Times New Roman" w:cs="Times New Roman" w:eastAsia="Times New Roman" w:hAnsi="Times New Roman"/>
          <w:sz w:val="18"/>
          <w:szCs w:val="18"/>
          <w:color w:val="auto"/>
        </w:rPr>
      </w:pPr>
    </w:p>
    <w:p>
      <w:pPr>
        <w:ind w:lef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2024, we entered into a Land and Building Lease Agreement to lease approximately 3,537 square meters of two adjoining parcels of land, in New Taipei City. The lease also includes a building on these parcels, totaling approximately 3,406 square meters. The lease term is for fifteen years, commencing on December 1, 2024, and ending on November 30, 2039.</w:t>
      </w:r>
    </w:p>
    <w:p>
      <w:pPr>
        <w:spacing w:after="0" w:line="1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T "Contingencies" included in Part II, Item 8 of this Form 10-K, is incorporated herein by reference. For an additional discussion of certain risks associated with legal proceedings, see "Risk Factors" above.</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September 26, 2013, our common stock began to trade on the NASDAQ Global Market under the symbol “AAOI”. Prior to that time, there was no public market for our common stock. As of February 24, 2025, there were 54 holders of record of our common stock (not including beneficial holders of our common stock holding in street name).</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of an investment of $100 (and the reinvestment of any dividends thereafter) on January 1, 2019 (the last five fiscal years)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130810</wp:posOffset>
            </wp:positionV>
            <wp:extent cx="4526280" cy="2957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2628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130" w:type="dxa"/>
        <w:tblCellMar>
          <w:top w:w="0" w:type="dxa"/>
          <w:left w:w="0" w:type="dxa"/>
          <w:bottom w:w="0" w:type="dxa"/>
          <w:right w:w="0" w:type="dxa"/>
        </w:tblCellMar>
      </w:tblPr>
      <w:tr>
        <w:trPr>
          <w:trHeight w:val="230"/>
        </w:trPr>
        <w:tc>
          <w:tcPr>
            <w:tcW w:w="220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Borders>
              <w:top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AAOI</w:t>
            </w:r>
          </w:p>
        </w:tc>
        <w:tc>
          <w:tcPr>
            <w:tcW w:w="240" w:type="dxa"/>
            <w:vAlign w:val="bottom"/>
            <w:tcBorders>
              <w:top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NASDAQ Telecom</w:t>
            </w:r>
          </w:p>
        </w:tc>
        <w:tc>
          <w:tcPr>
            <w:tcW w:w="240" w:type="dxa"/>
            <w:vAlign w:val="bottom"/>
            <w:tcBorders>
              <w:top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180" w:type="dxa"/>
            <w:vAlign w:val="bottom"/>
            <w:tcBorders>
              <w:top w:val="single" w:sz="8" w:color="auto"/>
              <w:right w:val="single" w:sz="8" w:color="auto"/>
            </w:tcBorders>
          </w:tcPr>
          <w:p>
            <w:pPr>
              <w:spacing w:after="0"/>
              <w:rPr>
                <w:sz w:val="19"/>
                <w:szCs w:val="19"/>
                <w:color w:val="auto"/>
              </w:rPr>
            </w:pPr>
          </w:p>
        </w:tc>
      </w:tr>
      <w:tr>
        <w:trPr>
          <w:trHeight w:val="209"/>
        </w:trPr>
        <w:tc>
          <w:tcPr>
            <w:tcW w:w="2200" w:type="dxa"/>
            <w:vAlign w:val="bottom"/>
            <w:tcBorders>
              <w:lef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12/31/2019</w:t>
            </w: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2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r>
      <w:tr>
        <w:trPr>
          <w:trHeight w:val="210"/>
        </w:trPr>
        <w:tc>
          <w:tcPr>
            <w:tcW w:w="220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12/31/2020</w:t>
            </w:r>
          </w:p>
        </w:tc>
        <w:tc>
          <w:tcPr>
            <w:tcW w:w="8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71.63%</w:t>
            </w: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122.04%</w:t>
            </w:r>
          </w:p>
        </w:tc>
        <w:tc>
          <w:tcPr>
            <w:tcW w:w="2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143.64%</w:t>
            </w:r>
          </w:p>
        </w:tc>
      </w:tr>
      <w:tr>
        <w:trPr>
          <w:trHeight w:val="20"/>
        </w:trPr>
        <w:tc>
          <w:tcPr>
            <w:tcW w:w="2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210"/>
        </w:trPr>
        <w:tc>
          <w:tcPr>
            <w:tcW w:w="2200" w:type="dxa"/>
            <w:vAlign w:val="bottom"/>
            <w:tcBorders>
              <w:lef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12/31/2021</w:t>
            </w: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43.27%</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127.87%</w:t>
            </w:r>
          </w:p>
        </w:tc>
        <w:tc>
          <w:tcPr>
            <w:tcW w:w="2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174.36%</w:t>
            </w:r>
          </w:p>
        </w:tc>
      </w:tr>
      <w:tr>
        <w:trPr>
          <w:trHeight w:val="20"/>
        </w:trPr>
        <w:tc>
          <w:tcPr>
            <w:tcW w:w="2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r>
      <w:tr>
        <w:trPr>
          <w:trHeight w:val="210"/>
        </w:trPr>
        <w:tc>
          <w:tcPr>
            <w:tcW w:w="220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12/31/2022</w:t>
            </w:r>
          </w:p>
        </w:tc>
        <w:tc>
          <w:tcPr>
            <w:tcW w:w="8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95.61%</w:t>
            </w:r>
          </w:p>
        </w:tc>
        <w:tc>
          <w:tcPr>
            <w:tcW w:w="2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116.65%</w:t>
            </w:r>
          </w:p>
        </w:tc>
      </w:tr>
      <w:tr>
        <w:trPr>
          <w:trHeight w:val="20"/>
        </w:trPr>
        <w:tc>
          <w:tcPr>
            <w:tcW w:w="2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209"/>
        </w:trPr>
        <w:tc>
          <w:tcPr>
            <w:tcW w:w="2200" w:type="dxa"/>
            <w:vAlign w:val="bottom"/>
            <w:tcBorders>
              <w:lef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12/31/2023</w:t>
            </w: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162.63%</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107.36%</w:t>
            </w:r>
          </w:p>
        </w:tc>
        <w:tc>
          <w:tcPr>
            <w:tcW w:w="2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167.30%</w:t>
            </w:r>
          </w:p>
        </w:tc>
      </w:tr>
      <w:tr>
        <w:trPr>
          <w:trHeight w:val="20"/>
        </w:trPr>
        <w:tc>
          <w:tcPr>
            <w:tcW w:w="2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r>
      <w:tr>
        <w:trPr>
          <w:trHeight w:val="210"/>
        </w:trPr>
        <w:tc>
          <w:tcPr>
            <w:tcW w:w="220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310.27%</w:t>
            </w:r>
          </w:p>
        </w:tc>
        <w:tc>
          <w:tcPr>
            <w:tcW w:w="2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119.33%</w:t>
            </w:r>
          </w:p>
        </w:tc>
        <w:tc>
          <w:tcPr>
            <w:tcW w:w="222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215.22%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equity compensation plan information refer to Item 12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ectPr>
          <w:pgSz w:w="11900" w:h="16838" w:orient="portrait"/>
          <w:cols w:equalWidth="0" w:num="1">
            <w:col w:w="11200"/>
          </w:cols>
          <w:pgMar w:left="320" w:top="121" w:right="379" w:bottom="1440" w:gutter="0" w:footer="0" w:header="0"/>
        </w:sect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Form 10-K. This discussion and other parts of this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 This section generally discusses the results of our operations for the year ended December 31, 2024, compared to the year ended December 31, 2023. For a discussion of the year ended December 31, 2023 compared to the year ended December 31, 2022, please refer to Part II, Item 7, "Management's Discussion and Analysis of Financial Condition and Results of Operations" in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2024, 2023 and 2022, our revenue was $249.4 million, $217.6 million and $222.8 million, and our gross margin was 24.8%, 27.1% and 15.1%, respectively. We have grown our annual revenue at a compound annual growth rate, or CAGR, of 6.7% between 2014 and 2024. In the years ended December 31, 2024, 2023 and 2022, we had net loss of $186.7 million, $56.0 million and $66.4 million, respectively. At December 31, 2024 and 2023, our accumulated deficit was $451.9 million and $265.1 million, respectively. In 2024, we earned 59.5% of our total revenue from the internet data center market and 35.2% of our total revenue from the CATV market.</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sell our products to leading OEMs in the CATV, telecom, and FTTH markets as well as internet data center operators and CATV MSOs. In 2024, revenue from the internet data center market, CATV market, telecom market, FTTH and other markets provided 59.5%, 35.2%, 4.4% and 0.9% of our revenue, respectively, compared to 64.9%, 27.5%, 6.4% and 1.2% of our 2023 revenue, respectively. In 2024, our key customers in the internet data center market included Microsoft, Oracle and a U.S. based datacenter equipment manufacturer. In 2024, 2023, and 2022, Microsoft accounted for 43.7%, 46.6%, and 18.4% of our revenue and a Oracle accounted for 12.4%, 8.8% and 5.9% of our revenue, respectively. In 2024, our key customer in the CATV market was Digicomm, a provider of logistics solutions and a distributor of equipment to CATV MSOs. In 2024, 2023, and 2022, Digicomm accounted for 34.1%, 11.3% and 0% of our revenue.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2024, our increase of revenue of 14.6% over the prior-year was driven primarily by increased demand for our internet data center products, which we believe is arising from demand for products necessary for new data center construction along with data center upgrades to enable new technologies like AI, and the demand recovery in the CATV market, offset by the lack of revenue from Non-Recurring Engineering ("NRE") projects. Based on customer forecasts and order backlog we believe that this elevated data center demand will likely continue into 2025. We also believe that sales in our CATV market will increase in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continued sales of our 40 Gbps and 100 Gbps products in 2025, and we expect that sales of 400 Gbps products will likely exceed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100 Gbps products later in 2025. However, quarter-to-quarter results may show considerable variability as is usual in a period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Similar to revenue, our gross margins can fluctuate materially depending on a variety of factors including average selling price changes,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mix, global supply chain situation, raw material cost reduction or increase, manufacturing utilization rate and changes in manufacturing efficiency.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expect to see material revenue from 800G products in 2025.</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along with CATV MSOs.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2024, 2023 and 2022, we had 8, 6, and 12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Increasing Consumer Demand for Bandwidth. </w:t>
      </w:r>
      <w:r>
        <w:rPr>
          <w:rFonts w:ascii="Times New Roman" w:cs="Times New Roman" w:eastAsia="Times New Roman" w:hAnsi="Times New Roman"/>
          <w:sz w:val="17"/>
          <w:szCs w:val="17"/>
          <w:color w:val="auto"/>
        </w:rPr>
        <w:t>Bandwidth demand in all of our target markets is driving service provider investment in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5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Margins. </w:t>
      </w:r>
      <w:r>
        <w:rPr>
          <w:rFonts w:ascii="Times New Roman" w:cs="Times New Roman" w:eastAsia="Times New Roman" w:hAnsi="Times New Roman"/>
          <w:sz w:val="18"/>
          <w:szCs w:val="18"/>
          <w:color w:val="auto"/>
        </w:rPr>
        <w:t>Our products are sold in a highly competitive marketplace, and in many cases our products are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75" w:lineRule="exact"/>
        <w:rPr>
          <w:sz w:val="20"/>
          <w:szCs w:val="20"/>
          <w:color w:val="auto"/>
        </w:rPr>
      </w:pPr>
    </w:p>
    <w:p>
      <w:pPr>
        <w:ind w:left="1300" w:right="440" w:hanging="320"/>
        <w:spacing w:after="0" w:line="266" w:lineRule="auto"/>
        <w:tabs>
          <w:tab w:leader="none" w:pos="130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p>
      <w:pPr>
        <w:spacing w:after="0" w:line="175" w:lineRule="exact"/>
        <w:rPr>
          <w:rFonts w:ascii="MS PGothic" w:cs="MS PGothic" w:eastAsia="MS PGothic" w:hAnsi="MS PGothic"/>
          <w:sz w:val="18"/>
          <w:szCs w:val="18"/>
          <w:color w:val="auto"/>
        </w:rPr>
      </w:pPr>
    </w:p>
    <w:p>
      <w:pPr>
        <w:ind w:left="1300" w:right="160" w:hanging="320"/>
        <w:spacing w:after="0" w:line="261" w:lineRule="auto"/>
        <w:tabs>
          <w:tab w:leader="none" w:pos="130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p>
      <w:pPr>
        <w:spacing w:after="0" w:line="179" w:lineRule="exact"/>
        <w:rPr>
          <w:rFonts w:ascii="MS PGothic" w:cs="MS PGothic" w:eastAsia="MS PGothic" w:hAnsi="MS PGothic"/>
          <w:sz w:val="18"/>
          <w:szCs w:val="18"/>
          <w:color w:val="auto"/>
        </w:rPr>
      </w:pPr>
    </w:p>
    <w:p>
      <w:pPr>
        <w:ind w:left="1300" w:hanging="320"/>
        <w:spacing w:after="0" w:line="258" w:lineRule="auto"/>
        <w:tabs>
          <w:tab w:leader="none" w:pos="130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81"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within End Markets. </w:t>
      </w:r>
      <w:r>
        <w:rPr>
          <w:rFonts w:ascii="Times New Roman" w:cs="Times New Roman" w:eastAsia="Times New Roman" w:hAnsi="Times New Roman"/>
          <w:sz w:val="18"/>
          <w:szCs w:val="18"/>
          <w:color w:val="auto"/>
        </w:rPr>
        <w:t>Our revenue tends to be split primarily between CATV market and data center market. Moreover,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these markets, revenue tends to be concentrated among a small number of customers.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three customers that accounted for more than 10% of our revenue in 2024 and 2023, respectively.</w:t>
      </w:r>
    </w:p>
    <w:p>
      <w:pPr>
        <w:spacing w:after="0" w:line="182"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We invest heavily to develop new and innovative products. The majority of our research and development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Financial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2024, 2023 and 2022, as well as the corresponding percentage of our total revenue for each period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141,213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77,094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87,713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118,169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249,365</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217,646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222,818</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8"/>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2024, 2023 and 2022, our top ten customers represented 95.0%, 92.7% and 87.2% of our revenue, respectively.</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2024, 44.8% of our total revenue was manufactured at our China-based subsidiary, with $0.8 million denominated in RMB and 50.8% of our total revenue was from products manufactured at our Taiwan-based facility, with no revenue denominated in NT dollars. We expect a similar portion of our sales to be denominated in foreign currencies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especially during the initial phase of the production.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87"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We manufacture products in three of our four facilities located in the U.S., Taiwan and China. Generally, laser chips and optical components are manufactured in our Sugar Land facility, and optical components, subassemblies and optical equipment are manufactured in our Taiwan and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15.1% and 27.1%,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or R&amp;D, expense consists primarily of personnel costs, 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including share-based compensation for our sales and marketing personnel, as well as travel and trade show expenses, shipping and tariff expenses, sales commissions and the allocation of overall corporate services and facility costs. We sell our products to customers who either incorporate our products into their own products, use them in their own infrastructure,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2024, 2023 and 2022. Additionally, we pay commissions to third parties on certain product lines and identified customers, which also amounted to less than one percent of our revenue in 2024, 2023 and 2022.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including 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short-term investments. Interest expense consists of amounts paid for interest on our short-term and long-term debt borrowings, and convertible senior notes.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primarily made up of government subsidized income, extinguishment of debt and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2024, 2023 and 2022 our effective tax rate was 0%.</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three-year period. Global renewed its national high-tech enterprise certificate in 2011, 2014, 2017, 2020, and 2023 extending its three-year tax preferential status through December 2026.</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had $0.2 million each, of unrecognized tax benefits related to U.S. tax benefits recognized for which we do not meet the more likely than not threshold.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additional information regarding income taxes in Note O, included in Part II, Item 8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uncertain whether the demand for our internet data center, CATV, telecom and FTTH products is seasonal, as our sales data does not indicate a significant trend with respect to these products. We began to manufacture a meaningful quantity of CATV and internet data center products in our Ningbo, China factory in 2017 and 2020, respectively.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2024, 2023, and 2022, the percentage of employees in our China factory who resigned or were terminated during Q1, relative to the average number of employees during the quarter was 17.2%, 53.8% and 66.1%, respectively. We believe that the turnover in 2022 was higher than usual due to the COVID-19 pandemic which caused travel restrictions, additional health check requirements, and a lengthy shutdown of operations in Ningbo. As a result of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Q1. In 2024, we began to produce more of our CATV and internet data center products outside of China which we believe will be instrumental in further alleviating some of the typical seasonality that we see in Q1.</w:t>
      </w:r>
    </w:p>
    <w:p>
      <w:pPr>
        <w:spacing w:after="0" w:line="19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as a percentage of our revenue for those periods. The period-to-period comparison of our financial results is not necessarily indicative of our financial results to be achieved in future periods.</w:t>
      </w:r>
    </w:p>
    <w:p>
      <w:pPr>
        <w:spacing w:after="0" w:line="15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09"/>
        </w:trPr>
        <w:tc>
          <w:tcPr>
            <w:tcW w:w="6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7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6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9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2024 and 2023 (in thousands, except percentages):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87,713</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141,213</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249,365</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$31.7 million or 14.6% from 2023 to 2024. The increase was driven primarily by increased demand in the CATV market, which we believe is due to market acceptance on our newly release DOCSIS 4.0 products in 2024, and increased demand for our internet data</w:t>
      </w:r>
    </w:p>
    <w:p>
      <w:pPr>
        <w:ind w:right="180"/>
        <w:spacing w:after="0" w:line="250" w:lineRule="auto"/>
        <w:rPr>
          <w:sz w:val="20"/>
          <w:szCs w:val="20"/>
          <w:color w:val="auto"/>
        </w:rPr>
      </w:pPr>
      <w:r>
        <w:rPr>
          <w:rFonts w:ascii="Times New Roman" w:cs="Times New Roman" w:eastAsia="Times New Roman" w:hAnsi="Times New Roman"/>
          <w:sz w:val="18"/>
          <w:szCs w:val="18"/>
          <w:color w:val="auto"/>
        </w:rPr>
        <w:t>center products, arising from demand for products necessary for new data center construction along with data center upgrades to enable new technologies like AI, offset by the lack of NRE project revenue in 2024. Based on customer forecasts and order backlog we believe that this elevated data</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center demand will likely continue into 2025. We also believe that sales in our CATV market will increase in 2025 as a result of further adoption of our DOCSIS 4.0 products.</w:t>
      </w:r>
    </w:p>
    <w:p>
      <w:pPr>
        <w:spacing w:after="0" w:line="1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years ended December 31, 2024 and 2023, our top ten customers represented 95.0% and 92.7%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187,565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158,725</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72.9%  $</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61,800</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58,921</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2,879</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increased by $28.8 million, or 18.2%, from 2023 to 2024, The cost increase in 2024 is due to the increase in direct material and direct labor cost because of revenue growth in 2024. However, this was partially offset by a decreased inventory reserve, which indicated improved inventory turnover. The decrease in gross margin for the year ended December 31, 2024 compared to the same period ended December 31, 2023 was primarily due to the lack of NRE projects in 2024, as these NRE projects usually generate revenue with higher than average gross margin.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35,975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18,980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18,154</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11,069</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53,226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100,270</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32,438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increased $19.0 million, or 52.8% from 2023 to 2024. Research and development costs consist of R&amp;D work orders, R&amp;D material usage and other project related costs related to 100 Gbps, 200/400/800/1600 Gbps data center products, DOCSIS 4.0 capable CATV products, including 1.8 GHz-capable amplifier products, and other new product development, and depreciation expense resulting from R&amp;D equipment investments. The expenses increased due to a higher volume of internal work orders and headcount increase. During 2024, we experienced increased interest in new technologies like 800G and 1.6T among our data center customers. Supporting customer testing and qualification for these new opportunities materially increased our R&amp;D expenditures, and to the extent that we continue to see elevated customer interest in these new technologies we also expect continued elevated R&amp;D expenditures relative to historical averages. We continue to place a high degree of strategic focus on innovation and product development to support future growth.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$7.1 million, or 64.0%, from 2023 to 2024. These increases were primarily due to more sales effort for our Quantum Bandwidth™ products and higher shipping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$6.4 million, or 12.0%, from 2023 to 2024. These increases were primarily due to the higher professional service fees and share-based compensation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7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thousands, except percentages)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(6,826)</w:t>
            </w:r>
          </w:p>
        </w:tc>
        <w:tc>
          <w:tcPr>
            <w:tcW w:w="1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(9,428)</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2,602</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(109,871)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(104,000)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1,771.4%</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(115,823)</w:t>
            </w:r>
          </w:p>
        </w:tc>
        <w:tc>
          <w:tcPr>
            <w:tcW w:w="1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(14,690)</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(101,133)</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increased by $0.3 million, or 43.5% from 2023 to 2024. The increase was primarily due to higher savings balance in 2024.</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by $2.6 million, or 27.6% from 2023 to 2024. The decrease was due to the debt issuance cost of the 2026 Notes, which was replaced with the 2030 Notes in the fourth quarter of 2024 was recognized as loss extinguishment cost. Interest expense in 2023 included the interest expense from the CIT loan, which we terminated in Q4 2023.</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expense increased by $104.0 million, or 1,771.4% from 2023 to 2024. This increase was primarily due to the debt extinguishment cost relating to the 2026 Notes, reflecting the difference between the book value of the 2026 Notes and its fair value at the time of settlement. This resulted in a one-time loss recognized in the period, contributing to the overall rise in non-operating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Years ended December 31,</w:t>
            </w:r>
          </w:p>
        </w:tc>
        <w:tc>
          <w:tcPr>
            <w:tcW w:w="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3"/>
              </w:rPr>
              <w:t>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income tax provision consists of U.S. income tax, state taxes, and Taiwan and China income tax recorded during the periods. Our effective tax rate is affected by recurring items, such as tax rates in state and foreign jurisdictions and the relative amounts of income we earn in those jurisdictions.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recorded no federal tax expense for the years ended December 31, 2024 and December 31, 2023. The income tax expense in the years ended December 31, 2024 and December 31, 2023 was primarily related to the state tax provision and the recording of a valuation allowance on our deferred tax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$24.8 million of unused borrowing capacity from all of our loan agreements. As of December 31, 2024, our cash, cash equivalents, restricted cash and short-term investments totaled $79.1 million. Cash and cash equivalents are held for working capital purposes and are invested primarily in money market or time deposit funds.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w:t>
      </w:r>
    </w:p>
    <w:p>
      <w:pPr>
        <w:spacing w:after="0" w:line="176"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On March 13, 2024, we entered into an Equity Distribution Agreement (the "First ATM Agreement") with Raymond James &amp; Associates (the "Sales Agent") pursuant to which the Company could issue and sell shares of the Company’s common stock, having an aggregate offering price of up to $25 million (the "First ATM Offering"), from time to time through the Sales Agent. On August 6, 2024, we entered into Amendment No. 1 to the First ATM Agreement with the Sales Agent, to increase the aggregate offering price from $25 million to $60 million. On November 6, 2024, we provided notice of its termination, effective on such date, of the First ATM Agreement, as amended. We sold approximately 5.7 million shares at a weighted average price of $10.55 per share, providing proceeds of $58.7 million, net of expenses and underwriting discounts and commissions, under the First ATM Offering.</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November 7, 2024, we entered into another Equity Distribution Agreement (the "Second ATM Agreement") with the Sales Agent pursuant to which the Company could issue and sell shares of the Company's common stock, par value $0.001 per share (the "Shares") having an aggregate offering price of up to $55 million (the "Second ATM Offering"), from time to time through the Sales Agent. Upon delivery of a placement notice and subject to the terms and conditions of the Agreement, sales of the Shares were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would designate the maximum number of Shares to be sold through the Sales Agent, the time period during which sales were requested to be made, the minimum price for the Shares to be sold, and any limitation on the number of Shares that could be sold in any one day. Subject to the terms and conditions of the Agreement, the Sales Agent would use its commercially reasonable efforts to sell Shares on the Company’s behalf up to the designated amount specified in the placement notice.</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Second ATM Agreement provided that the Sales Agent would be entitled to compensation of up to 2% of the gross sales price of the Shares sold through the Sales Agent from time to time. The Company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 against certain liabilities, including liabilities under the Securities Act, or to contribute to payments that the Sales Agent could be required to make because of any of those liabilities.</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November 22, 2024, the Company completed the Second ATM Offering and sold approximately 1.8 million shares at a weighted average price of $31.17 per share, providing proceeds of $53.9 million, net of expenses and underwriting discounts and commissions.</w:t>
      </w:r>
    </w:p>
    <w:p>
      <w:pPr>
        <w:spacing w:after="0" w:line="162"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details of the shares of common stock sold through the First ATM Offering and the Second ATM Offering through December 31, 2024 are as follows (in thousands, except shares and weighted average per share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Distribution Agent</w:t>
            </w:r>
          </w:p>
        </w:tc>
        <w:tc>
          <w:tcPr>
            <w:tcW w:w="140" w:type="dxa"/>
            <w:vAlign w:val="bottom"/>
          </w:tcPr>
          <w:p>
            <w:pPr>
              <w:spacing w:after="0"/>
              <w:rPr>
                <w:sz w:val="20"/>
                <w:szCs w:val="20"/>
                <w:color w:val="auto"/>
              </w:rPr>
            </w:pPr>
          </w:p>
        </w:tc>
        <w:tc>
          <w:tcPr>
            <w:tcW w:w="18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Sold</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Agent</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May-24</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Aug-24</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Nov-24</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r>
      <w:tr>
        <w:trPr>
          <w:trHeight w:val="23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2,298</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Shelf Registration Statement</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the Company filed an automatic shelf registration statement on Form S-3ASR (Registration File No. 333-283905) (the "Automatic Shelf Registration Statement") with the U.S. Securities and Exchange Commission, which became effective immediately upon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December 23, 2024, the Company issued an aggregate of 1,036,458 shares of the Company’s common stock, par value $0.001 per share, at a purchase price of $33.97 per share, in a registered direct offering (the "Registered Direct Offering"). The Registered Direct Offering was made pursuant to the Automatic Shelf Registration Statement. The Registered Direct Offering closed on December 23, 2024.</w:t>
      </w:r>
    </w:p>
    <w:p>
      <w:pPr>
        <w:spacing w:after="0" w:line="176"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Raymond James and Associates, Inc. acted as the sole placement agent (the "Placement Agent") for the Company in connection with the Registered Direct Offering. Pursuant to that certain Placement Agency Agreement, dated as of December 18, 2024, between the Company and the Placement Agent, the Placement Agent is entitled to a fee equal to an aggregate of 3% of the aggregate principal amount of the Registered Direct Offering.</w:t>
      </w:r>
    </w:p>
    <w:p>
      <w:pPr>
        <w:spacing w:after="0" w:line="15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Registered Direct Offering generated proceeds of approximately $33.7 million, after deducting placement agent fees and other estimated offering expenses payable by us. The Company intends to use the net proceeds from the Registered Direct Offering for general corporate purposes, which may include among other things, capital expenditures and working capital. The Company may also use such proceeds to fund acquisitions of businesses,</w:t>
      </w:r>
    </w:p>
    <w:p>
      <w:pPr>
        <w:sectPr>
          <w:pgSz w:w="11900" w:h="16838" w:orient="portrait"/>
          <w:cols w:equalWidth="0" w:num="1">
            <w:col w:w="11240"/>
          </w:cols>
          <w:pgMar w:left="320" w:top="121" w:right="339" w:bottom="0" w:gutter="0" w:footer="0" w:header="0"/>
        </w:sectPr>
      </w:pPr>
    </w:p>
    <w:bookmarkStart w:id="43" w:name="page44"/>
    <w:bookmarkEnd w:id="43"/>
    <w:p>
      <w:pPr>
        <w:ind w:right="160"/>
        <w:spacing w:after="0" w:line="282" w:lineRule="auto"/>
        <w:rPr>
          <w:sz w:val="20"/>
          <w:szCs w:val="20"/>
          <w:color w:val="auto"/>
        </w:rPr>
      </w:pPr>
      <w:r>
        <w:rPr>
          <w:rFonts w:ascii="Times New Roman" w:cs="Times New Roman" w:eastAsia="Times New Roman" w:hAnsi="Times New Roman"/>
          <w:sz w:val="18"/>
          <w:szCs w:val="18"/>
          <w:color w:val="auto"/>
        </w:rPr>
        <w:t>technologies or product lines that complement its current business; however, the Company has no present plans, agreements or commitments with respect to any potential acquisition.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Offerings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bearing interest at a rate of 5% per year maturing on March 15, 2024 (the "2024 Notes"), unless earlier repurchased, redeemed or converted in accordance with their terms. The Company paid off the remaining $0.29 million of the 2024 Notes on March 15, 2024.</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5, 2023, the Company issued approximately $80.2 million aggregate principal amount of 5.250% convertible senior notes due 2026 (the “2026 Notes”), and on the same day consummated various separate, privately negotiated exchange agreements with certain holders of its 2024 Notes to exchange or repurchase approximately $80.2 million principal amount of the 2024 Notes for aggregate consideration consisting of approximately $81.1 million in cash, which included accrued interest on the 2024 Notes, and approximately 466,368 shares of the Company's common stock, par value $0.001 per share. Also refer to Note L “Convertible Senior Notes” to the consolidated financial statements for further discussion of the 2026 Notes.</w:t>
      </w:r>
    </w:p>
    <w:p>
      <w:pPr>
        <w:spacing w:after="0" w:line="18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On December 23, 2024, the Company issued approximately $125.0 million aggregate principal amount of 2.750%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L "Convertible Senior Notes" to the consolidated financial statements for further discussion of the 2030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(69,526)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(14,022)</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(50,697)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142,179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10,753</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w:t>
            </w: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19,510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2024, net cash used in operating activities was $69.5 million. Net cash used in operating activities mainly consisted of our net loss of $186.7 million, after excluding non-cash items of $153.1 million, an increase in accounts receivable from our customers of $68.7 million, an increase in other receivables by $7.9 million, an increase in inventory by $29.4 million, offset by an increase in accounts payable and accrual of $75.9 million.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2023, net cash used in operating activities was $7.9 million. Net cash used in operating activities consisted of our net loss of $56.0 million, after the exclusion of non-cash items of $42.1 million, a decrease in accounts receivable from our customers of $14.5 million and a decrease in our inventory of $6.8 million, contributing to the cash increases. These cash increases were offset by a decrease in accounts payable of $15.0 million and a decrease in unearned revenue of $2.5 million.</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2022, net cash used in operating activities was $14.0 million. Net cash used in operating activities consisted of our net loss of $66.4 million, after the exclusion of non-cash items of $40.5 million, an increase in accounts receivable from our customers of $12.7 million and an increase in other current assets of $2.4 million. These cash decreases were offset by a decrease of notes receivable of $7.8 million, decrease in inventory of $1.2 million, increase in accounts payable to our vendors of $13.0 million and increase in accrued liability of $5.3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2024, net cash used in investing activities was $50.7 million. The majority of the cash was used for Capex spending of $50.2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net cash used in investing activities was $14.8 million. The majority of the cash was used for CapEx spending of $14.3 million.</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2022, net cash used in investing activities was $3.8 million. The net cash used consisted of spending on purchase and prepaid of additional property, plant and equipment of $3.7 million and purchase of intangible assets of $0.5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have historically consisted primarily of proceeds from the issuance of common stock and arrangements with various commercial lenders.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2024, our financing activities provided $142.2 million in cash. This increase in cash was primarily due to $113 million of net proceeds from our First ATM Offering and Second ATM Offering, and around $30 million from the 2030 Notes.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2023, our financing activities provided $40.6 million in cash. This increase in cash was primarily due to $69.0 million of net proceeds from our ATM Offering, $76.1 million from the 2026 Notes, offset by the repayment of 2024 Notes amounting to $80.2 million and repayment of line of credit borrowings of $34.2 million.</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2022, our financing activities provided $10.8 million in cash. This increase in cash was due to $12.2 million of net proceeds from line of credit borrowing, $5.1 million of net proceeds from bank acceptance payable and $1.2 million of net proceeds from our ATM Offering. These activities were offset by $7.3 million debt repayment and $0.5 million related to tax withholding associated with employee share-based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Currently, in the U.S., we do not have a bank loan agreement with any U.S. financial institution. However, we may explore lending opportunities in the U.S. in the future.</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China, we have a revolving line of credit with Shanghai Pudong Development Bank Co., Ltd and a credit facility with China Zheshang Bank Co., Ltd. for our China subsidiary, Global.</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December 31, 2024 , we had $24.8 million of unused borrowing capacity.</w:t>
      </w:r>
    </w:p>
    <w:p>
      <w:pPr>
        <w:spacing w:after="0" w:line="225" w:lineRule="exact"/>
        <w:rPr>
          <w:sz w:val="20"/>
          <w:szCs w:val="20"/>
          <w:color w:val="auto"/>
        </w:rPr>
      </w:pPr>
    </w:p>
    <w:p>
      <w:pPr>
        <w:ind w:left="20" w:right="80" w:firstLine="648"/>
        <w:spacing w:after="0" w:line="266" w:lineRule="auto"/>
        <w:rPr>
          <w:sz w:val="20"/>
          <w:szCs w:val="20"/>
          <w:color w:val="auto"/>
        </w:rPr>
      </w:pPr>
      <w:r>
        <w:rPr>
          <w:rFonts w:ascii="Times New Roman" w:cs="Times New Roman" w:eastAsia="Times New Roman" w:hAnsi="Times New Roman"/>
          <w:sz w:val="18"/>
          <w:szCs w:val="18"/>
          <w:color w:val="auto"/>
        </w:rPr>
        <w:t>On December 5, 2023, the Company issued $80.2 million of 5.250% convertible senior notes due 2026. The 2026 Notes will mature on December 15, 2026, unless earlier repurchased, redeemed or converted in accordance with their terms. As of December 31, 2024, the outstanding principal amount remaining on the 2026 Notes is $3.5 million.</w:t>
      </w:r>
    </w:p>
    <w:p>
      <w:pPr>
        <w:spacing w:after="0" w:line="176" w:lineRule="exact"/>
        <w:rPr>
          <w:sz w:val="20"/>
          <w:szCs w:val="20"/>
          <w:color w:val="auto"/>
        </w:rPr>
      </w:pPr>
    </w:p>
    <w:p>
      <w:pPr>
        <w:ind w:left="20" w:right="160" w:firstLine="648"/>
        <w:spacing w:after="0" w:line="282" w:lineRule="auto"/>
        <w:rPr>
          <w:sz w:val="20"/>
          <w:szCs w:val="20"/>
          <w:color w:val="auto"/>
        </w:rPr>
      </w:pPr>
      <w:r>
        <w:rPr>
          <w:rFonts w:ascii="Times New Roman" w:cs="Times New Roman" w:eastAsia="Times New Roman" w:hAnsi="Times New Roman"/>
          <w:sz w:val="18"/>
          <w:szCs w:val="18"/>
          <w:color w:val="auto"/>
        </w:rPr>
        <w:t>On December 23, 2024, the Company issues $125.0 million of 2.75% convertible senior notes due 2030. The 2030 Notes will mature on January 15, 2030, unless earlier repurchased, redeemed or converted in accordance with their terms.</w:t>
      </w:r>
    </w:p>
    <w:p>
      <w:pPr>
        <w:spacing w:after="0" w:line="162" w:lineRule="exact"/>
        <w:rPr>
          <w:sz w:val="20"/>
          <w:szCs w:val="20"/>
          <w:color w:val="auto"/>
        </w:rPr>
      </w:pPr>
    </w:p>
    <w:p>
      <w:pPr>
        <w:ind w:left="20" w:right="720" w:firstLine="648"/>
        <w:spacing w:after="0" w:line="282" w:lineRule="auto"/>
        <w:rPr>
          <w:sz w:val="20"/>
          <w:szCs w:val="20"/>
          <w:color w:val="auto"/>
        </w:rPr>
      </w:pPr>
      <w:r>
        <w:rPr>
          <w:rFonts w:ascii="Times New Roman" w:cs="Times New Roman" w:eastAsia="Times New Roman" w:hAnsi="Times New Roman"/>
          <w:sz w:val="18"/>
          <w:szCs w:val="18"/>
          <w:color w:val="auto"/>
        </w:rPr>
        <w:t>See Note K “Notes Payable and Long-term Debt” and Note L “Convertible Senior Notes” of our Consolidated Financial Statements for a description of our notes payable and long-term debt and convertible senior notes.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factory and other facilities at our Ningbo, China location. Construction costs for these facilities under this contract are estimated to total approximately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$27.5 million. As of December 31, 2024, construction of the building shell is complete and the first floor has been used, and approximately $27.4 million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total cost has been paid and the remaining portion will be paid in yearly installments for three years after final inspection. We anticipate additional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for building improvements to the factory and we are in the process of evaluating the timing of these expenditures and obtaining bids for any such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Based on forecasts, we believe the factory will be placed in full service in the year 2025 after the construction is completed for the building interior.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has been transferred from construction in progress to building and improvement in 2024.</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have outstanding notes payable and debt with varying maturities with various financial institutions. As of December 31, 2024, our</w:t>
      </w:r>
    </w:p>
    <w:p>
      <w:pPr>
        <w:spacing w:after="0" w:line="27" w:lineRule="exact"/>
        <w:rPr>
          <w:sz w:val="20"/>
          <w:szCs w:val="20"/>
          <w:color w:val="auto"/>
        </w:rPr>
      </w:pPr>
    </w:p>
    <w:p>
      <w:pPr>
        <w:ind w:left="20" w:right="20"/>
        <w:spacing w:after="0" w:line="251" w:lineRule="auto"/>
        <w:rPr>
          <w:sz w:val="20"/>
          <w:szCs w:val="20"/>
          <w:color w:val="auto"/>
        </w:rPr>
      </w:pPr>
      <w:r>
        <w:rPr>
          <w:rFonts w:ascii="Times New Roman" w:cs="Times New Roman" w:eastAsia="Times New Roman" w:hAnsi="Times New Roman"/>
          <w:sz w:val="18"/>
          <w:szCs w:val="18"/>
          <w:color w:val="auto"/>
        </w:rPr>
        <w:t>notes payable and debt had an amount of $26.7 million, $22.4 million of which is due within 12 months. Further information regarding our notes payable is provided in Note K – Notes Payable and Long-Term Debt in the Notes to Consolidated Financial Statements in this Form 10-K. We also have fixed-rate convertible senior notes. As of December 31, 2024, the 2026 Notes had a principal amount of $3.5 million and future interest payments associated with the 2026 Notes totaled $0.2 million. As of December 31, 2024, the 2030 Notes had an aggregate principal amount of $125 million and future interest payments associated with the 2030 Notes totaled $13.9 million. Further information regarding our convertible senior notes is provided in Note L – Convertible Senior Notes in the Notes to Consolidated Financial Statements in this Form 10-K. In addition, we have operating leases for certain property and equipment with an expected term at the commencement date of more than 12 months. As of December 31, 2024, the future minimum payments required under these leases totaled $12.3 million, with $1.7 million payable within 12 months. Further information regarding our leases is provided in Note D – Leases to Consolidated Financial Statements in this Form 10-K.</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left="20" w:right="100" w:firstLine="648"/>
        <w:spacing w:after="0" w:line="255" w:lineRule="auto"/>
        <w:rPr>
          <w:sz w:val="20"/>
          <w:szCs w:val="20"/>
          <w:color w:val="auto"/>
        </w:rPr>
      </w:pPr>
      <w:r>
        <w:rPr>
          <w:rFonts w:ascii="Times New Roman" w:cs="Times New Roman" w:eastAsia="Times New Roman" w:hAnsi="Times New Roman"/>
          <w:sz w:val="18"/>
          <w:szCs w:val="18"/>
          <w:color w:val="auto"/>
        </w:rPr>
        <w:t>The annual inflation rate in the US came down to 2.9% in 2024, compared with 3.4% in 2023. Even though the inflation has slowed from the peak, it remained above the Federal Reserve's objective of 2%. The annual inflation rate in Taiwan came down to 2.1% in 2024 from 2.7% in 2023.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However, there is no guarantee that we may increase selling prices or reduce costs to fully mitigate the effect of inflation on our costs, which may adversely impact our sales margins and profitability.</w:t>
      </w:r>
    </w:p>
    <w:p>
      <w:pPr>
        <w:sectPr>
          <w:pgSz w:w="11900" w:h="16838" w:orient="portrait"/>
          <w:cols w:equalWidth="0" w:num="1">
            <w:col w:w="11260"/>
          </w:cols>
          <w:pgMar w:left="300" w:top="121" w:right="33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including meaningful asset grouping, expectations for future revenue, and disposal value for the asset(s).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2024, 2023 and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227"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Inventories are stated at the lower of cost (average-cost method) or net realizable value. Work in process and finished goods includes materials, labor and allocated overhead. We assess the valuation of our inventory on a periodic basis and provide an allowance for the value of estimated excess and obsolete inventory based on estimates of future demand. Inventory reserves are recorded to account for the excess and obsolete inventory combined with the lower of cost or net realizable value assessments. To develop the reserve, we developed certain percentages that determine the extent of inventory reserve adjustments based on the age of the inventory. Such percentages were determined through analysis of the inventory to determine each product's lifespan, a review of historical write-offs or scrapped inventory, and an assessment by product engineers of the possibility of obsolescence for each product.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years ended December 31, 2024, 2023 and 2022, we recorded excess and obsolete inventory reserve charges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$3.4 million, $8.7 million and $4.9 million, respectively. For the years ended December 31, 2024, 2023 and 2022, the direct inventory write-offs related to scrap, discontinued products and damaged inventories were $3.8 million, $10.6 million and $10.4 million, respectively.</w:t>
      </w:r>
    </w:p>
    <w:p>
      <w:pPr>
        <w:spacing w:after="0" w:line="1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an accounting policy to record a reserve for inventory encompassing the value of excess or obsolete items combined with the lower of cost or net reliable value.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 We consider these factors to be subjective because there can be no certainty that past trends will continue and our future expectations cannot be known with certainty. If past trends in demand, for example, change, then this could materially change the values used in our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basis of this evaluation, as of December 31, 2024, a valuation allowance of $94.8 million has been recorded related to deferred tax assets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w:t>
      </w:r>
    </w:p>
    <w:p>
      <w:pPr>
        <w:spacing w:after="0" w:line="18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additional information regarding income taxes in Note O of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220"/>
          </w:cols>
          <w:pgMar w:left="320" w:top="121" w:right="359"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See Note B of our Consolidated Financial Statements for a description of recent accounting pronouncements.</w:t>
      </w:r>
    </w:p>
    <w:p>
      <w:pPr>
        <w:sectPr>
          <w:pgSz w:w="11900" w:h="16838" w:orient="portrait"/>
          <w:cols w:equalWidth="0" w:num="1">
            <w:col w:w="9479"/>
          </w:cols>
          <w:pgMar w:left="980" w:top="121" w:right="1440" w:bottom="1440" w:gutter="0" w:footer="0" w:header="0"/>
        </w:sectPr>
      </w:pP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could be exposed to interest rate risk, should we incur debt that had a floating interest rate. As of December 31, 2024, all debts bore a fixed interest rate and therefore did not generate interest rate risk. As of December 31, 2024, we had not hedged our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Rates</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recognized approximately $0.1 million of exchange gain arising from foreign currency transactions and re-measurement of monetary assets and liabilities dominated in non-functional currency on the balance sheet date.</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0.3% of our revenue was denominated in RMB and none of our revenue was denominated in NT dollars. In the year ended December 31, 2024, 22.6% of our operating expenses were denominated in RMB and 16.3% of our operating expenses were denominated in NT dollars. Accordingly, fluctuations in exchange rates directly affect our cost of goods sold and net income (loss), and have a significant impact on our operating margins. If exchange rates of RMB and NT dollars for U.S. dollars were 1% higher during the year ended December 31, 2024, our operating expenses would have had been lower by $0.5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held the U.S. dollar denominated assets net of liabilities of approximately $12.8 million in our China subsidiary and liabilities net of assets of $27.7 million in our Taiwan branch. With respect to these U.S. dollar denominated net assets as of December 31, 2024, if exchange rates of RMB and NT dollars for U.S. dollars were 1% higher during the year ended December 31, 2024, our other operating expenses would have been reduced by $0.1 million. Any significant revaluation of the RMB and NT dollars may materially and adversely affect the cash flows, revenues, and net income (loss) as reported in U.S. dollars.</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beginning on page F-1 of this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2024. Based upon that evaluation, our Chief Executive Officer and Chief Financial Officer concluded that, as of the end of the period covered in this Form 10-K, our disclosure controls and procedures were not effective as a result of the material weakness in internal control over financial reporting discussed below.</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5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5" w:lineRule="exact"/>
        <w:rPr>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("COSO") of the Treadway Commission. Based on this evaluation, management concluded, based on a material weakness related to operation of controls over our review of technical accounting analysis, that our internal control over financial reporting was not effective as of December 31, 2024. This material weakness did not result in any material misstatement of our financial statements. While this material weakness did not result in a material misstatement of our financial statements, there is a reasonable possibility that it could have resulted in a material misstatement in the Company's annual or interim consolidated financial statements that would not be detected. Accordingly, we determined that it constituted a material weakness. As a result, we performed additional analysis as deemed necessary to ensure that our consolidated financial statements were prepared in accordance with U.S. generally accepted accounting principles. Accordingly, management believes that the consolidated financial statements included in this Form 10-K present fairly in all material respects our financial position, results of operations, and cash flows for the period presented.</w:t>
      </w:r>
    </w:p>
    <w:p>
      <w:pPr>
        <w:spacing w:after="0" w:line="19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management, under the oversight of the Audit Committee, is undertaking steps to implement a remediation plan. Specifically, we are expanding and improving our review process for analyses relating to complex accounting transactions.</w:t>
      </w:r>
    </w:p>
    <w:p>
      <w:pPr>
        <w:spacing w:after="0" w:line="378"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Grant Thornton LLP, the independent registered public accounting firm that audited the consolidated financial statements included in this Form 10-K, has issued a report, included below, on the effectiveness of our internal control over financial reporting as of December 31, 2024.</w:t>
      </w:r>
    </w:p>
    <w:p>
      <w:pPr>
        <w:spacing w:after="0" w:line="200" w:lineRule="exact"/>
        <w:rPr>
          <w:sz w:val="20"/>
          <w:szCs w:val="20"/>
          <w:color w:val="auto"/>
        </w:rPr>
      </w:pPr>
    </w:p>
    <w:p>
      <w:pPr>
        <w:spacing w:after="0" w:line="39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5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left="20" w:right="18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Applied Optoelectronics,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COSO.</w:t>
      </w:r>
    </w:p>
    <w:p>
      <w:pPr>
        <w:spacing w:after="0" w:line="187" w:lineRule="exact"/>
        <w:rPr>
          <w:sz w:val="20"/>
          <w:szCs w:val="20"/>
          <w:color w:val="auto"/>
        </w:rPr>
      </w:pPr>
    </w:p>
    <w:p>
      <w:pPr>
        <w:ind w:left="20" w:right="34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76"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Management identified a material weakness in internal controls related to the operation of controls over the Company’s review of technical accounting analysis.</w:t>
      </w:r>
    </w:p>
    <w:p>
      <w:pPr>
        <w:spacing w:after="0" w:line="162"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The material weakness identified above was considered in determining the nature, timing, and extent of audit tests applied in our audit of the 2024 consolidated financial statements, and this report does not affect our report dated February 28, 2025 which expressed an unqualified opinion on those financial statements.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20" w:right="14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left="20" w:right="4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adoption or termination of contracts, instructions or written plans for the purchase or sale of our securities by our Section 16 offers and directors for the three months ended December 31, 2024, each of which is intended to satisfy the affirmative defense conditions of Rule 10b5-1(c) under the Exchange Act ("Rule 10b5-1 Plan"),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18"/>
                <w:szCs w:val="18"/>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6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Action </w:t>
            </w:r>
          </w:p>
        </w:tc>
        <w:tc>
          <w:tcPr>
            <w:tcW w:w="60" w:type="dxa"/>
            <w:vAlign w:val="bottom"/>
          </w:tcPr>
          <w:p>
            <w:pPr>
              <w:spacing w:after="0"/>
              <w:rPr>
                <w:sz w:val="18"/>
                <w:szCs w:val="18"/>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Adopted </w:t>
            </w:r>
          </w:p>
        </w:tc>
        <w:tc>
          <w:tcPr>
            <w:tcW w:w="6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p>
        </w:tc>
        <w:tc>
          <w:tcPr>
            <w:tcW w:w="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of Securities to</w:t>
            </w:r>
          </w:p>
        </w:tc>
        <w:tc>
          <w:tcPr>
            <w:tcW w:w="0" w:type="dxa"/>
            <w:vAlign w:val="bottom"/>
          </w:tcPr>
          <w:p>
            <w:pPr>
              <w:spacing w:after="0"/>
              <w:rPr>
                <w:sz w:val="1"/>
                <w:szCs w:val="1"/>
                <w:color w:val="auto"/>
              </w:rPr>
            </w:pPr>
          </w:p>
        </w:tc>
      </w:tr>
      <w:tr>
        <w:trPr>
          <w:trHeight w:val="130"/>
        </w:trPr>
        <w:tc>
          <w:tcPr>
            <w:tcW w:w="1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Purchased/Sold</w:t>
            </w:r>
          </w:p>
        </w:tc>
        <w:tc>
          <w:tcPr>
            <w:tcW w:w="0" w:type="dxa"/>
            <w:vAlign w:val="bottom"/>
          </w:tcPr>
          <w:p>
            <w:pPr>
              <w:spacing w:after="0"/>
              <w:rPr>
                <w:sz w:val="1"/>
                <w:szCs w:val="1"/>
                <w:color w:val="auto"/>
              </w:rPr>
            </w:pPr>
          </w:p>
        </w:tc>
      </w:tr>
      <w:tr>
        <w:trPr>
          <w:trHeight w:val="108"/>
        </w:trPr>
        <w:tc>
          <w:tcPr>
            <w:tcW w:w="1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Hung-Lun (Fred)</w:t>
            </w:r>
          </w:p>
        </w:tc>
        <w:tc>
          <w:tcPr>
            <w:tcW w:w="6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SVP/North America</w:t>
            </w:r>
          </w:p>
        </w:tc>
        <w:tc>
          <w:tcPr>
            <w:tcW w:w="6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1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126"/>
        </w:trPr>
        <w:tc>
          <w:tcPr>
            <w:tcW w:w="1680" w:type="dxa"/>
            <w:vAlign w:val="bottom"/>
            <w:vMerge w:val="restart"/>
          </w:tcPr>
          <w:p>
            <w:pPr>
              <w:spacing w:after="0" w:line="216" w:lineRule="exact"/>
              <w:rPr>
                <w:sz w:val="20"/>
                <w:szCs w:val="20"/>
                <w:color w:val="auto"/>
              </w:rPr>
            </w:pPr>
            <w:r>
              <w:rPr>
                <w:rFonts w:ascii="Times New Roman" w:cs="Times New Roman" w:eastAsia="Times New Roman" w:hAnsi="Times New Roman"/>
                <w:sz w:val="16"/>
                <w:szCs w:val="16"/>
                <w:color w:val="auto"/>
              </w:rPr>
              <w:t>Chang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w:t>
            </w:r>
            <w:r>
              <w:rPr>
                <w:rFonts w:ascii="Times New Roman" w:cs="Times New Roman" w:eastAsia="Times New Roman" w:hAnsi="Times New Roman"/>
                <w:sz w:val="25"/>
                <w:szCs w:val="25"/>
                <w:color w:val="auto"/>
                <w:vertAlign w:val="superscript"/>
              </w:rPr>
              <w:t xml:space="preserve">) </w:t>
            </w:r>
          </w:p>
        </w:tc>
        <w:tc>
          <w:tcPr>
            <w:tcW w:w="6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General Manager</w:t>
            </w:r>
          </w:p>
        </w:tc>
        <w:tc>
          <w:tcPr>
            <w:tcW w:w="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Shu-Hua (Joshua)</w:t>
            </w:r>
          </w:p>
        </w:tc>
        <w:tc>
          <w:tcPr>
            <w:tcW w:w="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SVP/Asia General</w:t>
            </w:r>
          </w:p>
        </w:tc>
        <w:tc>
          <w:tcPr>
            <w:tcW w:w="6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12/09/2024</w:t>
            </w:r>
          </w:p>
        </w:tc>
        <w:tc>
          <w:tcPr>
            <w:tcW w:w="1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2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29"/>
                <w:szCs w:val="29"/>
                <w:color w:val="auto"/>
                <w:vertAlign w:val="superscript"/>
              </w:rPr>
              <w:t>)</w:t>
            </w:r>
          </w:p>
        </w:tc>
        <w:tc>
          <w:tcPr>
            <w:tcW w:w="6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Manager</w:t>
            </w:r>
          </w:p>
        </w:tc>
        <w:tc>
          <w:tcPr>
            <w:tcW w:w="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16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80" w:right="40" w:hanging="258"/>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Hung-Lun (Fred) Chang, our Senior Vice President and North America General Manager, entered into a Rule 10b5-1 Plan on November 27, 2024. Dr. Chang's plan provides for the potential sale of 10,258 shares of the Company's common stock. The Plan expires on December 31, 2025, or upon the earlier of completion of all authorized transactions under the plan.</w:t>
      </w:r>
    </w:p>
    <w:p>
      <w:pPr>
        <w:spacing w:after="0" w:line="175" w:lineRule="exact"/>
        <w:rPr>
          <w:rFonts w:ascii="Times New Roman" w:cs="Times New Roman" w:eastAsia="Times New Roman" w:hAnsi="Times New Roman"/>
          <w:sz w:val="18"/>
          <w:szCs w:val="18"/>
          <w:color w:val="auto"/>
        </w:rPr>
      </w:pPr>
    </w:p>
    <w:p>
      <w:pPr>
        <w:ind w:left="380" w:right="240" w:hanging="258"/>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Shu-Hua (Joshua) Yeh, our Senior Vice President and Asia General Manager, entered into a Rule 10b5-1 Plan on December 9, 2024. Mr. Yeh's plan provides for the potential sale of 50,000 shares of the Company's common stock. The Plan expires on December 31, 2025, or upon the earlier of completion of all authorized transactions under the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2025 Annual Meeting of Stockholders to be filed with the Securities and Exchange Commission and is incorporated herein by reference.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Adoption of Code of Ethics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Adoption of Insider Trading Policy</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its securities by our directors, officers and employees that we believe is reasonably designed to promote compliance with insider trading laws, rules and regulations and any applicable listing standards. A copy of our insider trading policy is filed as Exhibit 19 to this Annual Report.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2025 Annual Meeting of Stockholders to be filed with the Securities and Exchange Commission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2025 Annual Meeting of Stockholders to be filed with the Securities and Exchange Commission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2025 Annual Meeting of Stockholders to be filed with the Securities and Exchange Commission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2025 Annual Meeting of Stockholders to be filed with the Securities and Exchange Commission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(a)(1) The consolidated financial statements are listed on the Index to Consolidated Financial Statements to this Form 10-K beginning on page 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Financial statement schedules have been omitted, as the information required to be set forth therein is included in the Consolidated Financial Statements or Notes thereto appearing in this Form 10-K.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Exhibits. See the Exhibit immediately following Item 16. Form 10-K Summary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8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20" w:type="dxa"/>
            <w:vAlign w:val="bottom"/>
            <w:gridSpan w:val="28"/>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94"/>
        </w:trPr>
        <w:tc>
          <w:tcPr>
            <w:tcW w:w="12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4580" w:type="dxa"/>
            <w:vAlign w:val="bottom"/>
            <w:gridSpan w:val="30"/>
          </w:tcPr>
          <w:p>
            <w:pPr>
              <w:spacing w:after="0" w:line="194"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Certificate of Incorporation of the</w:t>
              </w:r>
            </w:hyperlink>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720" w:type="dxa"/>
            <w:vAlign w:val="bottom"/>
          </w:tcPr>
          <w:p>
            <w:pPr>
              <w:jc w:val="center"/>
              <w:ind w:left="210"/>
              <w:spacing w:after="0" w:line="194" w:lineRule="exact"/>
              <w:rPr>
                <w:sz w:val="20"/>
                <w:szCs w:val="20"/>
                <w:color w:val="auto"/>
              </w:rPr>
            </w:pPr>
            <w:r>
              <w:rPr>
                <w:rFonts w:ascii="Times New Roman" w:cs="Times New Roman" w:eastAsia="Times New Roman" w:hAnsi="Times New Roman"/>
                <w:sz w:val="18"/>
                <w:szCs w:val="18"/>
                <w:color w:val="auto"/>
                <w:w w:val="98"/>
              </w:rPr>
              <w:t>November 14,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registrant, as currently in effect</w:t>
              </w:r>
            </w:hyperlink>
          </w:p>
        </w:tc>
        <w:tc>
          <w:tcPr>
            <w:tcW w:w="4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Certificate of Amendment to the Amended and Restated</w:t>
              </w:r>
            </w:hyperlink>
          </w:p>
        </w:tc>
        <w:tc>
          <w:tcPr>
            <w:tcW w:w="52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September 7, 2023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Certificate of Incorporation of Applied Optoelectronics, Inc.</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c>
          <w:tcPr>
            <w:tcW w:w="4580" w:type="dxa"/>
            <w:vAlign w:val="bottom"/>
            <w:gridSpan w:val="30"/>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Bylaws of the registrant, as currently</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November 14,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 effect</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1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Common Stock Specimen</w:t>
              </w:r>
            </w:hyperlink>
          </w:p>
        </w:tc>
        <w:tc>
          <w:tcPr>
            <w:tcW w:w="2700" w:type="dxa"/>
            <w:vAlign w:val="bottom"/>
            <w:gridSpan w:val="26"/>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November 14, 2016</w:t>
            </w: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4"/>
                <w:szCs w:val="24"/>
                <w:color w:val="auto"/>
              </w:rPr>
            </w:pPr>
          </w:p>
        </w:tc>
        <w:tc>
          <w:tcPr>
            <w:tcW w:w="4580" w:type="dxa"/>
            <w:vAlign w:val="bottom"/>
            <w:gridSpan w:val="30"/>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Indenture, dated as of December 5, 2023, between Applied</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5, 2023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Optoelectronics, Inc. and Computershare Trust Company,</w:t>
              </w:r>
            </w:hyperlink>
          </w:p>
        </w:tc>
        <w:tc>
          <w:tcPr>
            <w:tcW w:w="80" w:type="dxa"/>
            <w:vAlign w:val="bottom"/>
            <w:tcBorders>
              <w:top w:val="single" w:sz="8" w:color="0000EE"/>
            </w:tcBorders>
          </w:tcPr>
          <w:p>
            <w:pPr>
              <w:spacing w:after="0"/>
              <w:rPr>
                <w:sz w:val="17"/>
                <w:szCs w:val="17"/>
                <w:color w:val="auto"/>
              </w:rPr>
            </w:pPr>
          </w:p>
        </w:tc>
        <w:tc>
          <w:tcPr>
            <w:tcW w:w="3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80" w:type="dxa"/>
            <w:vAlign w:val="bottom"/>
            <w:gridSpan w:val="3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N.A., as Trustee</w:t>
              </w:r>
            </w:hyperlink>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4"/>
                <w:szCs w:val="24"/>
                <w:color w:val="auto"/>
              </w:rPr>
            </w:pPr>
          </w:p>
        </w:tc>
        <w:tc>
          <w:tcPr>
            <w:tcW w:w="3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of 5.250% Convertible Senior Note due 2026</w:t>
              </w:r>
            </w:hyperlink>
          </w:p>
        </w:tc>
        <w:tc>
          <w:tcPr>
            <w:tcW w:w="880" w:type="dxa"/>
            <w:vAlign w:val="bottom"/>
            <w:gridSpan w:val="16"/>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5, 2023</w:t>
            </w: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3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First Supplemental Indenture, dated as of December 5,</w:t>
              </w:r>
            </w:hyperlink>
          </w:p>
        </w:tc>
        <w:tc>
          <w:tcPr>
            <w:tcW w:w="640" w:type="dxa"/>
            <w:vAlign w:val="bottom"/>
            <w:gridSpan w:val="14"/>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5, 2023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2023, between Applied Optoelectronics, Inc. and</w:t>
              </w:r>
            </w:hyperlink>
          </w:p>
        </w:tc>
        <w:tc>
          <w:tcPr>
            <w:tcW w:w="102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Computershare Trust Company, N.A., as Trustee</w:t>
              </w:r>
            </w:hyperlink>
          </w:p>
        </w:tc>
        <w:tc>
          <w:tcPr>
            <w:tcW w:w="104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c>
          <w:tcPr>
            <w:tcW w:w="43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Indenture, dated as of December 23, 2024, between Applied</w:t>
              </w:r>
            </w:hyperlink>
          </w:p>
        </w:tc>
        <w:tc>
          <w:tcPr>
            <w:tcW w:w="24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23, 2024</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Optoelectronics, Inc. and Computershare Trust Company,</w:t>
              </w:r>
            </w:hyperlink>
          </w:p>
        </w:tc>
        <w:tc>
          <w:tcPr>
            <w:tcW w:w="4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80" w:type="dxa"/>
            <w:vAlign w:val="bottom"/>
            <w:gridSpan w:val="3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N.A., as Trustee</w:t>
              </w:r>
            </w:hyperlink>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4"/>
                <w:szCs w:val="24"/>
                <w:color w:val="auto"/>
              </w:rPr>
            </w:pPr>
          </w:p>
        </w:tc>
        <w:tc>
          <w:tcPr>
            <w:tcW w:w="3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2.750% Convertible Senior Note due 2030</w:t>
              </w:r>
            </w:hyperlink>
          </w:p>
        </w:tc>
        <w:tc>
          <w:tcPr>
            <w:tcW w:w="880" w:type="dxa"/>
            <w:vAlign w:val="bottom"/>
            <w:gridSpan w:val="16"/>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23, 2024</w:t>
            </w: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4"/>
                <w:szCs w:val="24"/>
                <w:color w:val="auto"/>
              </w:rPr>
            </w:pPr>
          </w:p>
        </w:tc>
        <w:tc>
          <w:tcPr>
            <w:tcW w:w="4580" w:type="dxa"/>
            <w:vAlign w:val="bottom"/>
            <w:gridSpan w:val="30"/>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First Supplemental Indenture, dated as of December 23,</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23, 2024</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2024, between Applied Optoelectronics, Inc. and</w:t>
              </w:r>
            </w:hyperlink>
          </w:p>
        </w:tc>
        <w:tc>
          <w:tcPr>
            <w:tcW w:w="460" w:type="dxa"/>
            <w:vAlign w:val="bottom"/>
            <w:tcBorders>
              <w:top w:val="single" w:sz="8" w:color="0000EE"/>
            </w:tcBorders>
            <w:gridSpan w:val="7"/>
          </w:tcPr>
          <w:p>
            <w:pPr>
              <w:spacing w:after="0"/>
              <w:rPr>
                <w:sz w:val="17"/>
                <w:szCs w:val="17"/>
                <w:color w:val="auto"/>
              </w:rPr>
            </w:pPr>
          </w:p>
        </w:tc>
        <w:tc>
          <w:tcPr>
            <w:tcW w:w="5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Computershare Trust Company, N.A., as Trustee</w:t>
              </w:r>
            </w:hyperlink>
          </w:p>
        </w:tc>
        <w:tc>
          <w:tcPr>
            <w:tcW w:w="1060" w:type="dxa"/>
            <w:vAlign w:val="bottom"/>
            <w:gridSpan w:val="21"/>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4"/>
                <w:szCs w:val="24"/>
                <w:color w:val="auto"/>
              </w:rPr>
            </w:pPr>
          </w:p>
        </w:tc>
        <w:tc>
          <w:tcPr>
            <w:tcW w:w="3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Description of Company's Common Stock</w:t>
              </w:r>
            </w:hyperlink>
          </w:p>
        </w:tc>
        <w:tc>
          <w:tcPr>
            <w:tcW w:w="1520" w:type="dxa"/>
            <w:vAlign w:val="bottom"/>
            <w:gridSpan w:val="2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412"/>
        </w:trPr>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42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Form of Indemnification Agreement between the registrant</w:t>
              </w:r>
            </w:hyperlink>
          </w:p>
        </w:tc>
        <w:tc>
          <w:tcPr>
            <w:tcW w:w="32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each of its Directors and certain of its Executive Officers</w:t>
              </w:r>
            </w:hyperlink>
          </w:p>
        </w:tc>
        <w:tc>
          <w:tcPr>
            <w:tcW w:w="48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3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Amended and Restated 2013 Equity Incentive Plan</w:t>
              </w:r>
            </w:hyperlink>
          </w:p>
        </w:tc>
        <w:tc>
          <w:tcPr>
            <w:tcW w:w="90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March 9, 2017</w:t>
            </w: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40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Restricted Stock Award Agreement under 2013</w:t>
              </w:r>
            </w:hyperlink>
          </w:p>
        </w:tc>
        <w:tc>
          <w:tcPr>
            <w:tcW w:w="540" w:type="dxa"/>
            <w:vAlign w:val="bottom"/>
            <w:gridSpan w:val="11"/>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Equity Incentive Plan</w:t>
              </w:r>
            </w:hyperlink>
          </w:p>
        </w:tc>
        <w:tc>
          <w:tcPr>
            <w:tcW w:w="302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10.2.2†</w:t>
            </w:r>
          </w:p>
        </w:tc>
        <w:tc>
          <w:tcPr>
            <w:tcW w:w="4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Restricted Stock Unit Award Agreement under</w:t>
              </w:r>
            </w:hyperlink>
          </w:p>
        </w:tc>
        <w:tc>
          <w:tcPr>
            <w:tcW w:w="580" w:type="dxa"/>
            <w:vAlign w:val="bottom"/>
            <w:gridSpan w:val="1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80" w:type="dxa"/>
            <w:vAlign w:val="bottom"/>
            <w:gridSpan w:val="30"/>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2013 Equity Incentive Plan</w:t>
              </w:r>
            </w:hyperlink>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320" w:type="dxa"/>
            <w:vAlign w:val="bottom"/>
            <w:gridSpan w:val="2"/>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10.2.3†</w:t>
            </w:r>
          </w:p>
        </w:tc>
        <w:tc>
          <w:tcPr>
            <w:tcW w:w="4580" w:type="dxa"/>
            <w:vAlign w:val="bottom"/>
            <w:gridSpan w:val="30"/>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Stock Appreciation Right Award Agreement under</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2013 Equity Incentive Plan</w:t>
              </w:r>
            </w:hyperlink>
          </w:p>
        </w:tc>
        <w:tc>
          <w:tcPr>
            <w:tcW w:w="30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320" w:type="dxa"/>
            <w:vAlign w:val="bottom"/>
            <w:gridSpan w:val="2"/>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10.2.4†</w:t>
            </w:r>
          </w:p>
        </w:tc>
        <w:tc>
          <w:tcPr>
            <w:tcW w:w="4580" w:type="dxa"/>
            <w:vAlign w:val="bottom"/>
            <w:gridSpan w:val="30"/>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Notice of Stock Option Award and Stock Option</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10.6.4</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Award Agreement under 2013 Equity Incentive Plan</w:t>
              </w:r>
            </w:hyperlink>
          </w:p>
        </w:tc>
        <w:tc>
          <w:tcPr>
            <w:tcW w:w="340" w:type="dxa"/>
            <w:vAlign w:val="bottom"/>
            <w:tcBorders>
              <w:top w:val="single" w:sz="8" w:color="0000EE"/>
            </w:tcBorders>
            <w:gridSpan w:val="7"/>
          </w:tcPr>
          <w:p>
            <w:pPr>
              <w:spacing w:after="0"/>
              <w:rPr>
                <w:sz w:val="17"/>
                <w:szCs w:val="17"/>
                <w:color w:val="auto"/>
              </w:rPr>
            </w:pPr>
          </w:p>
        </w:tc>
        <w:tc>
          <w:tcPr>
            <w:tcW w:w="46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4580" w:type="dxa"/>
            <w:vAlign w:val="bottom"/>
            <w:gridSpan w:val="30"/>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2021 Equity Incentive Plan</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5, 2021</w:t>
            </w:r>
          </w:p>
        </w:tc>
      </w:tr>
      <w:tr>
        <w:trPr>
          <w:trHeight w:val="20"/>
        </w:trPr>
        <w:tc>
          <w:tcPr>
            <w:tcW w:w="1320" w:type="dxa"/>
            <w:vAlign w:val="bottom"/>
            <w:gridSpan w:val="2"/>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2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w:t>
            </w:r>
          </w:p>
        </w:tc>
        <w:tc>
          <w:tcPr>
            <w:tcW w:w="4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Restricted Stock Unit Award Agreement under</w:t>
              </w:r>
            </w:hyperlink>
          </w:p>
        </w:tc>
        <w:tc>
          <w:tcPr>
            <w:tcW w:w="580" w:type="dxa"/>
            <w:vAlign w:val="bottom"/>
            <w:gridSpan w:val="1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5, 2021</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80" w:type="dxa"/>
            <w:vAlign w:val="bottom"/>
            <w:gridSpan w:val="30"/>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2021 Equity Incentive Plan</w:t>
              </w:r>
            </w:hyperlink>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320" w:type="dxa"/>
            <w:vAlign w:val="bottom"/>
            <w:gridSpan w:val="2"/>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2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10.3.2†</w:t>
            </w:r>
          </w:p>
        </w:tc>
        <w:tc>
          <w:tcPr>
            <w:tcW w:w="3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Form of Performance Restricted Stock Unit Award</w:t>
              </w:r>
            </w:hyperlink>
          </w:p>
        </w:tc>
        <w:tc>
          <w:tcPr>
            <w:tcW w:w="920" w:type="dxa"/>
            <w:vAlign w:val="bottom"/>
            <w:gridSpan w:val="18"/>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5, 2021</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80" w:type="dxa"/>
            <w:vAlign w:val="bottom"/>
            <w:gridSpan w:val="3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Agreement under 2021 Equity Incentive Plan</w:t>
              </w:r>
            </w:hyperlink>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20" w:top="108" w:right="579" w:bottom="1440" w:gutter="0" w:footer="0" w:header="0"/>
        </w:sectPr>
      </w:pPr>
    </w:p>
    <w:p>
      <w:pPr>
        <w:spacing w:after="0" w:line="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83">
        <w:r>
          <w:rPr>
            <w:rFonts w:ascii="Times New Roman" w:cs="Times New Roman" w:eastAsia="Times New Roman" w:hAnsi="Times New Roman"/>
            <w:sz w:val="18"/>
            <w:szCs w:val="18"/>
            <w:u w:val="single" w:color="auto"/>
            <w:color w:val="0000EE"/>
          </w:rPr>
          <w:t>Applied Optoelectronic, Inc. 2023 Equity Inducement Plan</w:t>
        </w:r>
      </w:hyperlink>
    </w:p>
    <w:p>
      <w:pPr>
        <w:spacing w:after="0" w:line="207" w:lineRule="exact"/>
        <w:rPr>
          <w:sz w:val="20"/>
          <w:szCs w:val="20"/>
          <w:color w:val="auto"/>
        </w:rPr>
      </w:pPr>
    </w:p>
    <w:p>
      <w:pPr>
        <w:ind w:left="1300" w:hanging="543"/>
        <w:spacing w:after="0" w:line="26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10.5† </w:t>
      </w:r>
      <w:hyperlink r:id="rId84">
        <w:r>
          <w:rPr>
            <w:rFonts w:ascii="Times New Roman" w:cs="Times New Roman" w:eastAsia="Times New Roman" w:hAnsi="Times New Roman"/>
            <w:sz w:val="18"/>
            <w:szCs w:val="18"/>
            <w:u w:val="single" w:color="auto"/>
            <w:color w:val="0000EE"/>
          </w:rPr>
          <w:t>Amended and Restated Employment Agreement regarding</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Change of Control or Separation of Service between the</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registrant and Chih-Hsiang (Thompson) Lin, dated April 16,</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2013</w:t>
        </w:r>
      </w:hyperlink>
    </w:p>
    <w:p>
      <w:pPr>
        <w:spacing w:after="0" w:line="180" w:lineRule="exact"/>
        <w:rPr>
          <w:rFonts w:ascii="Times New Roman" w:cs="Times New Roman" w:eastAsia="Times New Roman" w:hAnsi="Times New Roman"/>
          <w:sz w:val="18"/>
          <w:szCs w:val="18"/>
          <w:u w:val="single" w:color="auto"/>
          <w:color w:val="0000EE"/>
        </w:rPr>
      </w:pPr>
    </w:p>
    <w:p>
      <w:pPr>
        <w:jc w:val="cente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  </w:t>
      </w:r>
      <w:hyperlink r:id="rId85">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4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Applied Optoelectronics, Inc. and Stefan J. Murry</w:t>
        </w:r>
      </w:hyperlink>
    </w:p>
    <w:p>
      <w:pPr>
        <w:spacing w:after="0" w:line="207" w:lineRule="exact"/>
        <w:rPr>
          <w:rFonts w:ascii="Times New Roman" w:cs="Times New Roman" w:eastAsia="Times New Roman" w:hAnsi="Times New Roman"/>
          <w:sz w:val="18"/>
          <w:szCs w:val="18"/>
          <w:u w:val="single" w:color="auto"/>
          <w:color w:val="0000EE"/>
        </w:rPr>
      </w:pPr>
    </w:p>
    <w:p>
      <w:pPr>
        <w:jc w:val="cente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86">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40"/>
        <w:spacing w:after="0"/>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Applied Optoelectronics, Inc. and Mr. Joshua Yeh</w:t>
        </w:r>
      </w:hyperlink>
    </w:p>
    <w:p>
      <w:pPr>
        <w:spacing w:after="0" w:line="207" w:lineRule="exact"/>
        <w:rPr>
          <w:rFonts w:ascii="Times New Roman" w:cs="Times New Roman" w:eastAsia="Times New Roman" w:hAnsi="Times New Roman"/>
          <w:sz w:val="18"/>
          <w:szCs w:val="18"/>
          <w:u w:val="single" w:color="auto"/>
          <w:color w:val="0000EE"/>
        </w:rPr>
      </w:pPr>
    </w:p>
    <w:p>
      <w:pPr>
        <w:jc w:val="cente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w:t>
      </w:r>
      <w:hyperlink r:id="rId87">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40"/>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Applied Optoelectronics, Inc. and Dr. Fred Chang</w:t>
        </w:r>
      </w:hyperlink>
    </w:p>
    <w:p>
      <w:pPr>
        <w:spacing w:after="0" w:line="207" w:lineRule="exact"/>
        <w:rPr>
          <w:rFonts w:ascii="Times New Roman" w:cs="Times New Roman" w:eastAsia="Times New Roman" w:hAnsi="Times New Roman"/>
          <w:sz w:val="18"/>
          <w:szCs w:val="18"/>
          <w:u w:val="single" w:color="auto"/>
          <w:color w:val="0000EE"/>
        </w:rPr>
      </w:pPr>
    </w:p>
    <w:p>
      <w:pPr>
        <w:ind w:left="1300" w:right="260" w:hanging="543"/>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10.9† </w:t>
      </w:r>
      <w:hyperlink r:id="rId88">
        <w:r>
          <w:rPr>
            <w:rFonts w:ascii="Times New Roman" w:cs="Times New Roman" w:eastAsia="Times New Roman" w:hAnsi="Times New Roman"/>
            <w:sz w:val="18"/>
            <w:szCs w:val="18"/>
            <w:u w:val="single" w:color="auto"/>
            <w:color w:val="0000EE"/>
          </w:rPr>
          <w:t>Employment Agreement, dated August 5, 2016, between</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Applied Optoelectronics, Inc. and David C. Kuo</w:t>
        </w:r>
      </w:hyperlink>
    </w:p>
    <w:p>
      <w:pPr>
        <w:spacing w:after="0" w:line="162" w:lineRule="exact"/>
        <w:rPr>
          <w:sz w:val="20"/>
          <w:szCs w:val="20"/>
          <w:color w:val="auto"/>
        </w:rPr>
      </w:pPr>
    </w:p>
    <w:p>
      <w:pPr>
        <w:jc w:val="center"/>
        <w:ind w:left="460"/>
        <w:spacing w:after="0"/>
        <w:tabs>
          <w:tab w:leader="none" w:pos="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89">
        <w:r>
          <w:rPr>
            <w:rFonts w:ascii="Times New Roman" w:cs="Times New Roman" w:eastAsia="Times New Roman" w:hAnsi="Times New Roman"/>
            <w:sz w:val="18"/>
            <w:szCs w:val="18"/>
            <w:u w:val="single" w:color="auto"/>
            <w:color w:val="0000EE"/>
          </w:rPr>
          <w:t>Supply Agreement, effective November 8, 2017, between</w:t>
        </w:r>
      </w:hyperlink>
    </w:p>
    <w:p>
      <w:pPr>
        <w:spacing w:after="0" w:line="27" w:lineRule="exact"/>
        <w:rPr>
          <w:sz w:val="20"/>
          <w:szCs w:val="20"/>
          <w:color w:val="auto"/>
        </w:rPr>
      </w:pPr>
    </w:p>
    <w:p>
      <w:pPr>
        <w:jc w:val="center"/>
        <w:ind w:left="480"/>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Applied Optoelectronics, Inc. and Facebook, Inc.</w:t>
        </w:r>
      </w:hyperlink>
    </w:p>
    <w:p>
      <w:pPr>
        <w:spacing w:after="0" w:line="207" w:lineRule="exact"/>
        <w:rPr>
          <w:sz w:val="20"/>
          <w:szCs w:val="20"/>
          <w:color w:val="auto"/>
        </w:rPr>
      </w:pPr>
    </w:p>
    <w:p>
      <w:pPr>
        <w:ind w:left="1300" w:right="160" w:hanging="627"/>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90">
        <w:r>
          <w:rPr>
            <w:rFonts w:ascii="Times New Roman" w:cs="Times New Roman" w:eastAsia="Times New Roman" w:hAnsi="Times New Roman"/>
            <w:sz w:val="18"/>
            <w:szCs w:val="18"/>
            <w:u w:val="single" w:color="auto"/>
            <w:color w:val="0000EE"/>
          </w:rPr>
          <w:t>Master Purchase Agreement, effective January 2, 2018,</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between Applied Optoelectronics, Inc. and Facebook, Inc.</w:t>
        </w:r>
      </w:hyperlink>
    </w:p>
    <w:p>
      <w:pPr>
        <w:spacing w:after="0" w:line="162" w:lineRule="exact"/>
        <w:rPr>
          <w:sz w:val="20"/>
          <w:szCs w:val="20"/>
          <w:color w:val="auto"/>
        </w:rPr>
      </w:pPr>
    </w:p>
    <w:p>
      <w:pPr>
        <w:ind w:left="1300" w:right="260" w:hanging="633"/>
        <w:spacing w:after="0" w:line="289"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91">
        <w:r>
          <w:rPr>
            <w:rFonts w:ascii="Times New Roman" w:cs="Times New Roman" w:eastAsia="Times New Roman" w:hAnsi="Times New Roman"/>
            <w:sz w:val="17"/>
            <w:szCs w:val="17"/>
            <w:u w:val="single" w:color="auto"/>
            <w:color w:val="0000EE"/>
          </w:rPr>
          <w:t>Translation of Lease Agreement between Global</w:t>
        </w:r>
      </w:hyperlink>
      <w:r>
        <w:rPr>
          <w:rFonts w:ascii="Times New Roman" w:cs="Times New Roman" w:eastAsia="Times New Roman" w:hAnsi="Times New Roman"/>
          <w:sz w:val="17"/>
          <w:szCs w:val="17"/>
          <w:u w:val="single" w:color="auto"/>
          <w:color w:val="0000EE"/>
        </w:rPr>
        <w:t xml:space="preserve"> </w:t>
      </w:r>
      <w:hyperlink r:id="rId91">
        <w:r>
          <w:rPr>
            <w:rFonts w:ascii="Times New Roman" w:cs="Times New Roman" w:eastAsia="Times New Roman" w:hAnsi="Times New Roman"/>
            <w:sz w:val="17"/>
            <w:szCs w:val="17"/>
            <w:u w:val="single" w:color="auto"/>
            <w:color w:val="0000EE"/>
          </w:rPr>
          <w:t>Technology, Inc. and the People’s Republic of China in</w:t>
        </w:r>
      </w:hyperlink>
      <w:r>
        <w:rPr>
          <w:rFonts w:ascii="Times New Roman" w:cs="Times New Roman" w:eastAsia="Times New Roman" w:hAnsi="Times New Roman"/>
          <w:sz w:val="17"/>
          <w:szCs w:val="17"/>
          <w:u w:val="single" w:color="auto"/>
          <w:color w:val="0000EE"/>
        </w:rPr>
        <w:t xml:space="preserve"> </w:t>
      </w:r>
      <w:hyperlink r:id="rId91">
        <w:r>
          <w:rPr>
            <w:rFonts w:ascii="Times New Roman" w:cs="Times New Roman" w:eastAsia="Times New Roman" w:hAnsi="Times New Roman"/>
            <w:sz w:val="17"/>
            <w:szCs w:val="17"/>
            <w:u w:val="single" w:color="auto"/>
            <w:color w:val="0000EE"/>
          </w:rPr>
          <w:t>Zhejiang Province, Ningbo City, Land Resources Bureau</w:t>
        </w:r>
      </w:hyperlink>
    </w:p>
    <w:p>
      <w:pPr>
        <w:spacing w:after="0" w:line="158" w:lineRule="exact"/>
        <w:rPr>
          <w:rFonts w:ascii="Times New Roman" w:cs="Times New Roman" w:eastAsia="Times New Roman" w:hAnsi="Times New Roman"/>
          <w:sz w:val="17"/>
          <w:szCs w:val="17"/>
          <w:u w:val="single" w:color="auto"/>
          <w:color w:val="0000EE"/>
        </w:rPr>
      </w:pPr>
    </w:p>
    <w:p>
      <w:pPr>
        <w:ind w:left="1300" w:right="60" w:hanging="768"/>
        <w:spacing w:after="0" w:line="261"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10.12.1</w:t>
      </w:r>
      <w:r>
        <w:rPr>
          <w:sz w:val="20"/>
          <w:szCs w:val="20"/>
          <w:color w:val="auto"/>
        </w:rPr>
        <w:tab/>
      </w:r>
      <w:hyperlink r:id="rId92">
        <w:r>
          <w:rPr>
            <w:rFonts w:ascii="Times New Roman" w:cs="Times New Roman" w:eastAsia="Times New Roman" w:hAnsi="Times New Roman"/>
            <w:sz w:val="18"/>
            <w:szCs w:val="18"/>
            <w:u w:val="single" w:color="auto"/>
            <w:color w:val="0000EE"/>
          </w:rPr>
          <w:t>Translation of Investment and Construction Agreement</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between Global Technology, Inc. and the People’s Republic</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of China in Zhejiang Province, Ningbo City, Land</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Resources Bureau</w:t>
        </w:r>
      </w:hyperlink>
    </w:p>
    <w:p>
      <w:pPr>
        <w:spacing w:after="0" w:line="180" w:lineRule="exact"/>
        <w:rPr>
          <w:rFonts w:ascii="Times New Roman" w:cs="Times New Roman" w:eastAsia="Times New Roman" w:hAnsi="Times New Roman"/>
          <w:sz w:val="18"/>
          <w:szCs w:val="18"/>
          <w:u w:val="single" w:color="auto"/>
          <w:color w:val="0000EE"/>
        </w:rPr>
      </w:pPr>
    </w:p>
    <w:p>
      <w:pPr>
        <w:ind w:left="1300" w:right="200" w:hanging="633"/>
        <w:spacing w:after="0" w:line="266"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93">
        <w:r>
          <w:rPr>
            <w:rFonts w:ascii="Times New Roman" w:cs="Times New Roman" w:eastAsia="Times New Roman" w:hAnsi="Times New Roman"/>
            <w:sz w:val="18"/>
            <w:szCs w:val="18"/>
            <w:u w:val="single" w:color="auto"/>
            <w:color w:val="0000EE"/>
          </w:rPr>
          <w:t>Translation of Construction Agreement between Global</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Technology, Inc. and Zhejiang Xinyu Construction Group</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Co., Ltd. dated February 8, 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00" w:right="60" w:hanging="633"/>
        <w:spacing w:after="0" w:line="266"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94">
        <w:r>
          <w:rPr>
            <w:rFonts w:ascii="Times New Roman" w:cs="Times New Roman" w:eastAsia="Times New Roman" w:hAnsi="Times New Roman"/>
            <w:sz w:val="18"/>
            <w:szCs w:val="18"/>
            <w:u w:val="single" w:color="auto"/>
            <w:color w:val="0000EE"/>
          </w:rPr>
          <w:t>First Amendment to Lease, dated October 8, 2018, between</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Applied Optoelectronics, Inc. and GIG VAOI Breckinridge,</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LLC.</w:t>
        </w:r>
      </w:hyperlink>
    </w:p>
    <w:p>
      <w:pPr>
        <w:spacing w:after="0" w:line="176" w:lineRule="exact"/>
        <w:rPr>
          <w:rFonts w:ascii="Times New Roman" w:cs="Times New Roman" w:eastAsia="Times New Roman" w:hAnsi="Times New Roman"/>
          <w:sz w:val="18"/>
          <w:szCs w:val="18"/>
          <w:u w:val="single" w:color="auto"/>
          <w:color w:val="0000EE"/>
        </w:rPr>
      </w:pPr>
    </w:p>
    <w:p>
      <w:pPr>
        <w:ind w:left="1300" w:right="100" w:hanging="633"/>
        <w:spacing w:after="0" w:line="266"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95">
        <w:r>
          <w:rPr>
            <w:rFonts w:ascii="Times New Roman" w:cs="Times New Roman" w:eastAsia="Times New Roman" w:hAnsi="Times New Roman"/>
            <w:sz w:val="18"/>
            <w:szCs w:val="18"/>
            <w:u w:val="single" w:color="auto"/>
            <w:color w:val="0000EE"/>
          </w:rPr>
          <w:t>Purchase Agreement, dated as of February 28, 2019 by and</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among Applied Optoelectronics, Inc., Raymond James &amp;</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Associates, Inc. and Cowen and Company, LLC</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00" w:hanging="633"/>
        <w:spacing w:after="0" w:line="266"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96">
        <w:r>
          <w:rPr>
            <w:rFonts w:ascii="Times New Roman" w:cs="Times New Roman" w:eastAsia="Times New Roman" w:hAnsi="Times New Roman"/>
            <w:sz w:val="18"/>
            <w:szCs w:val="18"/>
            <w:u w:val="single" w:color="auto"/>
            <w:color w:val="0000EE"/>
          </w:rPr>
          <w:t>Translation of the Working Capital Loan Contract, between</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Global Technology, Inc. and Shanghai Pudong Development</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Bank Co., Ltd., dated April 30, 2019</w:t>
        </w:r>
      </w:hyperlink>
    </w:p>
    <w:p>
      <w:pPr>
        <w:spacing w:after="0" w:line="176" w:lineRule="exact"/>
        <w:rPr>
          <w:rFonts w:ascii="Times New Roman" w:cs="Times New Roman" w:eastAsia="Times New Roman" w:hAnsi="Times New Roman"/>
          <w:sz w:val="18"/>
          <w:szCs w:val="18"/>
          <w:u w:val="single" w:color="auto"/>
          <w:color w:val="0000EE"/>
        </w:rPr>
      </w:pPr>
    </w:p>
    <w:p>
      <w:pPr>
        <w:ind w:left="1300" w:hanging="633"/>
        <w:spacing w:after="0" w:line="289"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7">
        <w:r>
          <w:rPr>
            <w:rFonts w:ascii="Times New Roman" w:cs="Times New Roman" w:eastAsia="Times New Roman" w:hAnsi="Times New Roman"/>
            <w:sz w:val="17"/>
            <w:szCs w:val="17"/>
            <w:u w:val="single" w:color="auto"/>
            <w:color w:val="0000EE"/>
          </w:rPr>
          <w:t>Translation of the Working Capital Loan Contract (RMB</w:t>
        </w:r>
      </w:hyperlink>
      <w:r>
        <w:rPr>
          <w:rFonts w:ascii="Times New Roman" w:cs="Times New Roman" w:eastAsia="Times New Roman" w:hAnsi="Times New Roman"/>
          <w:sz w:val="17"/>
          <w:szCs w:val="17"/>
          <w:u w:val="single" w:color="auto"/>
          <w:color w:val="0000EE"/>
        </w:rPr>
        <w:t xml:space="preserve"> </w:t>
      </w:r>
      <w:hyperlink r:id="rId97">
        <w:r>
          <w:rPr>
            <w:rFonts w:ascii="Times New Roman" w:cs="Times New Roman" w:eastAsia="Times New Roman" w:hAnsi="Times New Roman"/>
            <w:sz w:val="17"/>
            <w:szCs w:val="17"/>
            <w:u w:val="single" w:color="auto"/>
            <w:color w:val="0000EE"/>
          </w:rPr>
          <w:t>30,000,000), between Global Technology, Inc. and Shanghai</w:t>
        </w:r>
      </w:hyperlink>
      <w:r>
        <w:rPr>
          <w:rFonts w:ascii="Times New Roman" w:cs="Times New Roman" w:eastAsia="Times New Roman" w:hAnsi="Times New Roman"/>
          <w:sz w:val="17"/>
          <w:szCs w:val="17"/>
          <w:u w:val="single" w:color="auto"/>
          <w:color w:val="0000EE"/>
        </w:rPr>
        <w:t xml:space="preserve"> </w:t>
      </w:r>
      <w:hyperlink r:id="rId97">
        <w:r>
          <w:rPr>
            <w:rFonts w:ascii="Times New Roman" w:cs="Times New Roman" w:eastAsia="Times New Roman" w:hAnsi="Times New Roman"/>
            <w:sz w:val="17"/>
            <w:szCs w:val="17"/>
            <w:u w:val="single" w:color="auto"/>
            <w:color w:val="0000EE"/>
          </w:rPr>
          <w:t>Pudong Development Bank Co., Ltd., dated May 7, 2019</w:t>
        </w:r>
      </w:hyperlink>
    </w:p>
    <w:p>
      <w:pPr>
        <w:spacing w:after="0" w:line="158" w:lineRule="exact"/>
        <w:rPr>
          <w:rFonts w:ascii="Times New Roman" w:cs="Times New Roman" w:eastAsia="Times New Roman" w:hAnsi="Times New Roman"/>
          <w:sz w:val="17"/>
          <w:szCs w:val="17"/>
          <w:u w:val="single" w:color="auto"/>
          <w:color w:val="0000EE"/>
        </w:rPr>
      </w:pPr>
    </w:p>
    <w:p>
      <w:pPr>
        <w:ind w:left="1300" w:right="80" w:hanging="768"/>
        <w:spacing w:after="0" w:line="289"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10.17.1</w:t>
      </w:r>
      <w:r>
        <w:rPr>
          <w:sz w:val="20"/>
          <w:szCs w:val="20"/>
          <w:color w:val="auto"/>
        </w:rPr>
        <w:tab/>
      </w:r>
      <w:hyperlink r:id="rId98">
        <w:r>
          <w:rPr>
            <w:rFonts w:ascii="Times New Roman" w:cs="Times New Roman" w:eastAsia="Times New Roman" w:hAnsi="Times New Roman"/>
            <w:sz w:val="17"/>
            <w:szCs w:val="17"/>
            <w:u w:val="single" w:color="auto"/>
            <w:color w:val="0000EE"/>
          </w:rPr>
          <w:t>Translation of the Working Capital Loan Contract (USD</w:t>
        </w:r>
      </w:hyperlink>
      <w:r>
        <w:rPr>
          <w:rFonts w:ascii="Times New Roman" w:cs="Times New Roman" w:eastAsia="Times New Roman" w:hAnsi="Times New Roman"/>
          <w:sz w:val="17"/>
          <w:szCs w:val="17"/>
          <w:u w:val="single" w:color="auto"/>
          <w:color w:val="0000EE"/>
        </w:rPr>
        <w:t xml:space="preserve"> </w:t>
      </w:r>
      <w:hyperlink r:id="rId98">
        <w:r>
          <w:rPr>
            <w:rFonts w:ascii="Times New Roman" w:cs="Times New Roman" w:eastAsia="Times New Roman" w:hAnsi="Times New Roman"/>
            <w:sz w:val="17"/>
            <w:szCs w:val="17"/>
            <w:u w:val="single" w:color="auto"/>
            <w:color w:val="0000EE"/>
          </w:rPr>
          <w:t>2,000,000), between Global Technology, Inc. and Shanghai</w:t>
        </w:r>
      </w:hyperlink>
      <w:r>
        <w:rPr>
          <w:rFonts w:ascii="Times New Roman" w:cs="Times New Roman" w:eastAsia="Times New Roman" w:hAnsi="Times New Roman"/>
          <w:sz w:val="17"/>
          <w:szCs w:val="17"/>
          <w:u w:val="single" w:color="auto"/>
          <w:color w:val="0000EE"/>
        </w:rPr>
        <w:t xml:space="preserve"> </w:t>
      </w:r>
      <w:hyperlink r:id="rId98">
        <w:r>
          <w:rPr>
            <w:rFonts w:ascii="Times New Roman" w:cs="Times New Roman" w:eastAsia="Times New Roman" w:hAnsi="Times New Roman"/>
            <w:sz w:val="17"/>
            <w:szCs w:val="17"/>
            <w:u w:val="single" w:color="auto"/>
            <w:color w:val="0000EE"/>
          </w:rPr>
          <w:t>Pudong Development Bank Co., Ltd., dated May 8, 2019</w:t>
        </w:r>
      </w:hyperlink>
    </w:p>
    <w:p>
      <w:pPr>
        <w:spacing w:after="0" w:line="158" w:lineRule="exact"/>
        <w:rPr>
          <w:rFonts w:ascii="Times New Roman" w:cs="Times New Roman" w:eastAsia="Times New Roman" w:hAnsi="Times New Roman"/>
          <w:sz w:val="17"/>
          <w:szCs w:val="17"/>
          <w:u w:val="single" w:color="auto"/>
          <w:color w:val="0000EE"/>
        </w:rPr>
      </w:pPr>
    </w:p>
    <w:p>
      <w:pPr>
        <w:ind w:left="1300" w:right="120" w:hanging="633"/>
        <w:spacing w:after="0" w:line="266"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99">
        <w:r>
          <w:rPr>
            <w:rFonts w:ascii="Times New Roman" w:cs="Times New Roman" w:eastAsia="Times New Roman" w:hAnsi="Times New Roman"/>
            <w:sz w:val="18"/>
            <w:szCs w:val="18"/>
            <w:u w:val="single" w:color="auto"/>
            <w:color w:val="0000EE"/>
          </w:rPr>
          <w:t>Translation of the Financing Credit Line Agreement, dated</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May 24, 2019, between Global Technology, Inc. and</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Shanghai Pudong Development Bank Co., Ltd.</w:t>
        </w:r>
      </w:hyperlink>
    </w:p>
    <w:p>
      <w:pPr>
        <w:spacing w:after="0" w:line="176" w:lineRule="exact"/>
        <w:rPr>
          <w:rFonts w:ascii="Times New Roman" w:cs="Times New Roman" w:eastAsia="Times New Roman" w:hAnsi="Times New Roman"/>
          <w:sz w:val="18"/>
          <w:szCs w:val="18"/>
          <w:u w:val="single" w:color="auto"/>
          <w:color w:val="0000EE"/>
        </w:rPr>
      </w:pPr>
    </w:p>
    <w:p>
      <w:pPr>
        <w:ind w:left="1300" w:right="100" w:hanging="768"/>
        <w:spacing w:after="0" w:line="261"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10.18.1</w:t>
      </w:r>
      <w:r>
        <w:rPr>
          <w:sz w:val="20"/>
          <w:szCs w:val="20"/>
          <w:color w:val="auto"/>
        </w:rPr>
        <w:tab/>
      </w:r>
      <w:hyperlink r:id="rId100">
        <w:r>
          <w:rPr>
            <w:rFonts w:ascii="Times New Roman" w:cs="Times New Roman" w:eastAsia="Times New Roman" w:hAnsi="Times New Roman"/>
            <w:sz w:val="18"/>
            <w:szCs w:val="18"/>
            <w:u w:val="single" w:color="auto"/>
            <w:color w:val="0000EE"/>
          </w:rPr>
          <w:t>Translation of the Maximum Mortgage Contract (Security</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Agreement), dated May 24, 2019, between Global</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Technology, Inc. and Shanghai Pudong Development Bank</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Co., Ltd.</w:t>
        </w:r>
      </w:hyperlink>
    </w:p>
    <w:p>
      <w:pPr>
        <w:spacing w:after="0" w:line="180" w:lineRule="exact"/>
        <w:rPr>
          <w:rFonts w:ascii="Times New Roman" w:cs="Times New Roman" w:eastAsia="Times New Roman" w:hAnsi="Times New Roman"/>
          <w:sz w:val="18"/>
          <w:szCs w:val="18"/>
          <w:u w:val="single" w:color="auto"/>
          <w:color w:val="0000EE"/>
        </w:rPr>
      </w:pPr>
    </w:p>
    <w:p>
      <w:pPr>
        <w:ind w:left="1300" w:right="240" w:hanging="633"/>
        <w:spacing w:after="0" w:line="266"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1">
        <w:r>
          <w:rPr>
            <w:rFonts w:ascii="Times New Roman" w:cs="Times New Roman" w:eastAsia="Times New Roman" w:hAnsi="Times New Roman"/>
            <w:sz w:val="18"/>
            <w:szCs w:val="18"/>
            <w:u w:val="single" w:color="auto"/>
            <w:color w:val="0000EE"/>
          </w:rPr>
          <w:t>Second Amendment to Lease, dated November 11, 2019,</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between Applied Optoelectronics, Inc. and ROIB2</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Breckinridge, LLC.</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20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7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November 9, 2023</w:t>
            </w:r>
          </w:p>
        </w:tc>
      </w:tr>
      <w:tr>
        <w:trPr>
          <w:trHeight w:val="432"/>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333-190591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080"/>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28, 2018</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24, 2018</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21, 2018</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28, 2018</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February 28, 2018</w:t>
            </w:r>
          </w:p>
        </w:tc>
      </w:tr>
      <w:tr>
        <w:trPr>
          <w:trHeight w:val="1080"/>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May 8, 2018</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October 12, 2018</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March 5,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May 6,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13,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13,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31,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31, 2019</w:t>
            </w:r>
          </w:p>
        </w:tc>
      </w:tr>
      <w:tr>
        <w:trPr>
          <w:trHeight w:val="1080"/>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November 18, 2019</w:t>
            </w:r>
          </w:p>
        </w:tc>
      </w:tr>
    </w:tbl>
    <w:p>
      <w:pPr>
        <w:sectPr>
          <w:pgSz w:w="11900" w:h="16838" w:orient="portrait"/>
          <w:cols w:equalWidth="0" w:num="2">
            <w:col w:w="5660" w:space="360"/>
            <w:col w:w="4980"/>
          </w:cols>
          <w:pgMar w:left="320" w:top="121" w:right="579" w:bottom="128"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ind w:left="1320" w:right="100" w:hanging="633"/>
        <w:spacing w:after="0" w:line="260"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3">
        <w:r>
          <w:rPr>
            <w:rFonts w:ascii="Times New Roman" w:cs="Times New Roman" w:eastAsia="Times New Roman" w:hAnsi="Times New Roman"/>
            <w:sz w:val="18"/>
            <w:szCs w:val="18"/>
            <w:u w:val="single" w:color="auto"/>
            <w:color w:val="0000EE"/>
          </w:rPr>
          <w:t>Paycheck Protection Program Loan Promissory Note, dated</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April 17, 2020, executed by Applied Optoelectronics, Inc.</w:t>
        </w:r>
      </w:hyperlink>
    </w:p>
    <w:p>
      <w:pPr>
        <w:spacing w:after="0" w:line="181" w:lineRule="exact"/>
        <w:rPr>
          <w:sz w:val="20"/>
          <w:szCs w:val="20"/>
          <w:color w:val="auto"/>
        </w:rPr>
      </w:pPr>
    </w:p>
    <w:p>
      <w:pPr>
        <w:jc w:val="both"/>
        <w:ind w:left="1320" w:right="8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04">
        <w:r>
          <w:rPr>
            <w:rFonts w:ascii="Times New Roman" w:cs="Times New Roman" w:eastAsia="Times New Roman" w:hAnsi="Times New Roman"/>
            <w:sz w:val="18"/>
            <w:szCs w:val="18"/>
            <w:u w:val="single" w:color="auto"/>
            <w:color w:val="0000EE"/>
          </w:rPr>
          <w:t>Translation of the Maximum Loan Contract between Global</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Technology, Inc. and China Zheshang Bank Co., Ltd., dated</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June 7, 2022.</w:t>
        </w:r>
      </w:hyperlink>
    </w:p>
    <w:p>
      <w:pPr>
        <w:spacing w:after="0" w:line="176" w:lineRule="exact"/>
        <w:rPr>
          <w:rFonts w:ascii="Times New Roman" w:cs="Times New Roman" w:eastAsia="Times New Roman" w:hAnsi="Times New Roman"/>
          <w:sz w:val="18"/>
          <w:szCs w:val="18"/>
          <w:u w:val="single" w:color="auto"/>
          <w:color w:val="0000EE"/>
        </w:rPr>
      </w:pPr>
    </w:p>
    <w:p>
      <w:pPr>
        <w:ind w:left="1320" w:right="240" w:hanging="768"/>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10.21.1</w:t>
      </w:r>
      <w:r>
        <w:rPr>
          <w:sz w:val="20"/>
          <w:szCs w:val="20"/>
          <w:color w:val="auto"/>
        </w:rPr>
        <w:tab/>
      </w:r>
      <w:hyperlink r:id="rId105">
        <w:r>
          <w:rPr>
            <w:rFonts w:ascii="Times New Roman" w:cs="Times New Roman" w:eastAsia="Times New Roman" w:hAnsi="Times New Roman"/>
            <w:sz w:val="18"/>
            <w:szCs w:val="18"/>
            <w:u w:val="single" w:color="auto"/>
            <w:color w:val="0000EE"/>
          </w:rPr>
          <w:t>Translation of the Maximum Mortgage Contract, between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Global Technology, Inc. and China Zheshang Bank Co.,</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Ltd., dated June 7, 2022.</w:t>
        </w:r>
      </w:hyperlink>
    </w:p>
    <w:p>
      <w:pPr>
        <w:spacing w:after="0" w:line="176" w:lineRule="exact"/>
        <w:rPr>
          <w:rFonts w:ascii="Times New Roman" w:cs="Times New Roman" w:eastAsia="Times New Roman" w:hAnsi="Times New Roman"/>
          <w:sz w:val="18"/>
          <w:szCs w:val="18"/>
          <w:u w:val="single" w:color="auto"/>
          <w:color w:val="0000EE"/>
        </w:rPr>
      </w:pPr>
    </w:p>
    <w:p>
      <w:pPr>
        <w:ind w:left="1320" w:right="20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18"/>
          <w:szCs w:val="18"/>
          <w:color w:val="0000EE"/>
        </w:rPr>
        <w:tab/>
      </w:r>
      <w:hyperlink r:id="rId106">
        <w:r>
          <w:rPr>
            <w:rFonts w:ascii="Times New Roman" w:cs="Times New Roman" w:eastAsia="Times New Roman" w:hAnsi="Times New Roman"/>
            <w:sz w:val="18"/>
            <w:szCs w:val="18"/>
            <w:color w:val="0000EE"/>
          </w:rPr>
          <w:t>Statement of Work No. 1 – Foundry between Applied</w:t>
        </w:r>
      </w:hyperlink>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Optoelectronics, Inc. and Microsoft Corporation, effective</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December 16, 2022</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836295</wp:posOffset>
            </wp:positionH>
            <wp:positionV relativeFrom="paragraph">
              <wp:posOffset>-313055</wp:posOffset>
            </wp:positionV>
            <wp:extent cx="24498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0000EE"/>
        </w:rPr>
      </w:pPr>
    </w:p>
    <w:p>
      <w:pPr>
        <w:ind w:left="1320" w:right="100" w:hanging="768"/>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10.22.1</w:t>
      </w:r>
      <w:r>
        <w:rPr>
          <w:sz w:val="20"/>
          <w:szCs w:val="20"/>
          <w:color w:val="auto"/>
        </w:rPr>
        <w:tab/>
      </w:r>
      <w:hyperlink r:id="rId106">
        <w:r>
          <w:rPr>
            <w:rFonts w:ascii="Times New Roman" w:cs="Times New Roman" w:eastAsia="Times New Roman" w:hAnsi="Times New Roman"/>
            <w:sz w:val="18"/>
            <w:szCs w:val="18"/>
            <w:u w:val="single" w:color="auto"/>
            <w:color w:val="0000EE"/>
          </w:rPr>
          <w:t>Microsoft Corporation Purchase Order Terms &amp; Conditions</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(included as Appendix C to Exhibit 10.1)</w:t>
        </w:r>
      </w:hyperlink>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18"/>
                <w:szCs w:val="18"/>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2020</w:t>
            </w:r>
          </w:p>
        </w:tc>
      </w:tr>
      <w:tr>
        <w:trPr>
          <w:trHeight w:val="648"/>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10,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10,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3, 2023</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3, 2023</w:t>
            </w:r>
          </w:p>
        </w:tc>
      </w:tr>
    </w:tbl>
    <w:p>
      <w:pPr>
        <w:sectPr>
          <w:pgSz w:w="11900" w:h="16838" w:orient="portrait"/>
          <w:cols w:equalWidth="0" w:num="2">
            <w:col w:w="5720" w:space="340"/>
            <w:col w:w="4760"/>
          </w:cols>
          <w:pgMar w:left="320" w:top="121" w:right="7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ind w:left="1320" w:right="240" w:hanging="633"/>
        <w:spacing w:after="0" w:line="255"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09">
        <w:r>
          <w:rPr>
            <w:rFonts w:ascii="Times New Roman" w:cs="Times New Roman" w:eastAsia="Times New Roman" w:hAnsi="Times New Roman"/>
            <w:sz w:val="18"/>
            <w:szCs w:val="18"/>
            <w:u w:val="single" w:color="auto"/>
            <w:color w:val="0000EE"/>
          </w:rPr>
          <w:t>Third Amendment to Lease, dated June 9, 2023, between</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Applied Optoelectronics, Inc. and Albany Road-Breck</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Exchange LLC</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1320" w:right="10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18"/>
          <w:szCs w:val="18"/>
          <w:color w:val="0000EE"/>
        </w:rPr>
        <w:tab/>
      </w:r>
      <w:hyperlink r:id="rId110">
        <w:r>
          <w:rPr>
            <w:rFonts w:ascii="Times New Roman" w:cs="Times New Roman" w:eastAsia="Times New Roman" w:hAnsi="Times New Roman"/>
            <w:sz w:val="18"/>
            <w:szCs w:val="18"/>
            <w:color w:val="0000EE"/>
          </w:rPr>
          <w:t>Statement of Work No. 2 – Design and Assembly, between</w:t>
        </w:r>
      </w:hyperlink>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Applied Optoelectronics, Inc. and Microsoft Corporation,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effective June 21, 2023</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836295</wp:posOffset>
            </wp:positionH>
            <wp:positionV relativeFrom="paragraph">
              <wp:posOffset>-313055</wp:posOffset>
            </wp:positionV>
            <wp:extent cx="2689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1">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0000EE"/>
        </w:rPr>
      </w:pPr>
    </w:p>
    <w:p>
      <w:pPr>
        <w:ind w:left="1320" w:right="40" w:hanging="768"/>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10.24.1</w:t>
      </w:r>
      <w:r>
        <w:rPr>
          <w:sz w:val="20"/>
          <w:szCs w:val="20"/>
          <w:color w:val="auto"/>
        </w:rPr>
        <w:tab/>
      </w:r>
      <w:hyperlink r:id="rId110">
        <w:r>
          <w:rPr>
            <w:rFonts w:ascii="Times New Roman" w:cs="Times New Roman" w:eastAsia="Times New Roman" w:hAnsi="Times New Roman"/>
            <w:sz w:val="18"/>
            <w:szCs w:val="18"/>
            <w:u w:val="single" w:color="auto"/>
            <w:color w:val="0000EE"/>
          </w:rPr>
          <w:t>Microsoft Corporation Purchase Order Terms &amp; Conditions</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(included as Appendix J to Exhibit 10.1)</w:t>
        </w:r>
      </w:hyperlink>
    </w:p>
    <w:p>
      <w:pPr>
        <w:spacing w:after="0" w:line="162" w:lineRule="exact"/>
        <w:rPr>
          <w:sz w:val="20"/>
          <w:szCs w:val="20"/>
          <w:color w:val="auto"/>
        </w:rPr>
      </w:pPr>
    </w:p>
    <w:p>
      <w:pPr>
        <w:ind w:left="1320" w:right="2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2">
        <w:r>
          <w:rPr>
            <w:rFonts w:ascii="Times New Roman" w:cs="Times New Roman" w:eastAsia="Times New Roman" w:hAnsi="Times New Roman"/>
            <w:sz w:val="18"/>
            <w:szCs w:val="18"/>
            <w:u w:val="single" w:color="auto"/>
            <w:color w:val="0000EE"/>
          </w:rPr>
          <w:t>Form of Exchange Agreement, dated as of November 30,</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2023, between Applied Optoelectronics, Inc. and the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applicable Noteholders</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20" w:right="220" w:hanging="63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10.26** </w:t>
      </w:r>
      <w:hyperlink r:id="rId113">
        <w:r>
          <w:rPr>
            <w:rFonts w:ascii="Times New Roman" w:cs="Times New Roman" w:eastAsia="Times New Roman" w:hAnsi="Times New Roman"/>
            <w:sz w:val="18"/>
            <w:szCs w:val="18"/>
            <w:u w:val="single" w:color="auto"/>
            <w:color w:val="0000EE"/>
          </w:rPr>
          <w:t>Purchase Agreement, dated as of November 30, 2023, by</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and between Applied Optoelectronics, Inc. and Raymond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James &amp; Associates, Inc.</w:t>
        </w:r>
      </w:hyperlink>
    </w:p>
    <w:p>
      <w:pPr>
        <w:spacing w:after="0" w:line="176" w:lineRule="exact"/>
        <w:rPr>
          <w:rFonts w:ascii="Times New Roman" w:cs="Times New Roman" w:eastAsia="Times New Roman" w:hAnsi="Times New Roman"/>
          <w:sz w:val="18"/>
          <w:szCs w:val="18"/>
          <w:color w:val="auto"/>
        </w:rPr>
      </w:pPr>
    </w:p>
    <w:p>
      <w:pPr>
        <w:ind w:left="1320" w:right="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4">
        <w:r>
          <w:rPr>
            <w:rFonts w:ascii="Times New Roman" w:cs="Times New Roman" w:eastAsia="Times New Roman" w:hAnsi="Times New Roman"/>
            <w:sz w:val="18"/>
            <w:szCs w:val="18"/>
            <w:u w:val="single" w:color="auto"/>
            <w:color w:val="0000EE"/>
          </w:rPr>
          <w:t>Translation of the Asset Pool Agreement, between Global</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Technology, Inc. and China Zheshang Bank Co., Ltd., dated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December 21, 2023</w:t>
        </w:r>
      </w:hyperlink>
    </w:p>
    <w:p>
      <w:pPr>
        <w:spacing w:after="0" w:line="176" w:lineRule="exact"/>
        <w:rPr>
          <w:rFonts w:ascii="Times New Roman" w:cs="Times New Roman" w:eastAsia="Times New Roman" w:hAnsi="Times New Roman"/>
          <w:sz w:val="18"/>
          <w:szCs w:val="18"/>
          <w:u w:val="single" w:color="auto"/>
          <w:color w:val="0000EE"/>
        </w:rPr>
      </w:pPr>
    </w:p>
    <w:p>
      <w:pPr>
        <w:ind w:left="1320" w:right="20" w:hanging="768"/>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10.27.1</w:t>
      </w:r>
      <w:r>
        <w:rPr>
          <w:sz w:val="20"/>
          <w:szCs w:val="20"/>
          <w:color w:val="auto"/>
        </w:rPr>
        <w:tab/>
      </w:r>
      <w:hyperlink r:id="rId115">
        <w:r>
          <w:rPr>
            <w:rFonts w:ascii="Times New Roman" w:cs="Times New Roman" w:eastAsia="Times New Roman" w:hAnsi="Times New Roman"/>
            <w:sz w:val="18"/>
            <w:szCs w:val="18"/>
            <w:u w:val="single" w:color="auto"/>
            <w:color w:val="0000EE"/>
          </w:rPr>
          <w:t>Translation of the Pledge Contract, between Global</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Technology, Inc. and China Zheshang Bank Co., Ltd., dated</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December 21, 2023</w:t>
        </w:r>
      </w:hyperlink>
    </w:p>
    <w:p>
      <w:pPr>
        <w:spacing w:after="0" w:line="176" w:lineRule="exact"/>
        <w:rPr>
          <w:rFonts w:ascii="Times New Roman" w:cs="Times New Roman" w:eastAsia="Times New Roman" w:hAnsi="Times New Roman"/>
          <w:sz w:val="18"/>
          <w:szCs w:val="18"/>
          <w:u w:val="single" w:color="auto"/>
          <w:color w:val="0000EE"/>
        </w:rPr>
      </w:pPr>
    </w:p>
    <w:p>
      <w:pPr>
        <w:ind w:left="1320" w:right="1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6">
        <w:r>
          <w:rPr>
            <w:rFonts w:ascii="Times New Roman" w:cs="Times New Roman" w:eastAsia="Times New Roman" w:hAnsi="Times New Roman"/>
            <w:sz w:val="18"/>
            <w:szCs w:val="18"/>
            <w:u w:val="single" w:color="auto"/>
            <w:color w:val="0000EE"/>
          </w:rPr>
          <w:t>Translation of the Financing Credit Line Agreement, dated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May 24, 2024, between Global Technology, Inc. and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Shanghai Pudong Development Bank Co., Ltd.</w:t>
        </w:r>
      </w:hyperlink>
    </w:p>
    <w:p>
      <w:pPr>
        <w:spacing w:after="0" w:line="176" w:lineRule="exact"/>
        <w:rPr>
          <w:rFonts w:ascii="Times New Roman" w:cs="Times New Roman" w:eastAsia="Times New Roman" w:hAnsi="Times New Roman"/>
          <w:sz w:val="18"/>
          <w:szCs w:val="18"/>
          <w:u w:val="single" w:color="auto"/>
          <w:color w:val="0000EE"/>
        </w:rPr>
      </w:pPr>
    </w:p>
    <w:p>
      <w:pPr>
        <w:ind w:left="1320" w:right="80" w:hanging="768"/>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10.28.1</w:t>
      </w:r>
      <w:r>
        <w:rPr>
          <w:sz w:val="20"/>
          <w:szCs w:val="20"/>
          <w:color w:val="auto"/>
        </w:rPr>
        <w:tab/>
      </w:r>
      <w:hyperlink r:id="rId117">
        <w:r>
          <w:rPr>
            <w:rFonts w:ascii="Times New Roman" w:cs="Times New Roman" w:eastAsia="Times New Roman" w:hAnsi="Times New Roman"/>
            <w:sz w:val="18"/>
            <w:szCs w:val="18"/>
            <w:u w:val="single" w:color="auto"/>
            <w:color w:val="0000EE"/>
          </w:rPr>
          <w:t>Translation of the Maximum Mortgage Contract (Security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Agreement), dated May 24, 2024, between Global</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Technology, Inc. and Shanghai Pudong Development Bank</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Co., Ltd.</w:t>
        </w:r>
      </w:hyperlink>
    </w:p>
    <w:p>
      <w:pPr>
        <w:spacing w:after="0" w:line="180" w:lineRule="exact"/>
        <w:rPr>
          <w:rFonts w:ascii="Times New Roman" w:cs="Times New Roman" w:eastAsia="Times New Roman" w:hAnsi="Times New Roman"/>
          <w:sz w:val="18"/>
          <w:szCs w:val="18"/>
          <w:u w:val="single" w:color="auto"/>
          <w:color w:val="0000EE"/>
        </w:rPr>
      </w:pPr>
    </w:p>
    <w:p>
      <w:pPr>
        <w:ind w:left="1320" w:right="120" w:hanging="633"/>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18">
        <w:r>
          <w:rPr>
            <w:rFonts w:ascii="Times New Roman" w:cs="Times New Roman" w:eastAsia="Times New Roman" w:hAnsi="Times New Roman"/>
            <w:sz w:val="18"/>
            <w:szCs w:val="18"/>
            <w:u w:val="single" w:color="auto"/>
            <w:color w:val="0000EE"/>
          </w:rPr>
          <w:t>Translation of the Land and Building Lease Agreement,</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dated October 7, 2024, between Prime World International</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Holdings Ltd., Taiwan Branch and San Ho Enterprise Co.,</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Ltd.</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1320" w:right="18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19">
        <w:r>
          <w:rPr>
            <w:rFonts w:ascii="Times New Roman" w:cs="Times New Roman" w:eastAsia="Times New Roman" w:hAnsi="Times New Roman"/>
            <w:sz w:val="18"/>
            <w:szCs w:val="18"/>
            <w:u w:val="single" w:color="auto"/>
            <w:color w:val="0000EE"/>
          </w:rPr>
          <w:t>Form of Exchange Agreement, dated December 18, 2024,</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between Applied Optoelectronics, Inc. and the applicable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Noteholders</w:t>
        </w:r>
      </w:hyperlink>
    </w:p>
    <w:p>
      <w:pPr>
        <w:spacing w:after="0" w:line="176" w:lineRule="exact"/>
        <w:rPr>
          <w:rFonts w:ascii="Times New Roman" w:cs="Times New Roman" w:eastAsia="Times New Roman" w:hAnsi="Times New Roman"/>
          <w:sz w:val="18"/>
          <w:szCs w:val="18"/>
          <w:u w:val="single" w:color="auto"/>
          <w:color w:val="0000EE"/>
        </w:rPr>
      </w:pPr>
    </w:p>
    <w:p>
      <w:pPr>
        <w:ind w:left="13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20">
        <w:r>
          <w:rPr>
            <w:rFonts w:ascii="Times New Roman" w:cs="Times New Roman" w:eastAsia="Times New Roman" w:hAnsi="Times New Roman"/>
            <w:sz w:val="18"/>
            <w:szCs w:val="18"/>
            <w:u w:val="single" w:color="auto"/>
            <w:color w:val="0000EE"/>
          </w:rPr>
          <w:t>Translation of the Construction Contract, dated December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26, 2024, between Prime World International Holdings Ltd.,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Taiwan Branch and Chyi Ding Technologies Co., Ltd.</w:t>
        </w:r>
      </w:hyperlink>
    </w:p>
    <w:p>
      <w:pPr>
        <w:spacing w:after="0" w:line="176" w:lineRule="exact"/>
        <w:rPr>
          <w:rFonts w:ascii="Times New Roman" w:cs="Times New Roman" w:eastAsia="Times New Roman" w:hAnsi="Times New Roman"/>
          <w:sz w:val="18"/>
          <w:szCs w:val="18"/>
          <w:u w:val="single" w:color="auto"/>
          <w:color w:val="0000EE"/>
        </w:rPr>
      </w:pPr>
    </w:p>
    <w:p>
      <w:pPr>
        <w:ind w:left="1320" w:right="260" w:hanging="419"/>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0000EE"/>
        </w:rPr>
        <w:t>Applied Optoelectronics, Inc. Insider Trading Policy and Guidelines</w:t>
      </w:r>
    </w:p>
    <w:p>
      <w:pPr>
        <w:spacing w:after="0" w:line="162" w:lineRule="exact"/>
        <w:rPr>
          <w:rFonts w:ascii="Times New Roman" w:cs="Times New Roman" w:eastAsia="Times New Roman" w:hAnsi="Times New Roman"/>
          <w:sz w:val="18"/>
          <w:szCs w:val="18"/>
          <w:u w:val="single" w:color="auto"/>
          <w:color w:val="0000EE"/>
        </w:rPr>
      </w:pPr>
    </w:p>
    <w:p>
      <w:pPr>
        <w:ind w:left="780" w:right="2020" w:firstLine="128"/>
        <w:spacing w:after="0" w:line="500" w:lineRule="auto"/>
        <w:tabs>
          <w:tab w:leader="none" w:pos="1324" w:val="left"/>
        </w:tabs>
        <w:numPr>
          <w:ilvl w:val="0"/>
          <w:numId w:val="29"/>
        </w:numPr>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Subsidiaries of the registrant</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xml:space="preserve">23.1* </w:t>
      </w:r>
      <w:r>
        <w:rPr>
          <w:rFonts w:ascii="Times New Roman" w:cs="Times New Roman" w:eastAsia="Times New Roman" w:hAnsi="Times New Roman"/>
          <w:sz w:val="18"/>
          <w:szCs w:val="18"/>
          <w:u w:val="single" w:color="auto"/>
          <w:color w:val="0000EE"/>
        </w:rPr>
        <w:t>Consent of Grant Thornton LLP</w:t>
      </w:r>
    </w:p>
    <w:p>
      <w:pPr>
        <w:spacing w:after="0" w:line="2" w:lineRule="exact"/>
        <w:rPr>
          <w:rFonts w:ascii="Times New Roman" w:cs="Times New Roman" w:eastAsia="Times New Roman" w:hAnsi="Times New Roman"/>
          <w:sz w:val="18"/>
          <w:szCs w:val="18"/>
          <w:u w:val="single" w:color="auto"/>
          <w:color w:val="0000EE"/>
        </w:rPr>
      </w:pPr>
    </w:p>
    <w:p>
      <w:pPr>
        <w:ind w:left="1320" w:right="260" w:hanging="543"/>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(see the signature page in this Annual Report on Form 10-K).</w:t>
      </w:r>
    </w:p>
    <w:p>
      <w:pPr>
        <w:spacing w:after="0" w:line="162" w:lineRule="exact"/>
        <w:rPr>
          <w:rFonts w:ascii="Times New Roman" w:cs="Times New Roman" w:eastAsia="Times New Roman" w:hAnsi="Times New Roman"/>
          <w:sz w:val="18"/>
          <w:szCs w:val="18"/>
          <w:u w:val="single" w:color="auto"/>
          <w:color w:val="0000EE"/>
        </w:rPr>
      </w:pPr>
    </w:p>
    <w:p>
      <w:pPr>
        <w:ind w:left="1320" w:right="20" w:hanging="543"/>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Principal Executive Officer Required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Rule 13a-14(a) and 15d-14(a) of the Securities Exchange Act of 1934, as amended, as adopted pursuant to Section 302 of The Sarbanes-Oxley Act of 2002.</w:t>
      </w:r>
    </w:p>
    <w:p>
      <w:pPr>
        <w:spacing w:after="0" w:line="180" w:lineRule="exact"/>
        <w:rPr>
          <w:rFonts w:ascii="Times New Roman" w:cs="Times New Roman" w:eastAsia="Times New Roman" w:hAnsi="Times New Roman"/>
          <w:sz w:val="18"/>
          <w:szCs w:val="18"/>
          <w:u w:val="single" w:color="auto"/>
          <w:color w:val="0000EE"/>
        </w:rPr>
      </w:pPr>
    </w:p>
    <w:p>
      <w:pPr>
        <w:ind w:left="1320" w:right="60" w:hanging="543"/>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Principal Financial Officer Required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Rule 13a-14(a) and 15d-14(a) of the Securities Exchange Act of 1934, as amended, as adopted pursuant to Section 302 of The Sarbanes-Oxley Act of 2002.</w:t>
      </w:r>
    </w:p>
    <w:p>
      <w:pPr>
        <w:spacing w:after="0" w:line="180" w:lineRule="exact"/>
        <w:rPr>
          <w:rFonts w:ascii="Times New Roman" w:cs="Times New Roman" w:eastAsia="Times New Roman" w:hAnsi="Times New Roman"/>
          <w:sz w:val="18"/>
          <w:szCs w:val="18"/>
          <w:u w:val="single" w:color="auto"/>
          <w:color w:val="0000EE"/>
        </w:rPr>
      </w:pPr>
    </w:p>
    <w:p>
      <w:pPr>
        <w:ind w:left="1320" w:right="100" w:hanging="543"/>
        <w:spacing w:after="0" w:line="289"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0000EE"/>
        </w:rPr>
        <w:t>Certification of Principal Executive Officer and Principal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Financial Officer Required Under Rule 13a-14(a) and 15d-14(a) of the Securities Exchange Act of 1934, as amended,</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2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14,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21,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21, 2023</w:t>
            </w:r>
          </w:p>
        </w:tc>
      </w:tr>
      <w:tr>
        <w:trPr>
          <w:trHeight w:val="648"/>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1,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5,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27,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27,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May 30, 2024</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May 30, 2024</w:t>
            </w:r>
          </w:p>
        </w:tc>
      </w:tr>
      <w:tr>
        <w:trPr>
          <w:trHeight w:val="1080"/>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October 10, 2024</w:t>
            </w:r>
          </w:p>
        </w:tc>
      </w:tr>
      <w:tr>
        <w:trPr>
          <w:trHeight w:val="1080"/>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20, 2024</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512"/>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bl>
    <w:p>
      <w:pPr>
        <w:sectPr>
          <w:pgSz w:w="11900" w:h="16838" w:orient="portrait"/>
          <w:cols w:equalWidth="0" w:num="2">
            <w:col w:w="5660" w:space="440"/>
            <w:col w:w="4900"/>
          </w:cols>
          <w:pgMar w:left="320" w:top="121" w:right="579" w:bottom="0" w:gutter="0" w:footer="0" w:header="0"/>
        </w:sectPr>
      </w:pPr>
    </w:p>
    <w:bookmarkStart w:id="60" w:name="page61"/>
    <w:bookmarkEnd w:id="60"/>
    <w:p>
      <w:pPr>
        <w:ind w:left="1320"/>
        <w:spacing w:after="0"/>
        <w:rPr>
          <w:sz w:val="20"/>
          <w:szCs w:val="20"/>
          <w:color w:val="auto"/>
        </w:rPr>
      </w:pPr>
      <w:r>
        <w:rPr>
          <w:rFonts w:ascii="Times New Roman" w:cs="Times New Roman" w:eastAsia="Times New Roman" w:hAnsi="Times New Roman"/>
          <w:sz w:val="18"/>
          <w:szCs w:val="18"/>
          <w:u w:val="single" w:color="auto"/>
          <w:color w:val="0000EE"/>
        </w:rPr>
        <w:t>and 18 U.S.C. §1350 as adopted pursuant to Section 906 of</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0000EE"/>
        </w:rPr>
        <w:t>The Sarbanes-Oxley Act of 2002.</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228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Compensation Recovery Policy</w:t>
              </w:r>
            </w:hyperlink>
          </w:p>
        </w:tc>
        <w:tc>
          <w:tcPr>
            <w:tcW w:w="2220" w:type="dxa"/>
            <w:vAlign w:val="bottom"/>
          </w:tcPr>
          <w:p>
            <w:pPr>
              <w:spacing w:after="0"/>
              <w:rPr>
                <w:sz w:val="17"/>
                <w:szCs w:val="17"/>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001-36083</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453"/>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101.INS</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6"/>
              </w:rPr>
              <w:t>101.SCH</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4"/>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101.CAL</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101.DEF</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101.LAB</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198" w:lineRule="exact"/>
        <w:rPr>
          <w:sz w:val="20"/>
          <w:szCs w:val="20"/>
          <w:color w:val="auto"/>
        </w:rPr>
      </w:pPr>
    </w:p>
    <w:p>
      <w:pPr>
        <w:ind w:left="1320" w:right="5300" w:hanging="502"/>
        <w:spacing w:after="0" w:line="282" w:lineRule="auto"/>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1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for portions of this document.</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and Exchange Act of 1934, the registrant has duly caused this Form 10-K to be signed on its behalf by the undersigned, thereunto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CHIH-HSIANG (THOMPSON) LIN</w:t>
            </w:r>
          </w:p>
        </w:tc>
      </w:tr>
      <w:tr>
        <w:trPr>
          <w:trHeight w:val="189"/>
        </w:trPr>
        <w:tc>
          <w:tcPr>
            <w:tcW w:w="320" w:type="dxa"/>
            <w:vAlign w:val="bottom"/>
          </w:tcPr>
          <w:p>
            <w:pPr>
              <w:spacing w:after="0"/>
              <w:rPr>
                <w:sz w:val="16"/>
                <w:szCs w:val="16"/>
                <w:color w:val="auto"/>
              </w:rPr>
            </w:pPr>
          </w:p>
        </w:tc>
        <w:tc>
          <w:tcPr>
            <w:tcW w:w="5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CHIH-HSIANG (THOMPSON) LIN,</w:t>
            </w:r>
          </w:p>
        </w:tc>
      </w:tr>
      <w:tr>
        <w:trPr>
          <w:trHeight w:val="216"/>
        </w:trPr>
        <w:tc>
          <w:tcPr>
            <w:tcW w:w="3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 and</w:t>
            </w:r>
          </w:p>
        </w:tc>
      </w:tr>
      <w:tr>
        <w:trPr>
          <w:trHeight w:val="236"/>
        </w:trPr>
        <w:tc>
          <w:tcPr>
            <w:tcW w:w="3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r>
    </w:tbl>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158" w:lineRule="exact"/>
        <w:rPr>
          <w:sz w:val="20"/>
          <w:szCs w:val="20"/>
          <w:color w:val="auto"/>
        </w:rPr>
      </w:pPr>
    </w:p>
    <w:p>
      <w:pPr>
        <w:ind w:left="244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jc w:val="center"/>
        <w:ind w:right="720"/>
        <w:spacing w:after="0"/>
        <w:tabs>
          <w:tab w:leader="none" w:pos="3540" w:val="left"/>
        </w:tabs>
        <w:rPr>
          <w:sz w:val="20"/>
          <w:szCs w:val="20"/>
          <w:color w:val="auto"/>
        </w:rPr>
      </w:pPr>
      <w:r>
        <w:rPr>
          <w:rFonts w:ascii="Times New Roman" w:cs="Times New Roman" w:eastAsia="Times New Roman" w:hAnsi="Times New Roman"/>
          <w:sz w:val="18"/>
          <w:szCs w:val="18"/>
          <w:i w:val="1"/>
          <w:iCs w:val="1"/>
          <w:color w:val="auto"/>
        </w:rPr>
        <w:t>President, Chief Executive Officer and</w:t>
      </w:r>
      <w:r>
        <w:rPr>
          <w:sz w:val="20"/>
          <w:szCs w:val="20"/>
          <w:color w:val="auto"/>
        </w:rPr>
        <w:tab/>
      </w:r>
      <w:r>
        <w:rPr>
          <w:rFonts w:ascii="Times New Roman" w:cs="Times New Roman" w:eastAsia="Times New Roman" w:hAnsi="Times New Roman"/>
          <w:sz w:val="18"/>
          <w:szCs w:val="18"/>
          <w:color w:val="auto"/>
        </w:rPr>
        <w:t>February 28, 2025</w:t>
      </w:r>
    </w:p>
    <w:p>
      <w:pPr>
        <w:spacing w:after="0" w:line="9"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ind w:left="1700" w:right="2140" w:firstLine="27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Chief Financial Officer </w:t>
      </w:r>
      <w:r>
        <w:rPr>
          <w:rFonts w:ascii="Times New Roman" w:cs="Times New Roman" w:eastAsia="Times New Roman" w:hAnsi="Times New Roman"/>
          <w:sz w:val="18"/>
          <w:szCs w:val="18"/>
          <w:color w:val="auto"/>
        </w:rPr>
        <w:t>February 28, 2025</w:t>
      </w:r>
      <w:r>
        <w:rPr>
          <w:rFonts w:ascii="Times New Roman" w:cs="Times New Roman" w:eastAsia="Times New Roman" w:hAnsi="Times New Roman"/>
          <w:sz w:val="18"/>
          <w:szCs w:val="18"/>
          <w:i w:val="1"/>
          <w:iCs w:val="1"/>
          <w:color w:val="auto"/>
        </w:rPr>
        <w:t xml:space="preserve"> (principal financial officer and</w:t>
      </w:r>
    </w:p>
    <w:p>
      <w:pPr>
        <w:spacing w:after="0" w:line="2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3" w:lineRule="exact"/>
        <w:rPr>
          <w:sz w:val="20"/>
          <w:szCs w:val="20"/>
          <w:color w:val="auto"/>
        </w:rPr>
      </w:pPr>
    </w:p>
    <w:p>
      <w:pPr>
        <w:ind w:left="244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80"/>
        <w:spacing w:after="0"/>
        <w:tabs>
          <w:tab w:leader="none" w:pos="7740" w:val="left"/>
        </w:tabs>
        <w:rPr>
          <w:sz w:val="20"/>
          <w:szCs w:val="20"/>
          <w:color w:val="auto"/>
        </w:rPr>
      </w:pPr>
      <w:r>
        <w:rPr>
          <w:rFonts w:ascii="Times New Roman" w:cs="Times New Roman" w:eastAsia="Times New Roman" w:hAnsi="Times New Roman"/>
          <w:sz w:val="18"/>
          <w:szCs w:val="18"/>
          <w:color w:val="auto"/>
        </w:rPr>
        <w:t>WILLIAM H. YEH,</w:t>
      </w:r>
      <w:r>
        <w:rPr>
          <w:sz w:val="20"/>
          <w:szCs w:val="20"/>
          <w:color w:val="auto"/>
        </w:rPr>
        <w:tab/>
      </w:r>
      <w:r>
        <w:rPr>
          <w:rFonts w:ascii="Times New Roman" w:cs="Times New Roman" w:eastAsia="Times New Roman" w:hAnsi="Times New Roman"/>
          <w:sz w:val="18"/>
          <w:szCs w:val="18"/>
          <w:color w:val="auto"/>
        </w:rPr>
        <w:t>February 28, 2025</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960"/>
        <w:spacing w:after="0"/>
        <w:tabs>
          <w:tab w:leader="none" w:pos="7740" w:val="left"/>
        </w:tabs>
        <w:rPr>
          <w:sz w:val="20"/>
          <w:szCs w:val="20"/>
          <w:color w:val="auto"/>
        </w:rPr>
      </w:pPr>
      <w:r>
        <w:rPr>
          <w:rFonts w:ascii="Times New Roman" w:cs="Times New Roman" w:eastAsia="Times New Roman" w:hAnsi="Times New Roman"/>
          <w:sz w:val="18"/>
          <w:szCs w:val="18"/>
          <w:color w:val="auto"/>
        </w:rPr>
        <w:t>RICHARD B. BLACK,</w:t>
      </w:r>
      <w:r>
        <w:rPr>
          <w:sz w:val="20"/>
          <w:szCs w:val="20"/>
          <w:color w:val="auto"/>
        </w:rPr>
        <w:tab/>
      </w:r>
      <w:r>
        <w:rPr>
          <w:rFonts w:ascii="Times New Roman" w:cs="Times New Roman" w:eastAsia="Times New Roman" w:hAnsi="Times New Roman"/>
          <w:sz w:val="18"/>
          <w:szCs w:val="18"/>
          <w:color w:val="auto"/>
        </w:rPr>
        <w:t>February 28, 2025</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 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240"/>
        <w:spacing w:after="0"/>
        <w:tabs>
          <w:tab w:leader="none" w:pos="7740" w:val="left"/>
        </w:tabs>
        <w:rPr>
          <w:sz w:val="20"/>
          <w:szCs w:val="20"/>
          <w:color w:val="auto"/>
        </w:rPr>
      </w:pPr>
      <w:r>
        <w:rPr>
          <w:rFonts w:ascii="Times New Roman" w:cs="Times New Roman" w:eastAsia="Times New Roman" w:hAnsi="Times New Roman"/>
          <w:sz w:val="18"/>
          <w:szCs w:val="18"/>
          <w:color w:val="auto"/>
        </w:rPr>
        <w:t>CHE-WEI LIN,</w:t>
      </w:r>
      <w:r>
        <w:rPr>
          <w:sz w:val="20"/>
          <w:szCs w:val="20"/>
          <w:color w:val="auto"/>
        </w:rPr>
        <w:tab/>
      </w:r>
      <w:r>
        <w:rPr>
          <w:rFonts w:ascii="Times New Roman" w:cs="Times New Roman" w:eastAsia="Times New Roman" w:hAnsi="Times New Roman"/>
          <w:sz w:val="18"/>
          <w:szCs w:val="18"/>
          <w:color w:val="auto"/>
        </w:rPr>
        <w:t>February 28, 2025</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CYNTHIA (CINDY)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580"/>
        <w:spacing w:after="0"/>
        <w:tabs>
          <w:tab w:leader="none" w:pos="7740" w:val="left"/>
        </w:tabs>
        <w:rPr>
          <w:sz w:val="20"/>
          <w:szCs w:val="20"/>
          <w:color w:val="auto"/>
        </w:rPr>
      </w:pPr>
      <w:r>
        <w:rPr>
          <w:rFonts w:ascii="Times New Roman" w:cs="Times New Roman" w:eastAsia="Times New Roman" w:hAnsi="Times New Roman"/>
          <w:sz w:val="18"/>
          <w:szCs w:val="18"/>
          <w:color w:val="auto"/>
        </w:rPr>
        <w:t>CYNTHIA (CINDY) DELANEY,</w:t>
      </w:r>
      <w:r>
        <w:rPr>
          <w:sz w:val="20"/>
          <w:szCs w:val="20"/>
          <w:color w:val="auto"/>
        </w:rPr>
        <w:tab/>
      </w:r>
      <w:r>
        <w:rPr>
          <w:rFonts w:ascii="Times New Roman" w:cs="Times New Roman" w:eastAsia="Times New Roman" w:hAnsi="Times New Roman"/>
          <w:sz w:val="18"/>
          <w:szCs w:val="18"/>
          <w:color w:val="auto"/>
        </w:rPr>
        <w:t>February 28, 2025</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ELIZABETH LOBOA</w:t>
      </w:r>
    </w:p>
    <w:p>
      <w:pPr>
        <w:spacing w:after="0" w:line="27" w:lineRule="exact"/>
        <w:rPr>
          <w:sz w:val="20"/>
          <w:szCs w:val="20"/>
          <w:color w:val="auto"/>
        </w:rPr>
      </w:pPr>
    </w:p>
    <w:p>
      <w:pPr>
        <w:ind w:left="1960"/>
        <w:spacing w:after="0"/>
        <w:tabs>
          <w:tab w:leader="none" w:pos="7740" w:val="left"/>
        </w:tabs>
        <w:rPr>
          <w:sz w:val="20"/>
          <w:szCs w:val="20"/>
          <w:color w:val="auto"/>
        </w:rPr>
      </w:pPr>
      <w:r>
        <w:rPr>
          <w:rFonts w:ascii="Times New Roman" w:cs="Times New Roman" w:eastAsia="Times New Roman" w:hAnsi="Times New Roman"/>
          <w:sz w:val="18"/>
          <w:szCs w:val="18"/>
          <w:color w:val="auto"/>
        </w:rPr>
        <w:t>ELIZABETH LOBOA,</w:t>
      </w:r>
      <w:r>
        <w:rPr>
          <w:sz w:val="20"/>
          <w:szCs w:val="20"/>
          <w:color w:val="auto"/>
        </w:rPr>
        <w:tab/>
      </w: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820"/>
        <w:spacing w:after="0"/>
        <w:tabs>
          <w:tab w:leader="none" w:pos="7740" w:val="left"/>
        </w:tabs>
        <w:rPr>
          <w:sz w:val="20"/>
          <w:szCs w:val="20"/>
          <w:color w:val="auto"/>
        </w:rPr>
      </w:pPr>
      <w:r>
        <w:rPr>
          <w:rFonts w:ascii="Times New Roman" w:cs="Times New Roman" w:eastAsia="Times New Roman" w:hAnsi="Times New Roman"/>
          <w:sz w:val="18"/>
          <w:szCs w:val="18"/>
          <w:color w:val="auto"/>
        </w:rPr>
        <w:t>MIN-CHU (MIKE) CHEN,</w:t>
      </w:r>
      <w:r>
        <w:rPr>
          <w:sz w:val="20"/>
          <w:szCs w:val="20"/>
          <w:color w:val="auto"/>
        </w:rPr>
        <w:tab/>
      </w:r>
      <w:r>
        <w:rPr>
          <w:rFonts w:ascii="Times New Roman" w:cs="Times New Roman" w:eastAsia="Times New Roman" w:hAnsi="Times New Roman"/>
          <w:sz w:val="18"/>
          <w:szCs w:val="18"/>
          <w:color w:val="auto"/>
        </w:rPr>
        <w:t>February 28, 2025</w:t>
      </w:r>
    </w:p>
    <w:p>
      <w:pPr>
        <w:spacing w:after="0" w:line="2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Director</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385"/>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highlight w:val="white"/>
              </w:rPr>
              <w:t>(PCAOB ID Number 248)</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F-2</w:t>
            </w:r>
          </w:p>
        </w:tc>
      </w:tr>
      <w:tr>
        <w:trPr>
          <w:trHeight w:val="20"/>
        </w:trPr>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gridSpan w:val="5"/>
          </w:tcPr>
          <w:p>
            <w:pPr>
              <w:spacing w:after="0"/>
              <w:rPr>
                <w:sz w:val="24"/>
                <w:szCs w:val="24"/>
                <w:color w:val="auto"/>
              </w:rPr>
            </w:pPr>
          </w:p>
        </w:tc>
        <w:tc>
          <w:tcPr>
            <w:tcW w:w="6460" w:type="dxa"/>
            <w:vAlign w:val="bottom"/>
            <w:gridSpan w:val="2"/>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F-4</w:t>
            </w:r>
          </w:p>
        </w:tc>
      </w:tr>
      <w:tr>
        <w:trPr>
          <w:trHeight w:val="20"/>
        </w:trPr>
        <w:tc>
          <w:tcPr>
            <w:tcW w:w="2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F-5</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(Loss)</w:t>
            </w:r>
          </w:p>
        </w:tc>
        <w:tc>
          <w:tcPr>
            <w:tcW w:w="642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F-6</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35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700" w:type="dxa"/>
            <w:vAlign w:val="bottom"/>
            <w:gridSpan w:val="2"/>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F-7</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80" w:type="dxa"/>
            <w:vAlign w:val="bottom"/>
            <w:gridSpan w:val="2"/>
          </w:tcPr>
          <w:p>
            <w:pPr>
              <w:spacing w:after="0"/>
              <w:rPr>
                <w:sz w:val="24"/>
                <w:szCs w:val="24"/>
                <w:color w:val="auto"/>
              </w:rPr>
            </w:pPr>
          </w:p>
        </w:tc>
        <w:tc>
          <w:tcPr>
            <w:tcW w:w="7120" w:type="dxa"/>
            <w:vAlign w:val="bottom"/>
            <w:gridSpan w:val="3"/>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F-8</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F-9</w:t>
            </w:r>
          </w:p>
        </w:tc>
      </w:tr>
      <w:tr>
        <w:trPr>
          <w:trHeight w:val="466"/>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F-1</w:t>
            </w:r>
          </w:p>
        </w:tc>
        <w:tc>
          <w:tcPr>
            <w:tcW w:w="1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2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left="160" w:right="2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Applied Optoelectronics, Inc. (a Delaware corporation) and subsidiaries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0" w:lineRule="exact"/>
        <w:rPr>
          <w:sz w:val="20"/>
          <w:szCs w:val="20"/>
          <w:color w:val="auto"/>
        </w:rPr>
      </w:pPr>
    </w:p>
    <w:p>
      <w:pPr>
        <w:ind w:left="160" w:right="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28, 2025 expressed an adverse opinion.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160" w:right="16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Inventory Reserve</w:t>
      </w:r>
    </w:p>
    <w:p>
      <w:pPr>
        <w:spacing w:after="0" w:line="29"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color w:val="auto"/>
        </w:rPr>
        <w:t>As described further in Note B to the financial statements, the Company assesses the valuation of its inventory on a periodic basis and provides a reserve based on several factors including products’ life span and management’s estimates of future demand. We identified the accounting for the inventory reserve as a critical audit matter.</w:t>
      </w:r>
    </w:p>
    <w:p>
      <w:pPr>
        <w:spacing w:after="0" w:line="186" w:lineRule="exact"/>
        <w:rPr>
          <w:sz w:val="20"/>
          <w:szCs w:val="20"/>
          <w:color w:val="auto"/>
        </w:rPr>
      </w:pPr>
    </w:p>
    <w:p>
      <w:pPr>
        <w:ind w:left="160" w:right="260"/>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accounting for the inventory reserve is a critical audit matter are the judgments and estimates associated with management’s determination of inventory reserve adjustments, due to the nature of the inputs and assumptions used in the process and that the reserve is subject to estimation uncertainty and requires auditor subjectivity in evaluating reasonableness. Management developed certain percentages that determine the extent of inventory reserves based on the age and quantity of the inventory. Such percentages were determined through analysis of the inventory to determine each product's lifespan, a review of historical write-offs or scrapped inventory, and an assessment by product engineers of the possibility of obsolescence for each product.</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audit procedures related to the accounting for the inventory reserve included the following:</w:t>
      </w:r>
    </w:p>
    <w:p>
      <w:pPr>
        <w:spacing w:after="0" w:line="225" w:lineRule="exact"/>
        <w:rPr>
          <w:sz w:val="20"/>
          <w:szCs w:val="20"/>
          <w:color w:val="auto"/>
        </w:rPr>
      </w:pPr>
    </w:p>
    <w:p>
      <w:pPr>
        <w:ind w:left="940" w:hanging="325"/>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qualifications and competence of management and evaluated the methodologies used to determine the inventory reserve;</w:t>
      </w:r>
    </w:p>
    <w:p>
      <w:pPr>
        <w:spacing w:after="0" w:line="27" w:lineRule="exact"/>
        <w:rPr>
          <w:rFonts w:ascii="Times New Roman" w:cs="Times New Roman" w:eastAsia="Times New Roman" w:hAnsi="Times New Roman"/>
          <w:sz w:val="18"/>
          <w:szCs w:val="18"/>
          <w:color w:val="auto"/>
        </w:rPr>
      </w:pPr>
    </w:p>
    <w:p>
      <w:pPr>
        <w:ind w:left="940" w:right="60" w:hanging="325"/>
        <w:spacing w:after="0" w:line="250"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related to the accounting for the inventory reserve, including controls relating to management’s development of the reserve; and</w:t>
      </w:r>
    </w:p>
    <w:p>
      <w:pPr>
        <w:ind w:left="940" w:right="260" w:hanging="325"/>
        <w:spacing w:after="0" w:line="250"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the underlying inventory aging report and agreed the balances to the general ledger to test for completeness and performed the following:</w:t>
      </w: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unit price and agreed such unit price to inventory details;</w:t>
      </w:r>
    </w:p>
    <w:p>
      <w:pPr>
        <w:spacing w:after="0" w:line="9" w:lineRule="exact"/>
        <w:rPr>
          <w:rFonts w:ascii="Times New Roman" w:cs="Times New Roman" w:eastAsia="Times New Roman" w:hAnsi="Times New Roman"/>
          <w:sz w:val="18"/>
          <w:szCs w:val="18"/>
          <w:color w:val="auto"/>
        </w:rPr>
      </w:pP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inventory items to re-age;</w:t>
      </w:r>
    </w:p>
    <w:p>
      <w:pPr>
        <w:spacing w:after="0" w:line="9" w:lineRule="exact"/>
        <w:rPr>
          <w:rFonts w:ascii="Times New Roman" w:cs="Times New Roman" w:eastAsia="Times New Roman" w:hAnsi="Times New Roman"/>
          <w:sz w:val="18"/>
          <w:szCs w:val="18"/>
          <w:color w:val="auto"/>
        </w:rPr>
      </w:pP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underlying source of information and the mathematical accuracy of the calculation used in the inventory reserve; and</w:t>
      </w:r>
    </w:p>
    <w:p>
      <w:pPr>
        <w:spacing w:after="0" w:line="9" w:lineRule="exact"/>
        <w:rPr>
          <w:rFonts w:ascii="Times New Roman" w:cs="Times New Roman" w:eastAsia="Times New Roman" w:hAnsi="Times New Roman"/>
          <w:sz w:val="18"/>
          <w:szCs w:val="18"/>
          <w:color w:val="auto"/>
        </w:rPr>
      </w:pP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sensitivity of the inputs utilized in the reserve calculation.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(in thousands except the par value)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67,428</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 of allowance of $1 and $3,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48,071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301,268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172,605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219,235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200,317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547,032</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389,186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104,969</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Unearned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liability - operating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23,197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170,069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134,497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76,233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operating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317,920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174,317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at $0.001 par value; no shares issued and outstanding at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80,000 shares authorized at $0.001 par value; 49,393 and 38,148 shares issued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2024 and December 31, 2023,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683,462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478,972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(451,851)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(265,116)</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214,869</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50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249,365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217,646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222,818</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187,565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158,725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189,191</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33,627</w:t>
            </w:r>
          </w:p>
        </w:tc>
      </w:tr>
      <w:tr>
        <w:trPr>
          <w:trHeight w:val="210"/>
        </w:trPr>
        <w:tc>
          <w:tcPr>
            <w:tcW w:w="29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36,244</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18,154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9,723</w:t>
            </w: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59,599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46,658</w:t>
            </w:r>
          </w:p>
        </w:tc>
      </w:tr>
      <w:tr>
        <w:trPr>
          <w:trHeight w:val="20"/>
        </w:trPr>
        <w:tc>
          <w:tcPr>
            <w:tcW w:w="12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132,708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92,625</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(70,908)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(58,998)</w:t>
            </w:r>
          </w:p>
        </w:tc>
      </w:tr>
      <w:tr>
        <w:trPr>
          <w:trHeight w:val="209"/>
        </w:trPr>
        <w:tc>
          <w:tcPr>
            <w:tcW w:w="29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(6,319)</w:t>
            </w: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(109,871)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12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(115,823)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(7,398)</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(186,731)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(66,396)</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(186,733)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(56,048)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(66,397)</w:t>
            </w:r>
          </w:p>
        </w:tc>
      </w:tr>
      <w:tr>
        <w:trPr>
          <w:trHeight w:val="197"/>
        </w:trPr>
        <w:tc>
          <w:tcPr>
            <w:tcW w:w="296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3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12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41,538,551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31,944,259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27,846,387</w:t>
            </w: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41,538,551</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31,944,259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27,846,387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43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00" w:type="dxa"/>
            <w:vAlign w:val="bottom"/>
            <w:gridSpan w:val="6"/>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(186,733)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(56,048)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(66,397)</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foreign currency translation adjustment</w:t>
            </w: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(3,523)</w:t>
            </w:r>
          </w:p>
        </w:tc>
        <w:tc>
          <w:tcPr>
            <w:tcW w:w="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(13,888)</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(190,256)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(57,256)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(80,285)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1"/>
          </w:tcPr>
          <w:p>
            <w:pPr>
              <w:ind w:left="600"/>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0" w:type="dxa"/>
            <w:vAlign w:val="bottom"/>
            <w:gridSpan w:val="1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11"/>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Years ended December 2022, 2023 and 2024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4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40" w:type="dxa"/>
            <w:vAlign w:val="bottom"/>
            <w:gridSpan w:val="5"/>
            <w:vMerge w:val="continue"/>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Borders>
              <w:top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6"/>
                <w:szCs w:val="16"/>
                <w:color w:val="auto"/>
              </w:rPr>
            </w:pP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381,143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16,071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(142,671)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254,570</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Public offering of</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net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net of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(13,888)</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(66,397)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391,526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line="250" w:lineRule="exact"/>
              <w:rPr>
                <w:sz w:val="20"/>
                <w:szCs w:val="20"/>
                <w:color w:val="auto"/>
              </w:rPr>
            </w:pPr>
            <w:r>
              <w:rPr>
                <w:rFonts w:ascii="Times New Roman" w:cs="Times New Roman" w:eastAsia="Times New Roman" w:hAnsi="Times New Roman"/>
                <w:sz w:val="15"/>
                <w:szCs w:val="15"/>
                <w:color w:val="auto"/>
              </w:rPr>
              <w:t>(209,068</w:t>
            </w:r>
            <w:r>
              <w:rPr>
                <w:rFonts w:ascii="Times New Roman" w:cs="Times New Roman" w:eastAsia="Times New Roman" w:hAnsi="Times New Roman"/>
                <w:sz w:val="28"/>
                <w:szCs w:val="28"/>
                <w:color w:val="auto"/>
                <w:vertAlign w:val="superscript"/>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184,670</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Public offering of</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net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76,498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76,506</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shares withheld for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tax</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net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withheld for employee tax</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11,884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478,972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15"/>
                <w:szCs w:val="15"/>
                <w:color w:val="auto"/>
              </w:rPr>
              <w:t>(265,116</w:t>
            </w:r>
            <w:r>
              <w:rPr>
                <w:rFonts w:ascii="Times New Roman" w:cs="Times New Roman" w:eastAsia="Times New Roman" w:hAnsi="Times New Roman"/>
                <w:sz w:val="28"/>
                <w:szCs w:val="28"/>
                <w:color w:val="auto"/>
                <w:vertAlign w:val="superscript"/>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214,869</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Public offering of</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net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196,826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196,836</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net of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(186,733)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(186,733)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683,462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(451,851)</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960" w:type="dxa"/>
            <w:vAlign w:val="bottom"/>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(186,733)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(66,397)</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Allowance of bad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obsolete inventory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20,649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23,202</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111,962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(12,749)</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7,764</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income tax</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(29,412)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(2,406)</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72,076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12,966</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income taxes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5,260</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(969)</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(69,526)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(14,022)</w:t>
            </w: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(43,406)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 and prepayment on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(50,697)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w:t>
            </w: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(7,336)</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 borrowing</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48,676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143,261</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(44,778)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(131,030)</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45,666</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(40,168)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(40,573)</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on issuance convertible Notes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Process from issuance of convertible senior notes, net of debt issuance cost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83,661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financing lease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Payments of tax withholding on behalf of employees related to share-based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(4,333)</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146,293</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settlement of PSU</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142,179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10,753</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 in cash, cash equivalents and restricted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24,036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55,097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41,136</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79,133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55,097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35,587</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 accounts payable related to property and equipment additions</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198"/>
        </w:trPr>
        <w:tc>
          <w:tcPr>
            <w:tcW w:w="62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change in deposits and prepaid for equipment related to property and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additions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39"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A—ORGANIZATION AND OPERATIONS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CATV, telecom and FTTH. The Company designs and manufactures a wide range of optical communications products at varying levels of integration, from components, subassemblies and modules to complete turn-key equipment.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B—SUMMARY OF SIGNIFICANT ACCOUNTING POLICIES</w:t>
      </w:r>
    </w:p>
    <w:p>
      <w:pPr>
        <w:spacing w:after="0" w:line="22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74"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 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18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and bank acceptance notes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1—Inputs represent quoted prices in active markets for identical assets or liabilities.</w:t>
      </w:r>
    </w:p>
    <w:p>
      <w:pPr>
        <w:spacing w:after="0" w:line="225"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76" w:lineRule="exact"/>
        <w:rPr>
          <w:sz w:val="20"/>
          <w:szCs w:val="20"/>
          <w:color w:val="auto"/>
        </w:rPr>
      </w:pPr>
    </w:p>
    <w:p>
      <w:pPr>
        <w:ind w:left="660" w:right="140" w:firstLine="648"/>
        <w:spacing w:after="0" w:line="282" w:lineRule="auto"/>
        <w:rPr>
          <w:sz w:val="20"/>
          <w:szCs w:val="20"/>
          <w:color w:val="auto"/>
        </w:rPr>
      </w:pPr>
      <w:r>
        <w:rPr>
          <w:rFonts w:ascii="Times New Roman" w:cs="Times New Roman" w:eastAsia="Times New Roman" w:hAnsi="Times New Roman"/>
          <w:sz w:val="18"/>
          <w:szCs w:val="18"/>
          <w:color w:val="auto"/>
        </w:rPr>
        <w:t>Level 3—Inputs that are not observable from objective sources, such as management’s internally developed assumptions used in pricing an asset or liability.</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Assets and liabilities that are required to be fair valued on a recurring basis include money market funds, marketable securities, equity instruments and contingent consideration.</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Money market funds are valued with Level 1 inputs, using quoted market prices, and are included in cash and cash equivalents on the Company’s consolidated balance sheets.</w:t>
      </w:r>
    </w:p>
    <w:p>
      <w:pPr>
        <w:spacing w:after="0" w:line="16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of ninety days or less from the date of purchase to be cash equivalents. Cash in foreign accounts was approximately $28.5 million and $17.7 million at December 31, 2024 and 2023, respectively.</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2024, approximately $50.1 million of U.S. deposits were not covered by FDIC insurance. The Company has not experienced any losses and believes it is not exposed to any significant risk with such accounts.</w:t>
      </w:r>
    </w:p>
    <w:p>
      <w:pPr>
        <w:spacing w:after="0" w:line="17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Restricted cash includes guarantee deposits for customs duties and deposits as collateral in order to secure bank acceptance notes issued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vendors.</w:t>
      </w:r>
    </w:p>
    <w:p>
      <w:pPr>
        <w:spacing w:after="0" w:line="20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Receivable/Allowance for Doubtful Accounts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its accounts receivable at the net amount that it estimates to be collectible. We have established an allowance for credit losses to estimate the risk of loss associated with our accounts receivable balances. The Company estimates its allowance for the credit losses based on historical collection, the age of outstanding receivables of the customer, existing economic conditions and reasonable forecasts. Different assumptions or changes in economic circumstances could result in changes to the allowance.</w:t>
      </w:r>
    </w:p>
    <w:p>
      <w:pPr>
        <w:spacing w:after="0" w:line="17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Credit Risk and Significant Customers</w:t>
      </w:r>
    </w:p>
    <w:p>
      <w:pPr>
        <w:spacing w:after="0" w:line="22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62"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2024, 2023 and 2022, its top five customers represented 92.9%,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85.6% and 78.2% of its revenue, respectively. In 2024, Microsoft, Digicomm and Oracle represented 43.7%, 35.1% and 12.4% of its revenue,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Microsoft, ATX and Digicomm represented 46.6%, 15.6% and 11.3% of its revenue, respectively.</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five largest receivable balances for customers represented an aggregate of 95.5% and 75.4% of total accounts receivable at December 31, 2024 and 2023, respectively. As of December 31, 2024, Digicomm represented 66.6% of total accounts receivable and Microsoft represented 16.8% of total accounts receivable. As of December 31, 2023, Digicomm represented 35.2% of total accounts receivable and ATX represented 21.4% of total accounts receivable. No other customer represented greater than ten percent of revenue in 2024 or 2023 had greater than ten percent of total accounts receivable at December 31, 2024 or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(average-cost method) or net realizable value. Work in process and finished goods includes materials, labor and allocated overhead. The Company assesses the valuation of its inventory on a periodic basis and provides write-offs for the value of estimated excess and obsolete inventory based on estimates of future demand. Inventory reserves are recorded to account for the excess and obsolete inventory combined with the lower of cost or net realizable value assessments. To develop the reserve, the Company developed certain percentages that determine the extent of inventory reserve adjustments based on the age of the inventory. Such percentages were determined through analysis of the inventory to determine each product's lifespan, a review historical write-offs or scrapped inventory, and an assessment by product engineers of the possibility of obsolescence for each product.</w:t>
      </w:r>
    </w:p>
    <w:p>
      <w:pPr>
        <w:spacing w:after="0" w:line="18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Useful lives (in years)</w:t>
            </w:r>
          </w:p>
        </w:tc>
      </w:tr>
      <w:tr>
        <w:trPr>
          <w:trHeight w:val="209"/>
        </w:trPr>
        <w:tc>
          <w:tcPr>
            <w:tcW w:w="5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20 - 42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2</w:t>
            </w: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w:t>
            </w: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w:t>
            </w: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w:t>
            </w:r>
          </w:p>
        </w:tc>
        <w:tc>
          <w:tcPr>
            <w:tcW w:w="100" w:type="dxa"/>
            <w:vAlign w:val="bottom"/>
            <w:shd w:val="clear" w:color="auto" w:fill="CCEEFF"/>
          </w:tcPr>
          <w:p>
            <w:pPr>
              <w:spacing w:after="0"/>
              <w:rPr>
                <w:sz w:val="18"/>
                <w:szCs w:val="18"/>
                <w:color w:val="auto"/>
              </w:rPr>
            </w:pPr>
          </w:p>
        </w:tc>
      </w:tr>
      <w:tr>
        <w:trPr>
          <w:trHeight w:val="198"/>
        </w:trPr>
        <w:tc>
          <w:tcPr>
            <w:tcW w:w="5400" w:type="dxa"/>
            <w:vAlign w:val="bottom"/>
          </w:tcPr>
          <w:p>
            <w:pPr>
              <w:spacing w:after="0"/>
              <w:rPr>
                <w:sz w:val="17"/>
                <w:szCs w:val="17"/>
                <w:color w:val="auto"/>
              </w:rPr>
            </w:pPr>
          </w:p>
        </w:tc>
        <w:tc>
          <w:tcPr>
            <w:tcW w:w="58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shorter of the life of the applicable lease or the useful life of the</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improvement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5</w:t>
            </w: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7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consist of intellectual property that is stated at cost less accumulated amortization. As of December 31, 2024, the Company had 335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Long-Lived Assets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Accounting Standards Codification (“ASC”) 360,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Equipment</w:t>
      </w:r>
      <w:r>
        <w:rPr>
          <w:rFonts w:ascii="Times New Roman" w:cs="Times New Roman" w:eastAsia="Times New Roman" w:hAnsi="Times New Roman"/>
          <w:sz w:val="18"/>
          <w:szCs w:val="18"/>
          <w:color w:val="auto"/>
        </w:rPr>
        <w:t>, (“ASC 360”). Long-lived assets consist primarily of property, plant and equipment, right-of-use assets and intangible assets.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2024, 2023 or 2022.</w:t>
      </w:r>
    </w:p>
    <w:p>
      <w:pPr>
        <w:spacing w:after="0" w:line="190"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(“ASC 220”) establishes rules for reporting and display of comprehensive income (loss) and its components.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220 requires that unrealized gains and losses on the Company’s foreign currency translation adjustments be included in comprehensive income (loss).</w:t>
      </w:r>
    </w:p>
    <w:p>
      <w:pPr>
        <w:spacing w:after="0" w:line="20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Share-based Compensation</w:t>
      </w:r>
    </w:p>
    <w:p>
      <w:pPr>
        <w:spacing w:after="0" w:line="22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Share-based compensation expense is recognized based on the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7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derives revenue from the manufacture and sale of fiber optic networking products. Revenue recognition follows the criteria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Specifically, the Company recognizes revenue when obligations under the terms of a contract with its customer are satisfied; generally this occurs with the transfer of control of products or services at point of time or over times. When the Company receives payments and its obligations to customers are not satisfied, the Company will recognize the payment as Unearned Revenue from customers.</w:t>
      </w:r>
    </w:p>
    <w:p>
      <w:pPr>
        <w:spacing w:after="0" w:line="17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in which case the cost of sales will increase in the future. As of December 31, 2024 and 2023, the amount of accrued warranty was $0.28 million and $0.25 million, respectively. Changes in products warranty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0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1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17.</w:t>
            </w:r>
          </w:p>
        </w:tc>
        <w:tc>
          <w:tcPr>
            <w:tcW w:w="7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Advertising Costs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75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operations as incurred and amounted to approximately $1.1 million, $0.8 million, and $0.8 million for the years ended December 31, 2024, 2023 and 2022,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The Company receives reimbursement for certain development costs, which offset with expense up to the reimbursable amount.</w:t>
      </w:r>
    </w:p>
    <w:p>
      <w:pPr>
        <w:spacing w:after="0" w:line="160"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jc w:val="both"/>
        <w:ind w:right="600"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w:t>
      </w:r>
    </w:p>
    <w:p>
      <w:pPr>
        <w:spacing w:after="0" w:line="16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8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spacing w:after="0" w:line="180" w:lineRule="exact"/>
        <w:rPr>
          <w:sz w:val="20"/>
          <w:szCs w:val="20"/>
          <w:color w:val="auto"/>
        </w:rPr>
      </w:pPr>
    </w:p>
    <w:p>
      <w:pPr>
        <w:jc w:val="both"/>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Intangible Low-taxed Income Provisions ("GILTI")</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One of the base broadening provisions of the U.S. Tax Cuts and Jobs Act of 2017 (“the 2017 Act”) is the global intangible low-taxed income provisions ("GILTI"). In accordance with guidance issued by the FASB staff, the Company has adopted an accounting policy to treat any GILTI inclusions as a period cost if and when incurred. Thus, for the fiscal years ended December 31, 2024, December 31, 2023, and December 31, 2022, deferred taxes were computed without consideration of the possible future impact of the GILTI provisions, and any current year impact was recorded as a part of the current portion of income tax expense.</w:t>
      </w:r>
    </w:p>
    <w:p>
      <w:pPr>
        <w:spacing w:after="0" w:line="18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Accounting Pronouncements Adopted in 2024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expands annual and interim disclosure requirements for reportable segments, mainly through enhanced disclosures about significant segment expenses. We adopted this ASU for our 2024 annual period with the comparable periods updated to meet additional disclosure requirements. See Note R for additional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Pronouncements Yet to be Adopted</w:t>
      </w:r>
    </w:p>
    <w:p>
      <w:pPr>
        <w:spacing w:after="0" w:line="229" w:lineRule="exact"/>
        <w:rPr>
          <w:sz w:val="20"/>
          <w:szCs w:val="20"/>
          <w:color w:val="auto"/>
        </w:rPr>
      </w:pPr>
    </w:p>
    <w:p>
      <w:pPr>
        <w:jc w:val="both"/>
        <w:ind w:left="16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Reporting Comprehensive Income/Expense Disaggregation Disclosures (Subtopic 220-40)" to improve the disclosures about an entity's expenses. Upon adoption, we will be required to disclose in the notes a disaggregation of certain expense categories included within the expense captions of the income statement. The standard is effective for our 2027 annual period, and our interim periods beginning in 2028. The Company is currently evaluating the impact of the new standard will have on its financial statements and related disclosures.</w:t>
      </w:r>
    </w:p>
    <w:p>
      <w:pPr>
        <w:spacing w:after="0" w:line="183" w:lineRule="exact"/>
        <w:rPr>
          <w:sz w:val="20"/>
          <w:szCs w:val="20"/>
          <w:color w:val="auto"/>
        </w:rPr>
      </w:pPr>
    </w:p>
    <w:p>
      <w:pPr>
        <w:jc w:val="both"/>
        <w:ind w:left="160"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This guidance is effective for annual periods beginning after December 15, 2024, with early adoption permitted. The adoption is expected to enhance the Company's Notes to the Consolidated Financial Statements. The Company is currently evaluating the impact the new standard will have on its financial statements and related disclosure.</w:t>
      </w:r>
    </w:p>
    <w:p>
      <w:pPr>
        <w:spacing w:after="0" w:line="183" w:lineRule="exact"/>
        <w:rPr>
          <w:sz w:val="20"/>
          <w:szCs w:val="20"/>
          <w:color w:val="auto"/>
        </w:rPr>
      </w:pPr>
    </w:p>
    <w:p>
      <w:pPr>
        <w:jc w:val="both"/>
        <w:ind w:left="160" w:firstLine="486"/>
        <w:spacing w:after="0" w:line="257" w:lineRule="auto"/>
        <w:rPr>
          <w:sz w:val="20"/>
          <w:szCs w:val="20"/>
          <w:color w:val="auto"/>
        </w:rPr>
      </w:pPr>
      <w:r>
        <w:rPr>
          <w:rFonts w:ascii="Times New Roman" w:cs="Times New Roman" w:eastAsia="Times New Roman" w:hAnsi="Times New Roman"/>
          <w:sz w:val="18"/>
          <w:szCs w:val="18"/>
          <w:color w:val="auto"/>
        </w:rPr>
        <w:t>In October 2023, the FASB issued ASU 2023-06 "Codification Amendments in Response to the SEC’s Disclosure Update and Simplification Initiative", which amends U.S. GAAP to include 14 disclosure requirements that are currently required under SEC Regulation S-X or Regulation S-K. Each amendment will be effective on the date on which the SEC removes the related disclosure requirement from SEC Regulation S-X or Regulation S-</w:t>
      </w:r>
    </w:p>
    <w:p>
      <w:pPr>
        <w:spacing w:after="0" w:line="1" w:lineRule="exact"/>
        <w:rPr>
          <w:sz w:val="20"/>
          <w:szCs w:val="20"/>
          <w:color w:val="auto"/>
        </w:rPr>
      </w:pPr>
    </w:p>
    <w:p>
      <w:pPr>
        <w:ind w:left="160" w:hanging="8"/>
        <w:spacing w:after="0" w:line="260" w:lineRule="auto"/>
        <w:tabs>
          <w:tab w:leader="none" w:pos="4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evaluated the new standard and determined that it will have no material impact on its financial statements or disclosures since the Company is already subject to the relevant SEC disclosure requirements.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Company derives revenue from the manufacture and sale of fiber optic networking products.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 Identify the contract with a customer</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 Identify the performance obligations in the contract</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 Determine the transaction price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for each performance obligation. The Company determines standalone selling price based on the price at which the performance obligation is sold separately.</w:t>
      </w:r>
    </w:p>
    <w:p>
      <w:pPr>
        <w:spacing w:after="0" w:line="18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 cases where there is no directly observable stand alone selling price, allowable estimation methods are used. For example for contracts involving non-recurring engineering, an expected cost plus margin approach has typically been adopted to estimate the standalone selling price.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 Recognize revenue when or as the Company satisfies a performance obligation</w:t>
      </w:r>
      <w:r>
        <w:rPr>
          <w:sz w:val="1"/>
          <w:szCs w:val="1"/>
          <w:color w:val="auto"/>
        </w:rPr>
        <w:drawing>
          <wp:inline distT="0" distB="0" distL="0" distR="0">
            <wp:extent cx="34290"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7">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product sales, the Company generally satisfies performance obligations at a point in time, most often upon shipment of a product to the customer or delivery of the product to the customer. In the case of such point in time satisfaction of a performance obligation, revenue is recognized based on the transaction price at the time the related performance obligation is satisfied.</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service obligations, the Company generally recognizes revenue over time. The most common type of service obligation encountered by the Company is an arrangement involving non-recurring engineering in which service revenue is typically recognized over time under either the time and material practical expedient, as the Company has a right to consideration from a customer, in an amount that corresponds directly with the value to the customer of the Company's performance completed to date, or under the output method, for example using contract-specific milestones or other objective measures of progress.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As of December 31, 2024, and 2023, the Company had Unearned Revenue of $0 and $1.8 million, respectively. The following table reflects the changes in Unearned Revenue in our consolidated financial statements for the periods indicated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beginning of period</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Unearned Revenue</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end of period</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0"/>
        </w:trPr>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of where the product is manufactured. For additional information on the disaggregated revenues by geographical region, see Note R, "Segments and Geographic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87,713</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118,169</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148,525</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141,213</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77,094</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249,365</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222,818</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229"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29"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LEASES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8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October 7, 2024, Prime World International Holdings Ltd. (“Prime World”), a wholly owned subsidiary of Applied Optoelectronics, Inc., entered into a Land and Building Lease Agreement (the “Lease Agreement”) with San Ho Enterprise Co., Ltd. (the “Lessor”), under which Prime World will lease approximately 3,537 square meters of two adjoining parcels of land, in New Taipei City. The lease also includes a building on these parcels, totaling approximately 3,406 square meters. The lease term is for fifteen years, commencing on December 1, 2024, and ending on November 30, 2039. A two-month renovation period from October 1 to November 30, 2024, will precede the lease term, during which no rent will be charged by the Lessor. During the lease term, the monthly rent will increase by three percent (3%) every three years.</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76"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Lease expense is included under general and administrative expenses and was $1.4 million, $1.2 million, and $1.2 million, respectively, for the years ended December 31, 2024, 2023 and 2022, respectively. The Components of lease expense were as follows for the periods indicated (in thousands):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expense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are as follows for the future one-year periods ending December 31,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5,131</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12,264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12,264</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(1,843)</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10.81</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financing leases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financing leases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459"/>
        </w:trPr>
        <w:tc>
          <w:tcPr>
            <w:tcW w:w="1120" w:type="dxa"/>
            <w:vAlign w:val="bottom"/>
          </w:tcPr>
          <w:p>
            <w:pPr>
              <w:spacing w:after="0"/>
              <w:rPr>
                <w:sz w:val="24"/>
                <w:szCs w:val="24"/>
                <w:color w:val="auto"/>
              </w:rPr>
            </w:pPr>
          </w:p>
        </w:tc>
        <w:tc>
          <w:tcPr>
            <w:tcW w:w="56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F- 16</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9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E—CASH, CASH EQUIVALENTS AND RESTRICTED CASH</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 that sum to the total of the same such amounts in the statement of cash flows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Restricted cash includes guarantee deposits for customs duties, China government subsidy fund, and deposits as collateral in order to secure bank acceptance notes issued to vendors, see Note K for details. As of December 31, 2024 and 2023, there was $8.5 million and $6.5 million of restricted cash required for bank acceptance notes issued to vendors, respectively. There were both $2.5 million certificates of deposit with original maturity of 90 days or less associated with credit facilities with a bank in China as of December 31, 2024 and 2023. There were both $0.7 million guarantee deposits for customs duties as of December 31, 2024 and December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F—EARNINGS PER SHARE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and restricted stock units outstanding during the period. Convertible senior notes are included in the denominator as if it were converted at the beginning of the period or, if issued during the period, at the time of issuance. In periods with net losses, normally dilutive shares become anti-dilutive. Therefore, basic and dilutive earnings per share are the same.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(186,733)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(66,397)</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27,846</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options and restricted stock units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27,846</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bl>
    <w:p>
      <w:pPr>
        <w:spacing w:after="0" w:line="17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diluted net loss per share as their effect would have been antidilutive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Employee stock options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for Notes 2026</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for Notes 2030</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Total antidilutive shares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left="-899"/>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19685</wp:posOffset>
            </wp:positionV>
            <wp:extent cx="20485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 w:lineRule="exact"/>
        <w:rPr>
          <w:sz w:val="20"/>
          <w:szCs w:val="20"/>
          <w:color w:val="auto"/>
        </w:rPr>
      </w:pPr>
    </w:p>
    <w:p>
      <w:pPr>
        <w:ind w:left="2480"/>
        <w:spacing w:after="0"/>
        <w:tabs>
          <w:tab w:leader="none" w:pos="41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22860</wp:posOffset>
            </wp:positionV>
            <wp:extent cx="64122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tbl>
      <w:tblPr>
        <w:tblLayout w:type="fixed"/>
        <w:tblInd w:w="1920" w:type="dxa"/>
        <w:tblCellMar>
          <w:top w:w="0" w:type="dxa"/>
          <w:left w:w="0" w:type="dxa"/>
          <w:bottom w:w="0" w:type="dxa"/>
          <w:right w:w="0" w:type="dxa"/>
        </w:tblCellMar>
      </w:tblP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5,264</w:t>
            </w:r>
          </w:p>
        </w:tc>
      </w:tr>
      <w:tr>
        <w:trPr>
          <w:trHeight w:val="234"/>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-454025</wp:posOffset>
            </wp:positionV>
            <wp:extent cx="641223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-161925</wp:posOffset>
            </wp:positionV>
            <wp:extent cx="641223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20" w:space="720"/>
            <w:col w:w="580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and 2023, inventories consisted of the following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Work in process and sub-assemblies</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Allowance for Inventory</w:t>
      </w:r>
    </w:p>
    <w:p>
      <w:pPr>
        <w:spacing w:after="0" w:line="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50,379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22,128</w:t>
            </w:r>
          </w:p>
        </w:tc>
        <w:tc>
          <w:tcPr>
            <w:tcW w:w="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35,716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33,792</w:t>
            </w: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22,452</w:t>
            </w:r>
          </w:p>
        </w:tc>
      </w:tr>
      <w:tr>
        <w:trPr>
          <w:trHeight w:val="234"/>
        </w:trPr>
        <w:tc>
          <w:tcPr>
            <w:tcW w:w="34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(15,251)</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(14,506)</w:t>
            </w: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88,135</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63,866</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-719455</wp:posOffset>
            </wp:positionV>
            <wp:extent cx="60604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-445135</wp:posOffset>
            </wp:positionV>
            <wp:extent cx="606044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-162560</wp:posOffset>
            </wp:positionV>
            <wp:extent cx="606044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For the years 2024, 2023 and 2022, the inventory reserve adjustment expensed for inventory was $3.4 million, $8.7 million and $4.9 million, respectively. For the years December 31, 2024, 2023 and 2022, the direct inventory write-offs related to scrap, discontinued products, and damaged inventories were $3.7 million, $10.6 million and $10.4 million,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H—PROPERTY, PLANT AND EQUIPMENT</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363,363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(194,086)</w:t>
            </w:r>
          </w:p>
        </w:tc>
      </w:tr>
      <w:tr>
        <w:trPr>
          <w:trHeight w:val="210"/>
        </w:trPr>
        <w:tc>
          <w:tcPr>
            <w:tcW w:w="80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200,317</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depreciation expense of property, plant and equipment was $20.2 million, $19.7 million and $22.6 million, respectively. For the years December 31, 2024, 2023 and 2022, the capitalized interest was $0 million, $0 million and $0.2 million, respectively.</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Company concluded that its continued loss history constitutes a triggering event as described in ASC 360-10-35-21,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performed a recoverability test and concluded that future undiscounted cash flows exceed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Company’s long-lived assets and therefore no impairment charge was recorded.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10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(6,411)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9,502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9,640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amortization expense for intangible assets, included in general and administrative expenses on the income statement, was $0.4 million, $0.7 million and $0.6 million, respectively. The remaining weighted average amortization period for intangible assets is approximately 9 years.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 December 31, 2024, future amortization expense for intangible assets is estimated to be (in thousands):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J—FAIR VALUE OF FINANCIAL INSTRUMENTS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as of December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67,428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67,428</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11,705</w:t>
            </w:r>
          </w:p>
        </w:tc>
      </w:tr>
      <w:tr>
        <w:trPr>
          <w:trHeight w:val="20"/>
        </w:trPr>
        <w:tc>
          <w:tcPr>
            <w:tcW w:w="374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79,133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79,133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19,259</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19,259</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148,625</w:t>
            </w:r>
          </w:p>
        </w:tc>
      </w:tr>
      <w:tr>
        <w:trPr>
          <w:trHeight w:val="20"/>
        </w:trPr>
        <w:tc>
          <w:tcPr>
            <w:tcW w:w="374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167,884</w:t>
            </w:r>
          </w:p>
        </w:tc>
      </w:tr>
      <w:tr>
        <w:trPr>
          <w:trHeight w:val="20"/>
        </w:trPr>
        <w:tc>
          <w:tcPr>
            <w:tcW w:w="3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23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F- 19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as of December 31, 2023(in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55,316</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76,519</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76,519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92,001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1"/>
        </w:trPr>
        <w:tc>
          <w:tcPr>
            <w:tcW w:w="8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Revolving line of credit with a China bank up to $23.6 million with interest from 4.00% to 4.35%, maturing</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24, 2029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 with a China bank up to $27.8 million with interest of 4.00% to 4.35%, maturing June 6, 2027</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10,589</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(23,197)</w:t>
            </w:r>
          </w:p>
        </w:tc>
      </w:tr>
      <w:tr>
        <w:trPr>
          <w:trHeight w:val="249"/>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15,482</w:t>
            </w:r>
          </w:p>
        </w:tc>
      </w:tr>
    </w:tbl>
    <w:p>
      <w:pPr>
        <w:spacing w:after="0" w:line="179" w:lineRule="exact"/>
        <w:rPr>
          <w:sz w:val="20"/>
          <w:szCs w:val="20"/>
          <w:color w:val="auto"/>
        </w:rPr>
      </w:pPr>
    </w:p>
    <w:p>
      <w:pPr>
        <w:ind w:left="5440" w:right="1580" w:hanging="4775"/>
        <w:spacing w:after="0" w:line="532" w:lineRule="auto"/>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December 31, 2024. 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May 24, 2019, the Company’s China subsidiary, Global, entered into a five-year revolving credit line agreement, totaling 180,000,000 RMB (the “SPD Credit Line”), or approximately $25.4 million, and a mortgage security agreement (the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w:t>
      </w:r>
    </w:p>
    <w:p>
      <w:pPr>
        <w:spacing w:after="0" w:line="194"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On May 24, 2024, Global renewed the SPD Credit Line for a five-year revolving credit line, totaling 170,000,000 RMB (the “Renewed SPD Credit Line”) or approximately $23.9 million at that time, and Global also entered into a mortgage contract security agreement, with SPD. Global may draw upon the Renewed SPD Credit Line on an as-needed basis between May 24, 2024 and May 24, 2029.</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$13.5 million was outstanding under the Renewed SPD Credit Line and the outstanding balance of bank acceptance notes issued to vendors was $11.3 million.</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June 7, 2022, the Company's China Subsidiary, Global, entered a security agreement with China Zheshang Bank in Ningbo City, China ("CZB") for a five-year credit line agreement, totaling 200,000,000 RMB (the "¥200M Credit Facility"), or approximately $29.9 million. Global may draw upon the ¥200M Credit Facility between June 7, 2022 and June 6, 2027 (" ¥200M Credit Period"). During the ¥200M Credit Period, Global may request to draw upon the ¥200M Credit Facility on an as-needed basis; however, draws under the ¥200M Credit Facility may 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¥200M Credit Facility will be secured by real property owned by Global and mortgaged to CZB under the terms of the Real Estate Security Agreement. On December 21, 2023, Global entered into an asset pool business cooperation agreement ("Asset Pool Agreement") and an asset pool pledge contract ("Pledge Contract") (referred to collectively as the Pledge Asset Line"), with CZB, which supplements the existing ¥200M Credit Facility. The Pledge Asset Line does not constitute a new credit line or an increase to the existing credit limits. Global may draw upon the Pledge Asset Line between December 21, 2023 and December 21, 2025 ("Asset Pool Period"). During the Asset Pool Period, Global may request to draw upon the Pledge Asset Line on an as-needed bases; however, amount of available credit under the Pledge Asset Line and approval of each draw may be reduced or declined by CZB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Pledge Asset Line will be secured by certain financial assets, including but not limited to, deposit receipts, domestic accounts receivable and electronic commercial paper. As of December 31, 2024, $13.2 million was outstanding under the ¥200M Credit Facility and the outstanding balance of bank acceptance notes issued to vendors was $7.9 million.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December 31, 2023, the Company had $24.8 million and $22.5 million of unused borrowing capacity, respectively.</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there was $8.5 million and $9.7 million of restricted cash, investments or security deposits associated with the loan facilities,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L—CONVERTIBLE SENIOR NOTES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“2024 Notes”). On December 5, 2023, the Company issued approximately $80.2 million aggregate principal amount of 5.250% convertible senior notes due 2026 (the "2026 Notes"), and on the same day consummated various separate, privately negotiated exchange agreements with certain holders of its 2024 Notes to exchange or repurchase approximately $80.2 million principal amount of the 2024 Notes for aggregate consideration consisting of approximately $81.1 million in cash, which included accrued interest on the 2024 Notes, and approximately 466,368 shares of the Company's common stock, par value $0.001 per share. The Company paid off the remaining $0.29 million of the 2024 Notes on March 15,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2026 Notes bears interest at a rate of 5.250% per year and will pay interest semi-annually in arrears on June 15 and December 15 of each year, beginning on June 15, 2024. The 2026 Notes will mature on December 15, 2026, unless earlier converted, redeemed or repurchased in accordance with their terms.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December 18, 2024, the Company entered into exchange agreements with certain holders of the 2026 Notes to exchange approximately $76.7 million principal amount of the 2026 Notes for aggregate consideration consisting of (i) $125.0 million aggregate principal amount of 2.75% Convertible Senior Notes due 2030 (the “2030 Notes”), (ii) 1,487,874 shares of the Company’s common stock, par value $0.001 per share (the "Common Stock") and</w:t>
      </w:r>
    </w:p>
    <w:p>
      <w:pPr>
        <w:spacing w:after="0" w:line="1" w:lineRule="exact"/>
        <w:rPr>
          <w:sz w:val="20"/>
          <w:szCs w:val="20"/>
          <w:color w:val="auto"/>
        </w:rPr>
      </w:pPr>
    </w:p>
    <w:p>
      <w:pPr>
        <w:jc w:val="both"/>
        <w:ind w:firstLine="8"/>
        <w:spacing w:after="0" w:line="255"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$89.6 thousands of cash in aggregate, representing accrued and unpaid interest on the 2026 Notes and the value of fractional shares of Common Stock (such transactions, collectively, the "Exchanges"). There was $3.5 million principal amount for the 2026 Notes remaining. The Exchanges closed on December 23, 2024. We recorded a debt extinguishment loss of $112.0 million due to these Exchanges.</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2030 Notes were issued pursuant to an Indenture, dated as of December 23, 2024 (the "Indenture"), between the Company, as issuer, and Computershare Trust Company, N.A., as trustee. The 2030 Notes bear interest at a rate of 2.750% per year and will pay interest semiannually in arrears on January 15 and July 15 of each year, beginning on July 15, 2025. The 2030 Notes will mature on January 15, 2030, unless earlier converted, redeemed or repurchased in accordance with their terms.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2026 Notes and the 2030 Notes for the periods indicated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Amount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7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carrying amount for 2026 Notes</w:t>
            </w: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80" w:type="dxa"/>
            <w:vAlign w:val="bottom"/>
            <w:tcBorders>
              <w:top w:val="single" w:sz="8" w:color="CCEEFF"/>
            </w:tcBorders>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 Notes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Amount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upon issuance</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10,416</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(4,336)</w:t>
            </w:r>
          </w:p>
        </w:tc>
      </w:tr>
      <w:tr>
        <w:trPr>
          <w:trHeight w:val="20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for 2030 Notes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carry amount</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134,497</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780"/>
        <w:spacing w:after="0" w:line="254" w:lineRule="auto"/>
        <w:rPr>
          <w:sz w:val="20"/>
          <w:szCs w:val="20"/>
          <w:color w:val="auto"/>
        </w:rPr>
      </w:pPr>
      <w:r>
        <w:rPr>
          <w:rFonts w:ascii="Times New Roman" w:cs="Times New Roman" w:eastAsia="Times New Roman" w:hAnsi="Times New Roman"/>
          <w:sz w:val="18"/>
          <w:szCs w:val="18"/>
          <w:color w:val="auto"/>
        </w:rPr>
        <w:t>The conversion rate for the 2030 Notes is 23.0884 shares of Common Stock per $1,000 principal amount of the 2030 Notes (which is equivalent to a conversion price of approximately $43.31 per share of Common Stock, representing a premium of approximately 27.50% over the last reported sale price of the Common Stock on December 18, 2024 of $33.97 per share), subject to adjustment. Before October 15, 2029, holders of the 2030 Notes will have the right to convert their 2030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October 15, 2029, holders of the 2030 Notes may convert their 2030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spacing w:after="0" w:line="188" w:lineRule="exact"/>
        <w:rPr>
          <w:sz w:val="20"/>
          <w:szCs w:val="20"/>
          <w:color w:val="auto"/>
        </w:rPr>
      </w:pPr>
    </w:p>
    <w:p>
      <w:pPr>
        <w:ind w:firstLine="738"/>
        <w:spacing w:after="0" w:line="256" w:lineRule="auto"/>
        <w:rPr>
          <w:sz w:val="20"/>
          <w:szCs w:val="20"/>
          <w:color w:val="auto"/>
        </w:rPr>
      </w:pPr>
      <w:r>
        <w:rPr>
          <w:rFonts w:ascii="Times New Roman" w:cs="Times New Roman" w:eastAsia="Times New Roman" w:hAnsi="Times New Roman"/>
          <w:sz w:val="18"/>
          <w:szCs w:val="18"/>
          <w:color w:val="auto"/>
        </w:rPr>
        <w:t>The 2030 Notes will be redeemable, in whole or in part (subject to certain limitations described in the Indenture), at the Company’s option at any time, and from time to time, on or after January 15, 2027 and on or before the 40th scheduled trading day immediately before the maturity date, at a cash redemption price equal to the principal amount of the 2030 Notes to be redeemed, plus accrued and unpaid interest, if any, to, but excluding, the redemption date, but only if the last reported sale price per share of the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it sends such notice.</w:t>
      </w:r>
    </w:p>
    <w:p>
      <w:pPr>
        <w:spacing w:after="0" w:line="187" w:lineRule="exact"/>
        <w:rPr>
          <w:sz w:val="20"/>
          <w:szCs w:val="20"/>
          <w:color w:val="auto"/>
        </w:rPr>
      </w:pPr>
    </w:p>
    <w:p>
      <w:pPr>
        <w:ind w:right="200" w:firstLine="864"/>
        <w:spacing w:after="0" w:line="258" w:lineRule="auto"/>
        <w:rPr>
          <w:sz w:val="20"/>
          <w:szCs w:val="20"/>
          <w:color w:val="auto"/>
        </w:rPr>
      </w:pPr>
      <w:r>
        <w:rPr>
          <w:rFonts w:ascii="Times New Roman" w:cs="Times New Roman" w:eastAsia="Times New Roman" w:hAnsi="Times New Roman"/>
          <w:sz w:val="18"/>
          <w:szCs w:val="18"/>
          <w:color w:val="auto"/>
        </w:rPr>
        <w:t>In addition, the 2030 Notes will be redeemable, in whole or in part, at the Company’s option at any time, and from time to time, on or before the 40th scheduled trading day immediately before the maturity date, at a cash redemption price equal to the principal amount of the 2030 Notes to be redeemed, plus accrued and unpaid interest, if any, to, but excluding, the redemption date (subject to the right of a holder of 2030 Notes as of the close of business on a record date to receive the related interest payment on the corresponding interest payment date), if the “Specified Divestiture” (as defined in the Indenture) is completed.</w:t>
      </w:r>
    </w:p>
    <w:p>
      <w:pPr>
        <w:spacing w:after="0" w:line="183" w:lineRule="exact"/>
        <w:rPr>
          <w:sz w:val="20"/>
          <w:szCs w:val="20"/>
          <w:color w:val="auto"/>
        </w:rPr>
      </w:pPr>
    </w:p>
    <w:p>
      <w:pPr>
        <w:ind w:right="180" w:firstLine="864"/>
        <w:spacing w:after="0" w:line="261" w:lineRule="auto"/>
        <w:rPr>
          <w:sz w:val="20"/>
          <w:szCs w:val="20"/>
          <w:color w:val="auto"/>
        </w:rPr>
      </w:pPr>
      <w:r>
        <w:rPr>
          <w:rFonts w:ascii="Times New Roman" w:cs="Times New Roman" w:eastAsia="Times New Roman" w:hAnsi="Times New Roman"/>
          <w:sz w:val="18"/>
          <w:szCs w:val="18"/>
          <w:color w:val="auto"/>
        </w:rPr>
        <w:t>Calling any 2030 Note for redemption will constitute a “Make-Whole Fundamental Change” (as defined in the Indenture) with respect to that 2030 Note, in which case the conversion rate applicable to the conversion of that 2030 Note will be increased in certain circumstances if i t is</w:t>
      </w:r>
    </w:p>
    <w:p>
      <w:pPr>
        <w:ind w:left="880"/>
        <w:spacing w:after="0"/>
        <w:rPr>
          <w:sz w:val="20"/>
          <w:szCs w:val="20"/>
          <w:color w:val="auto"/>
        </w:rPr>
      </w:pPr>
      <w:r>
        <w:rPr>
          <w:rFonts w:ascii="Times New Roman" w:cs="Times New Roman" w:eastAsia="Times New Roman" w:hAnsi="Times New Roman"/>
          <w:sz w:val="18"/>
          <w:szCs w:val="18"/>
          <w:color w:val="auto"/>
        </w:rPr>
        <w:t>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it is called for redemption.</w:t>
      </w:r>
    </w:p>
    <w:p>
      <w:pPr>
        <w:spacing w:after="0" w:line="207"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In addition, if the Specified Divestiture is completed, then unless the Company has previously elected to redeem all of the 2030 Notes, each holder of 2030 Notes will have the right to require the Company to repurchase its 2030 Notes for cash on a date of the Company’s choosing, which must be a business day that is no more than 35, nor less than 20, business days after the date the Company’s sends the related notice of Specified Divestiture. The repurchase price for a note tendered for such repurchase will be equal to the principal amount of the 2030 Notes to be repurchased, plus accrued and unpaid interest, if any, to, but excluding, the repurchase date (subject to the right of a holder of 2030 Notes as of the close of business on a record date to receive the related interest payment on the corresponding interest payment date).</w:t>
      </w:r>
    </w:p>
    <w:p>
      <w:pPr>
        <w:sectPr>
          <w:pgSz w:w="11900" w:h="16915" w:orient="portrait"/>
          <w:cols w:equalWidth="0" w:num="1">
            <w:col w:w="11240"/>
          </w:cols>
          <w:pgMar w:left="320" w:top="121" w:right="339" w:bottom="0" w:gutter="0" w:footer="0" w:header="0"/>
        </w:sectPr>
      </w:pPr>
    </w:p>
    <w:bookmarkStart w:id="84" w:name="page85"/>
    <w:bookmarkEnd w:id="84"/>
    <w:p>
      <w:pPr>
        <w:jc w:val="both"/>
        <w:ind w:right="60" w:firstLine="810"/>
        <w:spacing w:after="0" w:line="266" w:lineRule="auto"/>
        <w:rPr>
          <w:sz w:val="20"/>
          <w:szCs w:val="20"/>
          <w:color w:val="auto"/>
        </w:rPr>
      </w:pPr>
      <w:r>
        <w:rPr>
          <w:rFonts w:ascii="Times New Roman" w:cs="Times New Roman" w:eastAsia="Times New Roman" w:hAnsi="Times New Roman"/>
          <w:sz w:val="18"/>
          <w:szCs w:val="18"/>
          <w:color w:val="auto"/>
        </w:rPr>
        <w:t>Moreover, if the Company undergoes a fundamental change, as described in the Indenture, holders of the 2030 Notes may require the Company to repurchase for cash all or part of their 2030 Notes at a repurchase price equal to 100% of the principal amount of the 2030 Notes to be repurchased, plus accrued and unpaid interest to, but excluding, the required repurchase date.</w:t>
      </w:r>
    </w:p>
    <w:p>
      <w:pPr>
        <w:spacing w:after="0" w:line="176"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Additionally, the 2030 Notes are subject to customary events of default. The 2030 Notes do not restrict the Company’s ability to incur debt or liens. No sinking fund is provided for the 2030 Notes. There are no guarantors of the 2030 Notes.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Accordingly, the conversion option is not required to be bifurcated from the host instrument as a derivative.</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ASC 815-15, the Company further determined that the contingent redemption features in the 2030 Notes are not required to be bifurcated from the host contract and accounted for separately. Additionally, the Company then evaluated whether the conversion feature needed to be separately accounted for as an equity component under ASC 470-20, Debt with Conversion and Other Options, and determined that the additional premium was not substantial. Accordingly, that amount was recognized as a premium on the 2030 Notes.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2026 Notes and the 2030 Notes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5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4,222</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1,466</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r>
      <w:tr>
        <w:trPr>
          <w:trHeight w:val="20"/>
        </w:trPr>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cost</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5,688</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4,888</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13,136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shipping and tariff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22,091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18,549</w:t>
            </w:r>
          </w:p>
        </w:tc>
      </w:tr>
      <w:tr>
        <w:trPr>
          <w:trHeight w:val="656"/>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N—OTHER INCOME AND EXPENSE</w:t>
            </w:r>
          </w:p>
        </w:tc>
        <w:tc>
          <w:tcPr>
            <w:tcW w:w="3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(111,962)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gain(loss)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(109,871)</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Please see the details in Note L - Convertible Senior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sources of the Company’s loss from operations before income taxes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(181,701)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(52,886)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(45,404)</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(5,030)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(20,992)</w:t>
            </w:r>
          </w:p>
        </w:tc>
      </w:tr>
      <w:tr>
        <w:trPr>
          <w:trHeight w:val="20"/>
        </w:trPr>
        <w:tc>
          <w:tcPr>
            <w:tcW w:w="3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(186,731)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(56,039)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(66,396)</w:t>
            </w:r>
          </w:p>
        </w:tc>
      </w:tr>
      <w:tr>
        <w:trPr>
          <w:trHeight w:val="432"/>
        </w:trPr>
        <w:tc>
          <w:tcPr>
            <w:tcW w:w="3820" w:type="dxa"/>
            <w:vAlign w:val="bottom"/>
          </w:tcPr>
          <w:p>
            <w:pPr>
              <w:spacing w:after="0"/>
              <w:rPr>
                <w:sz w:val="24"/>
                <w:szCs w:val="24"/>
                <w:color w:val="auto"/>
              </w:rPr>
            </w:pPr>
          </w:p>
        </w:tc>
        <w:tc>
          <w:tcPr>
            <w:tcW w:w="2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F- 23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958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 expense (benefit) for the years ended December 31, was as follows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carryforward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59,788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49,469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10,998</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14,449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8,717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5,659</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842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941</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103,572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86,507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(94,996)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(78,124)</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842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(8,383)</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Company has a U.S. net operating loss carry forward of approximately $147.3 million, $32.7 million of which, if unused, expires between 2026 and 2032 and $114.6 million of which, can be carried forward indefinitely. The Company has U.S. and state research and development tax credits of $12.5 million, which, if unused, expire between 2028 and 2043. In addition, the Company has foreign tax credits of $4.6 million, which, if unused, will expire in 2028. Utilization of U.S. net operating losses and tax credit carry forwards are subject to an annual limitation due to the ownership change limitations set forth in Internal Revenue Code Section 382. As of December 31, 2024, the Company had Taiwan net operating loss carry forwards of approximately $77.7 million and China net operating loss carry forwards of approximately $74.7 million. The carryforward period for the Taiwan net operating loss carry forwards is ten years, and the expiration period begins 2028. The carryforward period for China net operating loss carry forwards is ten years, and the expiration period begins 2029.</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2024. Such objective evidence limits the ability to consider other subjective evidence, such as our projections for future growth.</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the basis of this evaluation, as of December 31, 2024 and December 31, 2023, a valuation allowance of $95.0 million and $78.1 million,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change in the deferred tax valuation allowance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69,680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57,721</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charged to expense/(income)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8,755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charged to currency translation adjustment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(2,237)</w:t>
            </w:r>
          </w:p>
        </w:tc>
      </w:tr>
      <w:tr>
        <w:trPr>
          <w:trHeight w:val="209"/>
        </w:trPr>
        <w:tc>
          <w:tcPr>
            <w:tcW w:w="5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78,124</w:t>
            </w: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69,680</w:t>
            </w:r>
          </w:p>
        </w:tc>
        <w:tc>
          <w:tcPr>
            <w:tcW w:w="100" w:type="dxa"/>
            <w:vAlign w:val="bottom"/>
            <w:tcBorders>
              <w:top w:val="single" w:sz="8" w:color="CCEEFF"/>
            </w:tcBorders>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income tax rate of 21% for the years ended December 31, 2024, 2023 and 2022, respectively,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income tax rate follows (in thousands):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taxes at statutory rate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(39,214)</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(11,768)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(13,943)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Carryforward</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1,843</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1,809</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2,568</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differences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permanent differences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15,727</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debt</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22,602</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other</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3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in 2024 was higher than 2023 primarily due to state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in 2023 was higher than 2022 primarily due to state taxes and foreign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wholly owned subsidiary, Prime World is a tax-exempt entity under the Income Tax Code of the British Virgin Islands.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However, Global Technology, Inc. has been recognized as a National high-tech enterprise since 2008 and entitled to a 15% reduced tax rate. In December 2023, Global Technology, Inc. again renewed its National high-tech enterprise certificate and therefore extended its three-year tax preferential status  until December 2026. This tax holiday reduced its 2024, 2023 and 2022 income tax provision by approximately $0.0 million, $0.0 million, and $0.0 million, respectively. This tax holiday reduced its fiscal 2024, 2023, and 2022 diluted earnings per share by approximately $0.00, $0.00, and $0.00 respectively. Effective January 1, 2016, China expanded the scope of the National high-tech enterprise to include additional deductions for qualifying research and development.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total amount of unrecognized tax benefit was $0.2 million, $0.2 million, and $0.2 million, respectively. The following is a tabular reconciliation of the total amounts of unrecognized tax benefits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29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29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4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9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F- 25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as income tax expense. Related to the unrecognized tax benefits noted above, it has not accrued penalties or interest during 2024 as a result of net operating losses. During 2023 or 2022, the Company also accrued no penalties or interest.</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The Company’s open tax years subject to examination in the U.S. federal and state jurisdictions are 2021 through 2024.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2019 forward for various foreign jurisdictions.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on March 27, 2020. The CARES Act, among other things, includes tax provisions relating to refundable payroll tax credits, deferment of employer social security payments, net operating loss utilization and carryback periods, modifications to the net interest deduction limitations and technical corrections to tax depreciation methods for qualified improvement property (“QIP”). On December 27, 2020, the Taxpayer Certainty and Disaster Tax Relief Act of 2020 was enacted as part of the Consolidated Appropriations Act, 2021, followed by the American Rescue Plan Act on March 1, 2021. These laws, among many other provisions, expand and extend the Paycheck Protection Program (“PPP”), refundable employee retention tax credits previously made available under the CARES Act and allow a full deduction for business meals for the 2021 and 2022 tax years. During 2021, the Company recognized a tax benefit of $1.3 million on the non-taxable forgiveness of the</w:t>
      </w:r>
    </w:p>
    <w:p>
      <w:pPr>
        <w:spacing w:after="0" w:line="3" w:lineRule="exact"/>
        <w:rPr>
          <w:sz w:val="20"/>
          <w:szCs w:val="20"/>
          <w:color w:val="auto"/>
        </w:rPr>
      </w:pPr>
    </w:p>
    <w:p>
      <w:pPr>
        <w:ind w:right="520" w:firstLine="8"/>
        <w:spacing w:after="0" w:line="260" w:lineRule="auto"/>
        <w:tabs>
          <w:tab w:leader="none" w:pos="3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However, the legislation had no material impact to income tax expense on the Company’s financial statements as a result of our valuation allowance.</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9, 2022, the Creating Helpful Incentives to Produce Semiconductors and Science Act, (the “CHIPS Act”) was signed into law. Among other things, the CHIPS Act provides for refundable tax credits and certain other financial incentives to further investments in domestic manufacturing. At least a portion of our current and future capital expenditures and research and development costs will qualify for this credit, which benefits us by allowing us to net the credit received against our costs. This credit is accounted for outside of ASC 740 as a reduction to the depreciable basis of the assets used in operations and will not have an impact on our effective tax rate.</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legislation commonly known as the Inflation Reduction Act was signed into law. Among other things, the Inflation Reduction Act includes a 1% excise tax on corporate stock repurchases, applicable to repurchases after December 31, 2022, and also a new minimum tax based on book income. We do not currently expect the Inflation Reduction Act to have a material impact on our effective tax rate.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any earnings of foreign subsidiaries to be indefinitely invested outside the United States. As of December 31, 2024, however, the Company does not have any accumulated undistributed earnings generated by foreign subsidiaries and has estimated that its tax basis in foreign subsidiaries exceeds its book basis. The Company has concluded that no deferred tax asset (DTA) should be recorded because at the present time it does not expect that the temporary book-tax basis difference that would create this DTA will reverse in the foreseeable future.</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9" w:lineRule="exact"/>
        <w:rPr>
          <w:sz w:val="20"/>
          <w:szCs w:val="20"/>
          <w:color w:val="auto"/>
        </w:rPr>
      </w:pPr>
    </w:p>
    <w:p>
      <w:pPr>
        <w:ind w:left="1300" w:hanging="320"/>
        <w:spacing w:after="0"/>
        <w:tabs>
          <w:tab w:leader="none" w:pos="1300" w:val="left"/>
        </w:tabs>
        <w:numPr>
          <w:ilvl w:val="0"/>
          <w:numId w:val="57"/>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the 2013 Equity Incentive Plan ("2013 Plan")</w:t>
      </w:r>
    </w:p>
    <w:p>
      <w:pPr>
        <w:spacing w:after="0" w:line="42" w:lineRule="exact"/>
        <w:rPr>
          <w:rFonts w:ascii="MS PGothic" w:cs="MS PGothic" w:eastAsia="MS PGothic" w:hAnsi="MS PGothic"/>
          <w:sz w:val="43"/>
          <w:szCs w:val="43"/>
          <w:color w:val="auto"/>
          <w:vertAlign w:val="subscript"/>
        </w:rPr>
      </w:pPr>
    </w:p>
    <w:p>
      <w:pPr>
        <w:ind w:left="1300" w:hanging="320"/>
        <w:spacing w:after="0" w:line="183" w:lineRule="auto"/>
        <w:tabs>
          <w:tab w:leader="none" w:pos="1300" w:val="left"/>
        </w:tabs>
        <w:numPr>
          <w:ilvl w:val="0"/>
          <w:numId w:val="57"/>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the 2021 Equity Incentive Plan ("2021 Plan")</w:t>
      </w:r>
    </w:p>
    <w:p>
      <w:pPr>
        <w:spacing w:after="0" w:line="43" w:lineRule="exact"/>
        <w:rPr>
          <w:rFonts w:ascii="MS PGothic" w:cs="MS PGothic" w:eastAsia="MS PGothic" w:hAnsi="MS PGothic"/>
          <w:sz w:val="28"/>
          <w:szCs w:val="28"/>
          <w:color w:val="auto"/>
          <w:vertAlign w:val="subscript"/>
        </w:rPr>
      </w:pPr>
    </w:p>
    <w:p>
      <w:pPr>
        <w:ind w:left="1300" w:hanging="320"/>
        <w:spacing w:after="0" w:line="183" w:lineRule="auto"/>
        <w:tabs>
          <w:tab w:leader="none" w:pos="1300" w:val="left"/>
        </w:tabs>
        <w:numPr>
          <w:ilvl w:val="0"/>
          <w:numId w:val="57"/>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the 2023 Inducement Plan ("Inducement Plan")</w:t>
      </w:r>
    </w:p>
    <w:p>
      <w:pPr>
        <w:spacing w:after="0" w:line="2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2013 Plan and generally become exercisable as to 25% of the shares on the first anniversary date following the date of grant and 12.5% on a semi-annual basis thereafter. All options expire ten years after the date of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on Date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except price data)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1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3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3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no unrecognized stock option expense. For the years 2024, 2023 and 2022, the intrinsic value of options was $2 thousand, $237 thousand and zero.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Performance Based Incentive Plan</w:t>
      </w:r>
    </w:p>
    <w:p>
      <w:pPr>
        <w:spacing w:after="0" w:line="227" w:lineRule="exact"/>
        <w:rPr>
          <w:sz w:val="20"/>
          <w:szCs w:val="20"/>
          <w:color w:val="auto"/>
        </w:rPr>
      </w:pPr>
    </w:p>
    <w:p>
      <w:pPr>
        <w:ind w:right="80" w:firstLine="810"/>
        <w:spacing w:after="0" w:line="256" w:lineRule="auto"/>
        <w:rPr>
          <w:sz w:val="20"/>
          <w:szCs w:val="20"/>
          <w:color w:val="auto"/>
        </w:rPr>
      </w:pPr>
      <w:r>
        <w:rPr>
          <w:rFonts w:ascii="Times New Roman" w:cs="Times New Roman" w:eastAsia="Times New Roman" w:hAnsi="Times New Roman"/>
          <w:sz w:val="18"/>
          <w:szCs w:val="18"/>
          <w:color w:val="auto"/>
        </w:rPr>
        <w:t>Starting in 2021, certain senior executives were granted performance stock units (“PSUs”) under our 2021 Equity Incentive Plan (“2021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appliable three-year performance period. The Company recognized stock-based compensation expense for the PSUs for the twelve months ended December 31, 2024, 2023 and of $4.0 million, $3.0 million and $1.7 million, respectively.</w:t>
      </w:r>
    </w:p>
    <w:p>
      <w:pPr>
        <w:spacing w:after="0" w:line="187" w:lineRule="exact"/>
        <w:rPr>
          <w:sz w:val="20"/>
          <w:szCs w:val="20"/>
          <w:color w:val="auto"/>
        </w:rPr>
      </w:pPr>
    </w:p>
    <w:p>
      <w:pPr>
        <w:ind w:right="40" w:firstLine="810"/>
        <w:spacing w:after="0" w:line="255" w:lineRule="auto"/>
        <w:rPr>
          <w:sz w:val="20"/>
          <w:szCs w:val="20"/>
          <w:color w:val="auto"/>
        </w:rPr>
      </w:pPr>
      <w:r>
        <w:rPr>
          <w:rFonts w:ascii="Times New Roman" w:cs="Times New Roman" w:eastAsia="Times New Roman" w:hAnsi="Times New Roman"/>
          <w:sz w:val="18"/>
          <w:szCs w:val="18"/>
          <w:color w:val="auto"/>
        </w:rPr>
        <w:t>On June 12, 2024, the Compensation Committee certified the Company exceeded the maximum performance target level for each of the performance targets set for the PSUs granted in June 2021 (the “2021 PSUs”). Therefore, applicable employees were entitled to payment of the 2021 PSUs at 200% of the target shares granted under the 2021 Plan. On June 6, 2024, at the annual meeting of stockholders, a proposal to increase the number of shares of common stock for issuance under the 2021 Plan by 2,000,000 shares was not approved, and as a result, the Company did not have enough shares of common stock available for issuance to satisfy the additional shares earned above 100% of target shares of the 2021 PSUs (the “2021 Additional Shares”). In lieu of shares of common stock, the Company settled the 2021 Additional Shares in cash, resulting in an additional $2.8 million of stock-based compensation expense in the twelve months ended December 31, 2024. The following is a summary of PSU activity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81.26</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53,347</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53,347</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$5.7 million of unrecognized stock-based expense related to outstanding PSUs. This expense is expected to be recognized over 1.7 years. For the years 2024, 2023 and 2022, the weighted-average grant value for PSUs was $16.40, $8.89 and $0 per share. The intrinsic values of PSUs exercised were $ 2.9 million, $3.6 million and $0 million for the years 2024, 2023 and 2022. The total fair value of shares vested for PSUs during years 2024, 2023 and 2022 are $4.0 million, $0 and $0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are issued to employees through a vesting plan and distribution schedule after employee remains with the Company for a particular length of time. The following is a total summary of RSU activity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82,243</w:t>
            </w: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82,243</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$11.6 million of unrecognized compensation expense related to these RSUs. This expense is expected to be recognized over 2.42 years. For the years of 2024, 2023 and 2022, the weighted-average grant value for RSU are $10.73, $6.15 and $2.75 per share. The intrinsic values of RSU exercised are $ 19.0 million, $7.8 million and $2.8 million for the years of 2024, 2023 and 2022. The total fair value of shares vested for RSU during years 2024, 2023 and 2022 are $8.1 million, $8.6 million and $8.8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applicable vesting term of the award and expense is adjusted as forfeitures occur.</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years ended December 31,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11,350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6,923</w:t>
            </w:r>
          </w:p>
        </w:tc>
      </w:tr>
      <w:tr>
        <w:trPr>
          <w:trHeight w:val="110"/>
        </w:trPr>
        <w:tc>
          <w:tcPr>
            <w:tcW w:w="48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240"/>
          </w:cols>
          <w:pgMar w:left="320" w:top="121" w:right="339" w:bottom="0" w:gutter="0" w:footer="0" w:header="0"/>
        </w:sectPr>
      </w:pPr>
    </w:p>
    <w:bookmarkStart w:id="91" w:name="page92"/>
    <w:bookmarkEnd w:id="91"/>
    <w:p>
      <w:pPr>
        <w:spacing w:after="0"/>
        <w:tabs>
          <w:tab w:leader="none" w:pos="6300" w:val="left"/>
          <w:tab w:leader="none" w:pos="7260" w:val="left"/>
          <w:tab w:leader="none" w:pos="8000" w:val="left"/>
          <w:tab w:leader="none" w:pos="8960" w:val="left"/>
          <w:tab w:leader="none" w:pos="9660" w:val="left"/>
          <w:tab w:leader="none" w:pos="10700" w:val="left"/>
        </w:tabs>
        <w:rPr>
          <w:sz w:val="20"/>
          <w:szCs w:val="20"/>
          <w:color w:val="auto"/>
        </w:rPr>
      </w:pPr>
      <w:r>
        <w:rPr>
          <w:rFonts w:ascii="Times New Roman" w:cs="Times New Roman" w:eastAsia="Times New Roman" w:hAnsi="Times New Roman"/>
          <w:sz w:val="18"/>
          <w:szCs w:val="18"/>
          <w:color w:val="auto"/>
        </w:rPr>
        <w:t>Total share-based 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14,790</w:t>
        <w:tab/>
        <w:t>$</w:t>
      </w:r>
      <w:r>
        <w:rPr>
          <w:sz w:val="20"/>
          <w:szCs w:val="20"/>
          <w:color w:val="auto"/>
        </w:rPr>
        <w:tab/>
      </w:r>
      <w:r>
        <w:rPr>
          <w:rFonts w:ascii="Times New Roman" w:cs="Times New Roman" w:eastAsia="Times New Roman" w:hAnsi="Times New Roman"/>
          <w:sz w:val="18"/>
          <w:szCs w:val="18"/>
          <w:color w:val="auto"/>
        </w:rPr>
        <w:t>11,884</w:t>
        <w:tab/>
        <w:t>$</w:t>
      </w:r>
      <w:r>
        <w:rPr>
          <w:sz w:val="20"/>
          <w:szCs w:val="20"/>
          <w:color w:val="auto"/>
        </w:rPr>
        <w:tab/>
      </w:r>
      <w:r>
        <w:rPr>
          <w:rFonts w:ascii="Times New Roman" w:cs="Times New Roman" w:eastAsia="Times New Roman" w:hAnsi="Times New Roman"/>
          <w:sz w:val="18"/>
          <w:szCs w:val="18"/>
          <w:color w:val="auto"/>
        </w:rPr>
        <w:t>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92" w:name="page93"/>
    <w:bookmarkEnd w:id="92"/>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Q—STOCKHOLDERS’ EQUITY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left="20"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up to 80,000,000 shares of common stock, all of which have been designated voting common stock.</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up to 5,000,000 shares of preferred stock.</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227" w:lineRule="exact"/>
        <w:rPr>
          <w:sz w:val="20"/>
          <w:szCs w:val="20"/>
          <w:color w:val="auto"/>
        </w:rPr>
      </w:pPr>
    </w:p>
    <w:p>
      <w:pPr>
        <w:ind w:left="20" w:right="20" w:firstLine="648"/>
        <w:spacing w:after="0" w:line="266" w:lineRule="auto"/>
        <w:rPr>
          <w:sz w:val="20"/>
          <w:szCs w:val="20"/>
          <w:color w:val="auto"/>
        </w:rPr>
      </w:pPr>
      <w:r>
        <w:rPr>
          <w:rFonts w:ascii="Times New Roman" w:cs="Times New Roman" w:eastAsia="Times New Roman" w:hAnsi="Times New Roman"/>
          <w:sz w:val="18"/>
          <w:szCs w:val="18"/>
          <w:color w:val="auto"/>
        </w:rPr>
        <w:t>On January 5, 2023, the Company filed a Registration Statement on Form S- 3 with the Securities and Exchange Commission, which was declared effective on March 21, 2023, providing for the public offer and sale of certain securities of the Company from time to time, at our discretion, up to an aggregate amount of $185 million.</w:t>
      </w:r>
    </w:p>
    <w:p>
      <w:pPr>
        <w:spacing w:after="0" w:line="176" w:lineRule="exact"/>
        <w:rPr>
          <w:sz w:val="20"/>
          <w:szCs w:val="20"/>
          <w:color w:val="auto"/>
        </w:rPr>
      </w:pPr>
    </w:p>
    <w:p>
      <w:pPr>
        <w:ind w:left="20" w:right="20" w:firstLine="648"/>
        <w:spacing w:after="0" w:line="256" w:lineRule="auto"/>
        <w:rPr>
          <w:sz w:val="20"/>
          <w:szCs w:val="20"/>
          <w:color w:val="auto"/>
        </w:rPr>
      </w:pPr>
      <w:r>
        <w:rPr>
          <w:rFonts w:ascii="Times New Roman" w:cs="Times New Roman" w:eastAsia="Times New Roman" w:hAnsi="Times New Roman"/>
          <w:sz w:val="18"/>
          <w:szCs w:val="18"/>
          <w:color w:val="auto"/>
        </w:rPr>
        <w:t>On March 13, 2024, we entered into an Equity Distribution Agreement (the "First ATM Agreement") with Raymond James &amp; Associates (the "Sales Agent") pursuant to which the Company could issue and sell shares of the Company’s common stock having an aggregate offering price of up to $25 million (the "First ATM Offering"), from time to time through the Sales Agent. On August 6, 2024, we entered into Amendment No. 1 to the First ATM Agreement with the Sales Agent, to increase the aggregate offering price from $25 million to $60 million. On November 6, 2024, we provided notice of its termination, effective on such date, of the First ATM Agreement, as amended. We sold approximately 5.7 million shares at a weighted average price of $10.55 per share, providing proceeds of $58.7 million, net of expenses and underwriting discounts and commissions, under the First ATM Offering.</w:t>
      </w:r>
    </w:p>
    <w:p>
      <w:pPr>
        <w:spacing w:after="0" w:line="187" w:lineRule="exact"/>
        <w:rPr>
          <w:sz w:val="20"/>
          <w:szCs w:val="20"/>
          <w:color w:val="auto"/>
        </w:rPr>
      </w:pPr>
    </w:p>
    <w:p>
      <w:pPr>
        <w:ind w:left="20" w:right="40" w:firstLine="648"/>
        <w:spacing w:after="0" w:line="253" w:lineRule="auto"/>
        <w:rPr>
          <w:sz w:val="20"/>
          <w:szCs w:val="20"/>
          <w:color w:val="auto"/>
        </w:rPr>
      </w:pPr>
      <w:r>
        <w:rPr>
          <w:rFonts w:ascii="Times New Roman" w:cs="Times New Roman" w:eastAsia="Times New Roman" w:hAnsi="Times New Roman"/>
          <w:sz w:val="18"/>
          <w:szCs w:val="18"/>
          <w:color w:val="auto"/>
        </w:rPr>
        <w:t>On November 7, 2024, we entered into another Equity Distribution Agreement (the "Second ATM Agreement") with the Sales Agent pursuant to which the Company could issue and sell shares of the Company’s common stock, par value $0.001 per share (the "Shares") having an aggregate offering price of up to $55 million (the "Second ATM Offering"), from time to time through the Sales Agent. Upon delivery of a placement notice and subject to the terms and conditions of the Agreement, sales of the Shares were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would designate the maximum number of Shares to be sold through the Sales Agent, the time period during which sales were requested to be made, the minimum price for the Shares to be sold, and any limitation on the number of Shares that could be sold in any one day. Subject to the terms and conditions of the Agreement, the Sales Agent would use its commercially reasonable efforts to sell Shares on the Company’s behalf up to the designated amount specified in the placement notice.</w:t>
      </w:r>
    </w:p>
    <w:p>
      <w:pPr>
        <w:spacing w:after="0" w:line="192" w:lineRule="exact"/>
        <w:rPr>
          <w:sz w:val="20"/>
          <w:szCs w:val="20"/>
          <w:color w:val="auto"/>
        </w:rPr>
      </w:pPr>
    </w:p>
    <w:p>
      <w:pPr>
        <w:ind w:left="20" w:right="40" w:firstLine="648"/>
        <w:spacing w:after="0" w:line="256" w:lineRule="auto"/>
        <w:rPr>
          <w:sz w:val="20"/>
          <w:szCs w:val="20"/>
          <w:color w:val="auto"/>
        </w:rPr>
      </w:pPr>
      <w:r>
        <w:rPr>
          <w:rFonts w:ascii="Times New Roman" w:cs="Times New Roman" w:eastAsia="Times New Roman" w:hAnsi="Times New Roman"/>
          <w:sz w:val="18"/>
          <w:szCs w:val="18"/>
          <w:color w:val="auto"/>
        </w:rPr>
        <w:t>The Second ATM Agreement provided that the Sales Agent would be entitled to compensation of up to 2% of the gross sales price of the Shares sold through the Sales Agent from time to time. The Company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 against certain liabilities, including liabilities under the Securities Act, or to contribute to payments that the Sales Agent could be required to make because of any of those liabilities.</w:t>
      </w:r>
    </w:p>
    <w:p>
      <w:pPr>
        <w:spacing w:after="0" w:line="187" w:lineRule="exact"/>
        <w:rPr>
          <w:sz w:val="20"/>
          <w:szCs w:val="20"/>
          <w:color w:val="auto"/>
        </w:rPr>
      </w:pPr>
    </w:p>
    <w:p>
      <w:pPr>
        <w:ind w:left="20" w:right="40" w:firstLine="648"/>
        <w:spacing w:after="0" w:line="282" w:lineRule="auto"/>
        <w:rPr>
          <w:sz w:val="20"/>
          <w:szCs w:val="20"/>
          <w:color w:val="auto"/>
        </w:rPr>
      </w:pPr>
      <w:r>
        <w:rPr>
          <w:rFonts w:ascii="Times New Roman" w:cs="Times New Roman" w:eastAsia="Times New Roman" w:hAnsi="Times New Roman"/>
          <w:sz w:val="18"/>
          <w:szCs w:val="18"/>
          <w:color w:val="auto"/>
        </w:rPr>
        <w:t>On November 22, 2024, the Company completed the Second ATM Offering and sold approximately 1.8 million shares at a weighted average price of $31.17 per share, providing proceeds of $53.9 million, net of expenses and underwriting discounts and commissions.</w:t>
      </w:r>
    </w:p>
    <w:p>
      <w:pPr>
        <w:spacing w:after="0" w:line="162" w:lineRule="exact"/>
        <w:rPr>
          <w:sz w:val="20"/>
          <w:szCs w:val="20"/>
          <w:color w:val="auto"/>
        </w:rPr>
      </w:pPr>
    </w:p>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t>The details of the shares of common stock sold through the First ATM Offering and the Second ATM Offering through December 31, 2024 are as follows (in thousands, except shares and weighted average per share price):</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Per</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 Distribution</w:t>
            </w:r>
          </w:p>
        </w:tc>
        <w:tc>
          <w:tcPr>
            <w:tcW w:w="0" w:type="dxa"/>
            <w:vAlign w:val="bottom"/>
          </w:tcPr>
          <w:p>
            <w:pPr>
              <w:spacing w:after="0"/>
              <w:rPr>
                <w:sz w:val="1"/>
                <w:szCs w:val="1"/>
                <w:color w:val="auto"/>
              </w:rPr>
            </w:pPr>
          </w:p>
        </w:tc>
      </w:tr>
      <w:tr>
        <w:trPr>
          <w:trHeight w:val="23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Distribution Agent</w:t>
            </w:r>
          </w:p>
        </w:tc>
        <w:tc>
          <w:tcPr>
            <w:tcW w:w="19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4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Mar-24</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May-24</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Jun-24</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Aug-24</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Sep-24</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Nov-24</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112,602</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Shelf Registration Statement</w:t>
      </w:r>
    </w:p>
    <w:p>
      <w:pPr>
        <w:spacing w:after="0" w:line="227" w:lineRule="exact"/>
        <w:rPr>
          <w:sz w:val="20"/>
          <w:szCs w:val="20"/>
          <w:color w:val="auto"/>
        </w:rPr>
      </w:pPr>
    </w:p>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the Company filed an automatic shelf registration statement on Form S-3ASR (Registration File No. 333-283905) (the "Automatic Shelf Registration Statement") with the U.S. Securities and Exchange Commission, which became effective immediately upon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On December 23, 2024, the Company issued an aggregate of 1,036,458 shares of the Company’s common stock, par value $0.001 per share, at a purchase price of $33.97 per share, in a registered direct offering (the "Registered Direct Offering"). The Registered Direct Offering was made pursuant to the Automatic Shelf Registration Statement. The Registered Direct Offering closed on December 23, 2024.</w:t>
      </w:r>
    </w:p>
    <w:p>
      <w:pPr>
        <w:spacing w:after="0" w:line="176"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Raymond James and Associates, Inc. acted as the sole placement agent (the "Placement Agent") for the Company in connection with the Registered Direct Offering. Pursuant to that certain Placement Agency Agreement, dated as of December 18, 2024, between the Company and the</w:t>
      </w:r>
    </w:p>
    <w:p>
      <w:pPr>
        <w:sectPr>
          <w:pgSz w:w="11900" w:h="16914" w:orient="portrait"/>
          <w:cols w:equalWidth="0" w:num="1">
            <w:col w:w="11260"/>
          </w:cols>
          <w:pgMar w:left="300" w:top="121" w:right="339" w:bottom="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Placement Agent, the Placement Agent is entitled to a fee equal to an aggregate of 3% of the aggregate principal amount of the Registered Direct Offering.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Registered Direct Offering generated proceeds of approximately $33.7 million, after deducting placement agent fees and other estimated offering expenses payable by us. The Company intends to use the net proceeds from the Registered Direct Offering for general corporate purposes, which may include among other things, capital expenditures and working capital. The Company may also use such proceeds to fund acquisitions of businesses, technologies or product lines that complement its current business; however the Company has no present plans, agreements or commitments with respect to any potential acquisition.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R—SEGMENT AND GEOGRAPHIC INFORMATION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not have individual financial or operating goals for each location, nor for any other subset of the Company's operations. As such, the Company has determined it operates as one reportable segment.</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CODM uses net income or loss to allocate resources and assess performance. The CODM regularly reviews the consolidated net income or loss to make strategic decisions, such as capital expenditure plan, production plan and manpower allocation.</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249,365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217,646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222,818</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(187,565)</w:t>
            </w:r>
          </w:p>
        </w:tc>
        <w:tc>
          <w:tcPr>
            <w:tcW w:w="3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(158,725)</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(189,191)</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(53,383)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(34,483)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sales and marketing</w:t>
            </w:r>
          </w:p>
        </w:tc>
        <w:tc>
          <w:tcPr>
            <w:tcW w:w="34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(15,805)</w:t>
            </w:r>
          </w:p>
        </w:tc>
        <w:tc>
          <w:tcPr>
            <w:tcW w:w="3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(9,959)</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(8,857)</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(41,037)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(37,118)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(34,547)</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(138,308)</w:t>
            </w:r>
          </w:p>
        </w:tc>
        <w:tc>
          <w:tcPr>
            <w:tcW w:w="3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(33,409)</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(21,721)</w:t>
            </w:r>
          </w:p>
        </w:tc>
      </w:tr>
      <w:tr>
        <w:trPr>
          <w:trHeight w:val="209"/>
        </w:trPr>
        <w:tc>
          <w:tcPr>
            <w:tcW w:w="4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(186,733)</w:t>
            </w:r>
          </w:p>
        </w:tc>
        <w:tc>
          <w:tcPr>
            <w:tcW w:w="34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(56,048)</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(66,397)</w:t>
            </w:r>
          </w:p>
        </w:tc>
      </w:tr>
      <w:tr>
        <w:trPr>
          <w:trHeight w:val="20"/>
        </w:trPr>
        <w:tc>
          <w:tcPr>
            <w:tcW w:w="4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exclude share-based compensation and related expense, certain legal expenses associated with litigation and other one-time expenses from adjusted research and development, adjusted sales and marketing and adjusted general and administrative expenses.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segment items include share-based compensation expense, interest expense, interest income, certain legal expenses associated with litigation and other one-time items.</w:t>
      </w:r>
    </w:p>
    <w:p>
      <w:pPr>
        <w:spacing w:after="0" w:line="162"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10,921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30,798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7,423</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126,639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143,528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164,144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111,805</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43,320</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51,251</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249,365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217,646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222,818</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71,867</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75,283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80,048</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47,668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50,777</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107,624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91,050</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93,888</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237,398</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214,001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224,713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The Company serves four primary markets, the internet data center, CATV, telecom and FTTH markets. Of the Company’s total revenues in 2024, the Company earned $148.5 million, or 59.5%, from the internet data center market, $87.7 million, or 35.2%, from the CATV market, $11.0 million, or 4.4%, from the telecom market and $2.1 million, or 0.9%, from the FTTH and other markets. Of the Company’s total revenues in 2023, the Company earned $141.2 million, or 64.9%, from the internet data center market, $59.9 million, or 27.5%, from the CATV market, $13.8 million, or 6.4%, from the telecom market and $0.1 million, or 0.0%, from the FTTH market. Of the Company’s total revenues in 2022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earned $118.2 million,</w:t>
      </w:r>
    </w:p>
    <w:p>
      <w:pPr>
        <w:spacing w:after="0" w:line="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or 53.0%, from the CATV market, $77.1 million, or 34.6%, from the internet data center market, $24.7 million, or 11.1%, from the telecom market and $0.1 million, or 0.0%, from the FTTH market.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S—EMPLOYEE BENEFIT PLANS</w:t>
      </w:r>
    </w:p>
    <w:p>
      <w:pPr>
        <w:spacing w:after="0" w:line="229"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$1.7 million, $1.7 million, and $1.0 million for the years ended December 31, 2024, 2023 and 2022, respectively.</w:t>
      </w:r>
    </w:p>
    <w:p>
      <w:pPr>
        <w:spacing w:after="0" w:line="180" w:lineRule="exact"/>
        <w:rPr>
          <w:sz w:val="20"/>
          <w:szCs w:val="20"/>
          <w:color w:val="auto"/>
        </w:rPr>
      </w:pPr>
    </w:p>
    <w:p>
      <w:pPr>
        <w:ind w:left="20" w:right="40" w:firstLine="648"/>
        <w:spacing w:after="0" w:line="282" w:lineRule="auto"/>
        <w:rPr>
          <w:sz w:val="20"/>
          <w:szCs w:val="20"/>
          <w:color w:val="auto"/>
        </w:rPr>
      </w:pPr>
      <w:r>
        <w:rPr>
          <w:rFonts w:ascii="Times New Roman" w:cs="Times New Roman" w:eastAsia="Times New Roman" w:hAnsi="Times New Roman"/>
          <w:sz w:val="18"/>
          <w:szCs w:val="18"/>
          <w:color w:val="auto"/>
        </w:rPr>
        <w:t>Employees of Prime World’s Taiwan branch participate in a pension program under the Taiwan Labor Pension Act. Pension expense for the Prime World’s Taiwan branch was $0.5 million, $0.5 million, and $0.5 million for the years ended December 31, 2024, 2023 and 2022, respectively.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T—COMMITMENTS AND CONTINGENCIES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Employment Agreements and Consultancy Agreements</w:t>
      </w:r>
    </w:p>
    <w:p>
      <w:pPr>
        <w:spacing w:after="0" w:line="227" w:lineRule="exact"/>
        <w:rPr>
          <w:sz w:val="20"/>
          <w:szCs w:val="20"/>
          <w:color w:val="auto"/>
        </w:rPr>
      </w:pPr>
    </w:p>
    <w:p>
      <w:pPr>
        <w:ind w:left="20"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and indemnification agreements with our CEO. The agreement provides that if his employment is terminated as a result of a change of control of the Company, or if his employment is terminated for certain other reasons set forth in the agreements, the Company will be required to pay a severance payment in an amount equal to his annual base salary, and other additional compensation due under the terms of the agreements.</w:t>
      </w:r>
    </w:p>
    <w:p>
      <w:pPr>
        <w:spacing w:after="0" w:line="180" w:lineRule="exact"/>
        <w:rPr>
          <w:sz w:val="20"/>
          <w:szCs w:val="20"/>
          <w:color w:val="auto"/>
        </w:rPr>
      </w:pPr>
    </w:p>
    <w:p>
      <w:pPr>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employment and indemnification agreements with four other named executive officers. These agreements provide that if their employment is terminated as a result of a change of control of the Company, the Company will be required to pay a severance payment in an amount equal to their annual base salary and other additional compensation due under the terms of the agreements.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left="20" w:right="2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filed by Yuhan Optoelectronic Technology (Shanghai) Co., Ltd.</w:t>
      </w:r>
    </w:p>
    <w:p>
      <w:pPr>
        <w:spacing w:after="0" w:line="229" w:lineRule="exact"/>
        <w:rPr>
          <w:sz w:val="20"/>
          <w:szCs w:val="20"/>
          <w:color w:val="auto"/>
        </w:rPr>
      </w:pPr>
    </w:p>
    <w:p>
      <w:pPr>
        <w:ind w:left="20" w:right="60" w:firstLine="648"/>
        <w:spacing w:after="0" w:line="253" w:lineRule="auto"/>
        <w:rPr>
          <w:sz w:val="20"/>
          <w:szCs w:val="20"/>
          <w:color w:val="auto"/>
        </w:rPr>
      </w:pPr>
      <w:r>
        <w:rPr>
          <w:rFonts w:ascii="Times New Roman" w:cs="Times New Roman" w:eastAsia="Times New Roman" w:hAnsi="Times New Roman"/>
          <w:sz w:val="18"/>
          <w:szCs w:val="18"/>
          <w:color w:val="auto"/>
        </w:rPr>
        <w:t>On September 12, 2023, the Company delivered notice of termination with respect to that certain Agreement for the Sale and Purchase of a New Company to be Established in Hong Kong Special Administrative Region of the People’s Republic of China (the “Purchase Agreement”), dated September 15, 2022, 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December 22, 2023, 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remain subject to regulatory approvals. On January 22, 2024, the Company filed its response, generally denying the Purchaser’s allegations and asserting counterclaims for recovery of a break-up fee. This matter was settled on January 27, 2025, with the Company paying only its own legal fees and expenses.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ind w:left="20" w:right="60" w:firstLine="648"/>
        <w:spacing w:after="0" w:line="255" w:lineRule="auto"/>
        <w:rPr>
          <w:sz w:val="20"/>
          <w:szCs w:val="20"/>
          <w:color w:val="auto"/>
        </w:rPr>
      </w:pPr>
      <w:r>
        <w:rPr>
          <w:rFonts w:ascii="Times New Roman" w:cs="Times New Roman" w:eastAsia="Times New Roman" w:hAnsi="Times New Roman"/>
          <w:sz w:val="18"/>
          <w:szCs w:val="18"/>
          <w:color w:val="auto"/>
        </w:rPr>
        <w:t>On August 9, 2021, the Company received a Taxes Notification of Audit Result ("Notice") from the Texas Comptroller’s Office (the "Comptroller"), for fiscal years between 2016 and 2019, informing the Company that the Comptroller believes the Company did not qualify for certain sales and use tax exemptions on various Research and Development purchases and accordingly the Company is liable for Sale and Use Tax in the amount of approximately $1.0 million including interest charges. The Company paid $0.4 million for the tax notice in May 2021, but challenged the remaining tax assessments and vigorously defended its position. The Comptroller’s office exhausted its redetermination period and therefore moved AOI’s case to the hearing process. No hearing date has yet been scheduled, and as a result the Company is not able to determine the outcome of this sales tax dispute or the likelihood or amount of the Company’s loss, if any, arising from this matter.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U—SUBSEQUENT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00" w:top="121" w:right="3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as of February 19, 2024)</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IN COMPANY SECURITIES WHILE IN POSSESSION OF MATERIAL NONPUBLIC INFORMATION IS PROHIBITED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purchase or sale of securities by any person who possesses material nonpublic information is a violation of federal and state securities laws. Furthermore, it is important that the </w:t>
      </w:r>
      <w:r>
        <w:rPr>
          <w:rFonts w:ascii="Times New Roman" w:cs="Times New Roman" w:eastAsia="Times New Roman" w:hAnsi="Times New Roman"/>
          <w:sz w:val="18"/>
          <w:szCs w:val="18"/>
          <w:i w:val="1"/>
          <w:iCs w:val="1"/>
          <w:color w:val="auto"/>
        </w:rPr>
        <w:t>appearance</w:t>
      </w:r>
      <w:r>
        <w:rPr>
          <w:rFonts w:ascii="Times New Roman" w:cs="Times New Roman" w:eastAsia="Times New Roman" w:hAnsi="Times New Roman"/>
          <w:sz w:val="18"/>
          <w:szCs w:val="18"/>
          <w:color w:val="auto"/>
        </w:rPr>
        <w:t>, as well as the fact, of trading on the basis of material nonpublic information be avoided. Therefore, it is the policy of Applied Optoelectronics,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any person subject to this Insider Trading Policy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who possesses material nonpublic information pertaining to the Company may not trade in the Company’s securities, advise anyone else to do so, or communicate the information to anyone else until you know that the information has been disseminated to the public.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director, officer, employee or consultant of the Company who is aware of material nonpublic information relating to the Company may, directly or through family members or other persons or entities,</w:t>
      </w:r>
    </w:p>
    <w:p>
      <w:pPr>
        <w:spacing w:after="0" w:line="162"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or sell securities of the Company, other than pursuant to a trading plan that complies with Rule 10b5-1 promulgated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action to take personal advantage of that information,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that information on to others outside the Company, including friends and family (a practice referred to as “tipping”).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is the policy of the Company that no officer, director, employee or consultant who, in the course of working for the Company, learns of material nonpublic information of another company with which the Company does business, such as a customer or supplier, may trade in that company’s securities until that information becomes public or is no longer material.</w:t>
      </w:r>
    </w:p>
    <w:p>
      <w:pPr>
        <w:spacing w:after="0" w:line="172" w:lineRule="exact"/>
        <w:rPr>
          <w:sz w:val="20"/>
          <w:szCs w:val="20"/>
          <w:color w:val="auto"/>
        </w:rPr>
      </w:pPr>
    </w:p>
    <w:p>
      <w:pPr>
        <w:ind w:left="500" w:right="660" w:hanging="492"/>
        <w:spacing w:after="0" w:line="286" w:lineRule="auto"/>
        <w:tabs>
          <w:tab w:leader="none" w:pos="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EMPLOYEES, OFFICERS, DIRECTORS AND THEIR FAMILY MEMBERS AND AFFILIATES ARE SUBJECT TO THIS POLICY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Policy applies to all directors, officers, employees and consultants of the Company and entities (such as trusts, limited partnerships and corporations) over which such individuals have or share voting or investment control. For the purposes of this Policy, officers, outside directors and consultants are included within the term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This Policy also applies to any other persons whom the Company’s Chief Compliance Officer may designate because they have access to material nonpublic information concerning the Company, as well as any person who receives material nonpublic information from any Company insider. Employees, officers and directors are responsible for ensuring compliance by family members and members of their households and by entities over which they exercise voting or investment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ind w:left="500" w:hanging="492"/>
        <w:spacing w:after="0"/>
        <w:tabs>
          <w:tab w:leader="none" w:pos="5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Officers, Directors and Certain Named Employees Are Subject to Additional Restrictions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4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Insiders</w:t>
      </w:r>
      <w:r>
        <w:rPr>
          <w:rFonts w:ascii="Times New Roman" w:cs="Times New Roman" w:eastAsia="Times New Roman" w:hAnsi="Times New Roman"/>
          <w:sz w:val="18"/>
          <w:szCs w:val="18"/>
          <w:color w:val="auto"/>
        </w:rPr>
        <w:t xml:space="preserve">. The Company has designated those persons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as the directors and executive officers who are subject to the reporting provisions and trading restrictions of Section 16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underlying rules and regulations promulgated by the SEC. Each person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i w:val="1"/>
          <w:iCs w:val="1"/>
          <w:color w:val="auto"/>
        </w:rPr>
        <w:t>Section 16 Insider</w:t>
      </w:r>
      <w:r>
        <w:rPr>
          <w:rFonts w:ascii="Times New Roman" w:cs="Times New Roman" w:eastAsia="Times New Roman" w:hAnsi="Times New Roman"/>
          <w:sz w:val="18"/>
          <w:szCs w:val="18"/>
          <w:color w:val="auto"/>
        </w:rPr>
        <w:t xml:space="preserve">.” The Company will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from time to time as necessary to reflect the addition and the resignation or departure of Section 16 Insiders.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Employees</w:t>
      </w:r>
      <w:r>
        <w:rPr>
          <w:rFonts w:ascii="Times New Roman" w:cs="Times New Roman" w:eastAsia="Times New Roman" w:hAnsi="Times New Roman"/>
          <w:sz w:val="18"/>
          <w:szCs w:val="18"/>
          <w:color w:val="auto"/>
        </w:rPr>
        <w:t xml:space="preserve">. The Company has designated those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employees who have frequent access to material nonpublic information concerning the Company (“</w:t>
      </w:r>
      <w:r>
        <w:rPr>
          <w:rFonts w:ascii="Times New Roman" w:cs="Times New Roman" w:eastAsia="Times New Roman" w:hAnsi="Times New Roman"/>
          <w:sz w:val="18"/>
          <w:szCs w:val="18"/>
          <w:b w:val="1"/>
          <w:bCs w:val="1"/>
          <w:i w:val="1"/>
          <w:iCs w:val="1"/>
          <w:color w:val="auto"/>
        </w:rPr>
        <w:t>Insider Employees</w:t>
      </w:r>
      <w:r>
        <w:rPr>
          <w:rFonts w:ascii="Times New Roman" w:cs="Times New Roman" w:eastAsia="Times New Roman" w:hAnsi="Times New Roman"/>
          <w:sz w:val="18"/>
          <w:szCs w:val="18"/>
          <w:color w:val="auto"/>
        </w:rPr>
        <w:t xml:space="preserve">”). The Company will amend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from time to time as necessary to reflect the addition and departure of Insider Employees.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w:t>
      </w:r>
      <w:r>
        <w:rPr>
          <w:rFonts w:ascii="Times New Roman" w:cs="Times New Roman" w:eastAsia="Times New Roman" w:hAnsi="Times New Roman"/>
          <w:sz w:val="18"/>
          <w:szCs w:val="18"/>
          <w:color w:val="auto"/>
        </w:rPr>
        <w:t xml:space="preserve">. Because Section 16 Insiders and Insider Employees are more likely than other employees to 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hereto. For purposes of this Policy, Section 16 Insiders and Insider Employees are each referred to as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IV.</w:t>
        <w:tab/>
        <w:t>INSIDER TRADING COMPLIANCE OFFICER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Nominating and Corporate Governance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has designated a Chief Compliance Officer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xml:space="preserve">”). The Committee will amend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from time to time as necessary to reflect the addition and departure of one or more Compliance Officers.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duties of the Compliance Officer will include the following:</w:t>
      </w:r>
    </w:p>
    <w:p>
      <w:pPr>
        <w:spacing w:after="0" w:line="225"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this Policy and monitoring and enforcing compliance with all Policy provisions and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 and its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special trading blackout periods during which no Insiders may trade in Company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copies of this Policy and other appropriate materials to all current and new directors, officers and employees, and such other persons as the Compliance Officer determines have access to material nonpublic information concerning the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monitoring and enforcing compliance with federal and state insider trading laws and regulations; and assisting in the preparation and filing of all required SEC reports relating to trading in Company securities, including without limitation Forms 3, 4, 5 and 144 and Schedules 13D and 13G.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8" w:name="page99"/>
    <w:bookmarkEnd w:id="98"/>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designated brokers through which Insiders are authorized to trade Company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this Policy as necessary to reflect changes in federal or state insider trading laws and regulations.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Maintaining the accuracy of the list of Section 16 Individuals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list of Insider Employees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updating such lists periodically as necessary to reflect additions or deletions.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may designate one or more individuals who may perform the Compliance Officer’s duties in the event that the Compliance Officer is unable or unavailable to perform such duties. In fulfilling his or her duties under this Policy, the Compliance Officer shall be authorized to consult with the Company’s outside counsel.</w:t>
      </w:r>
    </w:p>
    <w:p>
      <w:pPr>
        <w:spacing w:after="0" w:line="172"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THIS POLICY TO TRANSACTIONS IN COMPANY SECURITIES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9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This Policy applies to all transactions in the Company’s securities, including common stock and any other securities the Company may issue from time to time, such as preferred stock, warrants and convertible debentures, as well as to derivative securities relating to the Company’s stock, whether or not issued by the Company, such as exchange-traded options. For purposes of this Policy, the term “</w:t>
      </w:r>
      <w:r>
        <w:rPr>
          <w:rFonts w:ascii="Times New Roman" w:cs="Times New Roman" w:eastAsia="Times New Roman" w:hAnsi="Times New Roman"/>
          <w:sz w:val="18"/>
          <w:szCs w:val="18"/>
          <w:b w:val="1"/>
          <w:bCs w:val="1"/>
          <w:i w:val="1"/>
          <w:iCs w:val="1"/>
          <w:color w:val="auto"/>
        </w:rPr>
        <w:t>trade</w:t>
      </w:r>
      <w:r>
        <w:rPr>
          <w:rFonts w:ascii="Times New Roman" w:cs="Times New Roman" w:eastAsia="Times New Roman" w:hAnsi="Times New Roman"/>
          <w:sz w:val="18"/>
          <w:szCs w:val="18"/>
          <w:color w:val="auto"/>
        </w:rPr>
        <w:t>” includes any transaction in the Company’s securities, including gifts and pledges.</w:t>
      </w:r>
    </w:p>
    <w:p>
      <w:pPr>
        <w:spacing w:after="0" w:line="17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The trading prohibitions and restrictions set forth in this Policy do not apply to the exercise of stock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equity awards for cash, or to the exercise of stock options or other equity awards under a net-exercise feature, but do apply to all sales of securities acquired through the exercise of stock options or other equity awards. Thus, this Policy does apply to the “same-day sale” or cashless exercise of Company stock options.</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Employee Stock Purchase Plans</w:t>
      </w:r>
      <w:r>
        <w:rPr>
          <w:rFonts w:ascii="Times New Roman" w:cs="Times New Roman" w:eastAsia="Times New Roman" w:hAnsi="Times New Roman"/>
          <w:sz w:val="18"/>
          <w:szCs w:val="18"/>
          <w:color w:val="auto"/>
        </w:rPr>
        <w:t>. The trading prohibitions and restrictions set forth in this Policy do not apply to periodic contributions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employees to employee stock purchase plans or employee benefit plans (e.g., a pension or 401(k) plan) which are used to purchase Company securities pursuant to the employee’s advance instructions. However, no officers or employees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w:t>
        <w:tab/>
        <w:t xml:space="preserve">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9" w:lineRule="auto"/>
        <w:tabs>
          <w:tab w:leader="none" w:pos="10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Information about the Company is “material” if it would be expected to 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w:t>
      </w:r>
    </w:p>
    <w:p>
      <w:pPr>
        <w:spacing w:after="0" w:line="183"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especially quarterly and year-end operating results, and significant changes in financial performance or liquidity.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projections and strategic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mergers or acquisitions, the sale of Company assets or subsidiaries or major partnering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orders, suppliers, customers or finance sources or the loss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discoveries or significant changes or developments in products or product lines, research or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supplies or inventory, including significant product defects, recalls or product returns.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public or private securities/debt offerings, or changes in Company dividend policies or amounts.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senior management or membership of the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or negotiations.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denial of regulatory approval for products.</w:t>
      </w:r>
    </w:p>
    <w:p>
      <w:pPr>
        <w:spacing w:after="0" w:line="221" w:lineRule="exact"/>
        <w:rPr>
          <w:sz w:val="20"/>
          <w:szCs w:val="20"/>
          <w:color w:val="auto"/>
        </w:rPr>
      </w:pPr>
    </w:p>
    <w:p>
      <w:pPr>
        <w:jc w:val="both"/>
        <w:ind w:firstLine="656"/>
        <w:spacing w:after="0" w:line="268" w:lineRule="auto"/>
        <w:tabs>
          <w:tab w:leader="none" w:pos="10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0" w:name="page101"/>
    <w:bookmarkEnd w:id="100"/>
    <w:p>
      <w:pPr>
        <w:ind w:firstLine="656"/>
        <w:spacing w:after="0" w:line="282" w:lineRule="auto"/>
        <w:tabs>
          <w:tab w:leader="none" w:pos="10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 the Compliance Officer When in Doubt</w:t>
      </w:r>
      <w:r>
        <w:rPr>
          <w:rFonts w:ascii="Times New Roman" w:cs="Times New Roman" w:eastAsia="Times New Roman" w:hAnsi="Times New Roman"/>
          <w:sz w:val="18"/>
          <w:szCs w:val="18"/>
          <w:color w:val="auto"/>
        </w:rPr>
        <w:t>. Any employees who are unsure whether the information that they possess is material or nonpublic must consult the Compliance Officer for guidance before trading in any Company securities.</w:t>
      </w:r>
    </w:p>
    <w:p>
      <w:pPr>
        <w:spacing w:after="0" w:line="158" w:lineRule="exact"/>
        <w:rPr>
          <w:sz w:val="20"/>
          <w:szCs w:val="20"/>
          <w:color w:val="auto"/>
        </w:rPr>
      </w:pPr>
    </w:p>
    <w:p>
      <w:pPr>
        <w:ind w:left="500" w:right="280" w:hanging="499"/>
        <w:spacing w:after="0" w:line="286"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VII.</w:t>
        <w:tab/>
        <w:t>EMPLOYEES MAY NOT DISCLOSE MATERIAL NONPUBLIC INFORMATION TO OTHERS OR MAKE RECOMMENDATIONS REGARDING TRADING IN COMPANY SECURITIES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employee may disclose material nonpublic information concerning the Company to any other person (including family members) where such information may be used by such person to his or her advantage in the trading of the securities of companies to which such information relates, a practice commonly known as “tipping.” No employee or related person may make recommendations or express opinions as to trading in the Company’s securities while in possession of material nonpublic information, except such person may advise others not to trade in the Company’s securities if doing so might violate the law or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EMPLOYEES MAY NOT PARTICIPATE IN BLOGS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Employees are prohibited from participating in blog discussions or other Internet forums regarding the Company’s securities or business.</w:t>
      </w:r>
    </w:p>
    <w:p>
      <w:pPr>
        <w:spacing w:after="0" w:line="221" w:lineRule="exact"/>
        <w:rPr>
          <w:sz w:val="20"/>
          <w:szCs w:val="20"/>
          <w:color w:val="auto"/>
        </w:rPr>
      </w:pPr>
    </w:p>
    <w:p>
      <w:pPr>
        <w:ind w:left="500" w:right="1360" w:hanging="499"/>
        <w:spacing w:after="0" w:line="286"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IX.</w:t>
        <w:tab/>
        <w:t>ONLY DESIGNATED COMPANY SPOKESPERSONS ARE AUTHORIZED TO DISCLOSE MATERIAL NONPUBLIC INFORMATION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Employees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Compliance Officer or the Chief Executive Officer.</w:t>
      </w:r>
    </w:p>
    <w:p>
      <w:pPr>
        <w:spacing w:after="0" w:line="179"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TYPES OF TRANSACTIONS ARE PROHIBITED OR REQUIRE PRECLEARANCE</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expressly prohibits executive officers and directors from engaging in short sales.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Publicly Traded Options</w:t>
      </w:r>
      <w:r>
        <w:rPr>
          <w:rFonts w:ascii="Times New Roman" w:cs="Times New Roman" w:eastAsia="Times New Roman" w:hAnsi="Times New Roman"/>
          <w:sz w:val="18"/>
          <w:szCs w:val="18"/>
          <w:color w:val="auto"/>
        </w:rPr>
        <w:t>. A transaction in options is, in effect, a bet on the short-term movement of the Company’s stock and therefore creates the appearance that the director or employee is trading based on inside information. Transactions in options also may focus the director’s or employee’s attention on short-term performance at the expense of the Company’s long-term objectives. Accordingly, transactions in puts, calls or other derivative securities involving the Company’s stock, on an exchange or in any other organized market, are prohibited by this Policy. (Option positions arising from certain types of hedging transactions are governed by the section below captioned “Hedging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firstLine="656"/>
        <w:spacing w:after="0" w:line="256" w:lineRule="auto"/>
        <w:tabs>
          <w:tab w:leader="none" w:pos="10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Certain forms of hedging or monetization transactions, such as zero-cost collars, forward sales, prepaid variable forward contracts and other similar hedging arrangements, allow an employee to lock in much of the value of his or her stock holdings, often in exchange for all or part of the potential for upside appreciation in the stock. These transactions allow the employee to continue to own the covered securities, but without the full risks and rewards of ownership. When that occurs, there is potential that the employee may no longer have the same objectives as the Company’s other shareholders. Therefore, such transactions involving the Company’s securities are prohibited by this Policy, regardless of whether the Insider is in possession of material, nonpublic information.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0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required to obtain pre-clearance from the Company’s 10b5-1 Committee prior to holding Company securities in a margin account or pledging Company securities as collateral for a loan.</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w:t>
        <w:tab/>
        <w:t>THE COMPANY MAY SUSPEND ALL TRADING ACTIVITIES BY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avoid any questions and to protect both employees and the Company from any potential liability, from time to time the Company may impose a “blackout” period during which some or all of the Company’s employees may not buy or sell the Company’s securities. The Compliance Officer will impose such a blackout period if, in his judgment, there exists nonpublic information that would make trades by the Company’s employees (or certain of the Company’s employees) inappropriate in light of the risk that such trades could be viewed as violating applicable securities laws.</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7"/>
          <w:szCs w:val="17"/>
          <w:b w:val="1"/>
          <w:bCs w:val="1"/>
          <w:color w:val="auto"/>
        </w:rPr>
        <w:t>VIOLATIONS OF INSIDER TRADING LAWS OR THIS POLICY CAN RESULT IN SEVERE CONSEQUENCES</w:t>
      </w:r>
    </w:p>
    <w:p>
      <w:pPr>
        <w:spacing w:after="0" w:line="229" w:lineRule="exact"/>
        <w:rPr>
          <w:sz w:val="20"/>
          <w:szCs w:val="20"/>
          <w:color w:val="auto"/>
        </w:rPr>
      </w:pPr>
    </w:p>
    <w:p>
      <w:pPr>
        <w:jc w:val="both"/>
        <w:ind w:firstLine="656"/>
        <w:spacing w:after="0" w:line="261" w:lineRule="auto"/>
        <w:tabs>
          <w:tab w:leader="none" w:pos="10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Civil and Criminal Penalties</w:t>
      </w:r>
      <w:r>
        <w:rPr>
          <w:rFonts w:ascii="Times New Roman" w:cs="Times New Roman" w:eastAsia="Times New Roman" w:hAnsi="Times New Roman"/>
          <w:sz w:val="18"/>
          <w:szCs w:val="18"/>
          <w:color w:val="auto"/>
        </w:rPr>
        <w:t>. The consequences of prohibited insider trading or tipping can be severe. Persons violating insider trading or 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The Company and/or the supervisors of the person violating the rules may also be required to pay major civil or criminal penalties.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ind w:firstLine="656"/>
        <w:spacing w:after="0" w:line="282" w:lineRule="auto"/>
        <w:tabs>
          <w:tab w:leader="none" w:pos="10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Discipline</w:t>
      </w:r>
      <w:r>
        <w:rPr>
          <w:rFonts w:ascii="Times New Roman" w:cs="Times New Roman" w:eastAsia="Times New Roman" w:hAnsi="Times New Roman"/>
          <w:sz w:val="18"/>
          <w:szCs w:val="18"/>
          <w:color w:val="auto"/>
        </w:rPr>
        <w:t>. Violation of this Policy or federal or state insider trading laws by any director, officer or employee may subject the director to removal proceedings and the officer or employee to disciplinary action by the Company, including termination for cause.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Violations</w:t>
      </w:r>
      <w:r>
        <w:rPr>
          <w:rFonts w:ascii="Times New Roman" w:cs="Times New Roman" w:eastAsia="Times New Roman" w:hAnsi="Times New Roman"/>
          <w:sz w:val="18"/>
          <w:szCs w:val="18"/>
          <w:color w:val="auto"/>
        </w:rPr>
        <w:t>. Any person who violates this Policy or any federal or state laws governing insider trading, or knows of any such violation or potential violation by any other person, must report the violation or potential violation immediately to the Compliance Officer 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Vice President, General Counsel, Chief Compliance Officer and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13139 Jess Pirtle Blvd.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Sugar Land, Texas 77478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+1-281-295-1808 (office)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+1-281-966-6988 (fax)</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u w:val="single" w:color="auto"/>
          <w:color w:val="auto"/>
        </w:rPr>
        <w:t>david_kuo@ao-inc.com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 to the Audit Committee of the Company’s Board of Directors. Upon learning of any such violation or potential violation, the Compliance Officer or Audit Committee, in consultation with the Company’s legal counsel, will determine whether the Company should release any material nonpublic information or whether the Company should report the violation or potential violation to the SEC or other appropriate governmental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XIII. EVERY INDIVIDUAL IS RESPONSIBLE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employee has the individual responsibility to comply with this Policy against illegal insider trading. An employee may, from time to time, have to forego a proposed transaction in the Company’s securities even if he or she planned to make the transaction before learning of the material nonpublic information and even though the employee believes that he or she may suffer an economic loss or forego anticipated profit by waiting.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XIV.  THIS POLICY CONTINUES TO APPLY FOLLOWING TERMINATION OF EMPLOYMENT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Policy continues to apply to transactions in the Company’s securities even after termination of employment. If an employee is in possession of material nonpublic information when his or her employment terminates, he or she may not trade in the Company’s securities until that information has become public or is no longer material.</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XV.</w:t>
        <w:tab/>
        <w:t>THE COMPLIANCE OFFICER IS AVAILABLE TO ANSWER QUESTIONS ABOUT THIS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direct all inquiries regarding any of the provisions or procedures of this Policy to the Compliance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XVI. THIS POLICY IS SUBJECT TO REVISION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change the terms of this Policy from time to time to respond to developments in law and practice. The Company will take steps to inform all affected persons of any material change to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XVII. ALL EMPLOYEES MUST ACKNOWLEDGE THEIR AGREEMENT TO COMPLY WITH THIS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Policy will be made available on the Company’s website and delivered to all employees upon its adoption by the Company, and to all new other employees at the start of their employment or relationship with the Company. Upon first receiving a copy of the Policy or any revised versions, each employee must sign an acknowledgment that he or she has received a copy and agrees to comply with the Policy’s terms. This acknowledgment and agreement will constitute consent for the Company to impose sanctions for violation of this Policy and to issue any necessary stop-transfer orders to the Company’s transfer agent to enforce compliance with this Policy.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Restrictions on Transactions in Company Securities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Directors and Insider Employees</w:t>
      </w:r>
    </w:p>
    <w:p>
      <w:pPr>
        <w:spacing w:after="0" w:line="203"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 minimize the risk of apparent or actual violations of the rules governing insider trading, we have adopted these special restrictions relating to transactions in Company securities by Insiders. As with the other provisions of this Policy, Insiders are responsible for ensuring compliance with this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spacing w:after="0" w:line="176"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WINDOW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restrictions that are applicable to all employees, any trade by an Insider that is subject to the Insider Trading Policy will be permitted only during an open “trading window.” The trading window generally opens </w:t>
      </w:r>
      <w:r>
        <w:rPr>
          <w:rFonts w:ascii="Times New Roman" w:cs="Times New Roman" w:eastAsia="Times New Roman" w:hAnsi="Times New Roman"/>
          <w:sz w:val="18"/>
          <w:szCs w:val="18"/>
          <w:b w:val="1"/>
          <w:bCs w:val="1"/>
          <w:color w:val="auto"/>
        </w:rPr>
        <w:t>following the close of trading on the second full trading day</w:t>
      </w:r>
      <w:r>
        <w:rPr>
          <w:rFonts w:ascii="Times New Roman" w:cs="Times New Roman" w:eastAsia="Times New Roman" w:hAnsi="Times New Roman"/>
          <w:sz w:val="18"/>
          <w:szCs w:val="18"/>
          <w:color w:val="auto"/>
        </w:rPr>
        <w:t xml:space="preserve"> following the public issuance of the Company’s earnings release for the most recent fiscal quarter (which generally occurs approximately five weeks following the close of each quarter) and closes at the close of trading on the </w:t>
      </w:r>
      <w:r>
        <w:rPr>
          <w:rFonts w:ascii="Times New Roman" w:cs="Times New Roman" w:eastAsia="Times New Roman" w:hAnsi="Times New Roman"/>
          <w:sz w:val="18"/>
          <w:szCs w:val="18"/>
          <w:b w:val="1"/>
          <w:bCs w:val="1"/>
          <w:color w:val="auto"/>
        </w:rPr>
        <w:t>day preceding the tenth calendar day prior to the last day</w:t>
      </w:r>
      <w:r>
        <w:rPr>
          <w:rFonts w:ascii="Times New Roman" w:cs="Times New Roman" w:eastAsia="Times New Roman" w:hAnsi="Times New Roman"/>
          <w:sz w:val="18"/>
          <w:szCs w:val="18"/>
          <w:color w:val="auto"/>
        </w:rPr>
        <w:t xml:space="preserve"> of a fiscal quarter. In addition to the times when the trading window is scheduled to be closed, the Company may impose a special blackout period at its discretion due to the existence of material nonpublic information, such as a pending acquisition, that is likely to be widely known among Insiders. Following termination of employment or other service, Insiders will be subject to the trading window, as well as any special blackout period in effect at the time of termination, for one full fiscal quarter thereafter. Even when the window is open, Insiders and other Company personnel are prohibited from trading in the Company’s securities while in possession of material nonpublic information. The Company’s Compliance Officer will advise Insiders when the trading window opens and closes.</w:t>
      </w:r>
    </w:p>
    <w:p>
      <w:pPr>
        <w:spacing w:after="0" w:line="190" w:lineRule="exact"/>
        <w:rPr>
          <w:sz w:val="20"/>
          <w:szCs w:val="20"/>
          <w:color w:val="auto"/>
        </w:rPr>
      </w:pPr>
    </w:p>
    <w:p>
      <w:pPr>
        <w:ind w:left="500" w:hanging="492"/>
        <w:spacing w:after="0"/>
        <w:tabs>
          <w:tab w:leader="none" w:pos="5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HARDSHIP EXEMPTIONS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Compliance Officer may, on a case by case basis, authorize a transaction in the Company’s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within two business days prior to the date of the proposed trade that he or she is not in possession of material nonpublic information concerning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existence of the foregoing procedure does not in any way obligate the Compliance Officer to approve any hardship exemption requested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5" w:name="page106"/>
    <w:bookmarkEnd w:id="105"/>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IV.</w:t>
        <w:tab/>
        <w:t>INDIVIDUAL ACCOUNT PLAN BLACKOUT PERIODS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trading restrictions apply during a blackout period applicable to any Company individual account plan in which participants may hold Company stock (such as the Company’s 401(k) Plan). For the purpose of such restrictions, a “blackout period” is a period in which the plan participants are temporarily restricted from making trades in Company stock. During any blackout period, directors and executive officers are prohibited from trading in shares of the Company’s stock that were acquired in connection with such director’s or officer’s service or employment with the Company. Such trading restriction is required by law, and no hardship exemptions are available. The Company will notify directors and executive officers in the event of any blackout period.</w:t>
      </w:r>
    </w:p>
    <w:p>
      <w:pPr>
        <w:spacing w:after="0" w:line="183" w:lineRule="exact"/>
        <w:rPr>
          <w:sz w:val="20"/>
          <w:szCs w:val="20"/>
          <w:color w:val="auto"/>
        </w:rPr>
      </w:pPr>
    </w:p>
    <w:p>
      <w:pPr>
        <w:ind w:left="500" w:hanging="492"/>
        <w:spacing w:after="0"/>
        <w:tabs>
          <w:tab w:leader="none" w:pos="5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TRADES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Company’s Insider Trading Policy, all purchases and sales of equity securities of the Company by Section 16 Insiders, other than transactions that are not subject to the Policy or transactions pursuant to a Rule 10b5-1 trading plan approved by the Board of Directors or its Audit Committee, must be pre-cleared by the Compliance Officer. The intent of this requirement is to prevent inadvertent violations of the Policy, avoid trades involving the appearance of improper insider trading, facilitate timely Form 4 reporting and avoid transactions that are subject to disgorgement under Section 16(b) of the Exchange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Requests for pre-clearance must be submitted in writing to the Compliance Officer at least two business days in advance of each proposed transaction. If the Insider leaves a voicemail message or submits the request by email does not receive a response from the Compliance Officer within 24 hours, the Insider will be responsible for following up to ensure that the message was received.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request for pre-clearance should provide the following information:</w:t>
      </w:r>
    </w:p>
    <w:p>
      <w:pPr>
        <w:spacing w:after="0" w:line="225" w:lineRule="exact"/>
        <w:rPr>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proposed transaction and the expected date of the transaction.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involved.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involves a stock option exercise, the specific option to be exercised.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the broker who will execute the transaction.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the proposed transaction is pre-cleared, the Section 16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completion of the trade. The Section 16 Insider and his or her broker will be responsible for immediately reporting the results of the transaction as further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pre-clearance is required for the establishment of a Rule 10b5-1 trading plan. However, pre-clearance will not be required for individual transactions effected pursuant to a pre-cleared Rule 10b5-1 trading plan that specifies or establishes a formula for determining the dates, prices and amounts of planned trades. Of course, the results of transactions effected under a trading plan must be reported immediately to the Company since they will be reportable on Form 4 within two business days following the execution of the trade, subject to an extension of not more than two additional business days where the Section 16 Insider is not immediately aware of the execution of the trade.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transactions by the Compliance Officer shall be subject to pre-clearance by the Chief Financial Officer or, in the event of his unavailability, the Chief Executive Officer.</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w:t>
        <w:tab/>
        <w:t>DESIGNATED BROKERS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market transaction in the Company’s stock by a Section 16 Insider, or any person whose trades must be reported by that Insider on Form 4 (such as a member of the Insider’s immediate family who lives in the Insider’s household), must be executed by a broker designated by the Company unless the Insider has received authorization from the Compliance Officer to use a different broker.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Section 16 Insider and any broker that handles the Section 16 Insider’s transactions in the Company’s stock will be required to enter into an agreement whereby:</w:t>
      </w:r>
    </w:p>
    <w:p>
      <w:pPr>
        <w:spacing w:after="0" w:line="162" w:lineRule="exact"/>
        <w:rPr>
          <w:sz w:val="20"/>
          <w:szCs w:val="20"/>
          <w:color w:val="auto"/>
        </w:rPr>
      </w:pPr>
    </w:p>
    <w:p>
      <w:pPr>
        <w:jc w:val="both"/>
        <w:ind w:left="1300" w:hanging="320"/>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authorizes the broker to immediately report directly to the Company the details of all transactions in Company equity securities executed by the broker in the Insider’s account and the accounts of all others designated by the Insider whose transactions may be attributed to the Insider.</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 agrees not to execute any transaction for the Insider or any of the foregoing designated persons (other than under a pre-approved Rule 10b5-1 trading plan) until the broker has verified with the Company that the transaction has been pre-cleared.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 agrees to immediately report the transaction details (including transactions under Rule 10b5-1 trading plans) directly to the Company and to the Insider by telephone and in writing (by fax or email).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a Section 16 Insider wish to use a broker other than one of the Company’s designated brokers, the Section 16 Insider should submit a request to use that broker to the Compliance Officer.</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7"/>
          <w:szCs w:val="17"/>
          <w:b w:val="1"/>
          <w:bCs w:val="1"/>
          <w:color w:val="auto"/>
        </w:rPr>
        <w:t>REPORTING OF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facilitate timely reporting under Section 16 of the Exchange Act of Insider transactions in Company stock, Section 16 Insiders are required to report the details of each transaction immediately after it is executed and arrange with persons whose trades must be reported by the Insider under Section 16 (such as immediate family members living in the Insider’s household) to immediately report directly to the Company and to the Insider the details of any transactions they have in the Company’s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details to be reported include: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date (trade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at which the transaction was executed (before addition or deduction of brokerage commission and other transaction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was a stock option exercise, the specific option exercised.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the broker who executed the transaction.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transaction details must be reported to the Compliance Officer, with copies to the Company personnel who will assist the Section 16 Insider in preparing his or her Form 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Committee shall be responsible for direct oversight and administration of the Insider Trading Policy. All determinations and interpretations by the Committee shall be final and not subject to further review. In fulfilling its duties under the Policy, the Committee shall be authorized to consult with and have regular access to the Company’s General Counsel and the Company’s Chief Compliance Officer, including the opportunity to meet with those executive officers outside of the presence of any other senior executives. The Committee is responsible for reviewing the Policy from time to time and recommending any amendments, modifications or waivers, to the extent appropriate, to the Board of Directors.</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IX.</w:t>
        <w:tab/>
        <w:t>PERSONS SUBJECT TO SECTION 16</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purchases and sales of Company securities by its directors, executive officers and greater-than-10% stockholders are subject to Section 16 of the Exchange Act. The Committee will review, at least annually, those individuals who are deemed to be executive officers for purposes of Section 16 and will recommend any changes regarding such status to the Board of Directors. An executive officer is generally defined as the president, principal financial officer, principal accounting officer or controller, any vice president in charge of a principal business unit, division or function or any other officer or person who performs a policy making function.</w:t>
      </w:r>
    </w:p>
    <w:p>
      <w:pPr>
        <w:spacing w:after="0" w:line="179"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4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Section 16, most trades by Insiders are subject to reporting on Form 4 within two business days following the trade date (which in the case of an open market trade is the date when the broker places the buy or sell order, not the date when the trade is settled). To facilitate timely reporting, all transactions that are subject to Section 16 must be reported to the Company </w:t>
      </w:r>
      <w:r>
        <w:rPr>
          <w:rFonts w:ascii="Times New Roman" w:cs="Times New Roman" w:eastAsia="Times New Roman" w:hAnsi="Times New Roman"/>
          <w:sz w:val="18"/>
          <w:szCs w:val="18"/>
          <w:b w:val="1"/>
          <w:bCs w:val="1"/>
          <w:i w:val="1"/>
          <w:iCs w:val="1"/>
          <w:color w:val="auto"/>
        </w:rPr>
        <w:t>on the same day as the trade date</w:t>
      </w:r>
      <w:r>
        <w:rPr>
          <w:rFonts w:ascii="Times New Roman" w:cs="Times New Roman" w:eastAsia="Times New Roman" w:hAnsi="Times New Roman"/>
          <w:sz w:val="18"/>
          <w:szCs w:val="18"/>
          <w:color w:val="auto"/>
        </w:rPr>
        <w:t>, or, with respect to transactions effected pursuant to a Rule 10b5-1 plan, on the day the Insider is advised of the terms of the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w:t>
        <w:tab/>
        <w:t>NAMED EMPLOYEES CONSIDERED INSIDERS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Committee will review, at least annually, those individuals deemed to be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Insiders shall include persons subject to Section 16 and such other persons as the Committee deems to be Insiders. Generally, Insiders shall be any person who by function of their employment is </w:t>
      </w:r>
      <w:r>
        <w:rPr>
          <w:rFonts w:ascii="Times New Roman" w:cs="Times New Roman" w:eastAsia="Times New Roman" w:hAnsi="Times New Roman"/>
          <w:sz w:val="18"/>
          <w:szCs w:val="18"/>
          <w:i w:val="1"/>
          <w:iCs w:val="1"/>
          <w:color w:val="auto"/>
        </w:rPr>
        <w:t>consistently</w:t>
      </w:r>
      <w:r>
        <w:rPr>
          <w:rFonts w:ascii="Times New Roman" w:cs="Times New Roman" w:eastAsia="Times New Roman" w:hAnsi="Times New Roman"/>
          <w:sz w:val="18"/>
          <w:szCs w:val="18"/>
          <w:color w:val="auto"/>
        </w:rPr>
        <w:t xml:space="preserve"> in possession of material nonpublic information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performs an operational role, such as head of a division or business unit, that is material to the Company as a whole.</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7"/>
          <w:szCs w:val="17"/>
          <w:b w:val="1"/>
          <w:bCs w:val="1"/>
          <w:color w:val="auto"/>
        </w:rPr>
        <w:t>SPECIAL GUIDELINES FOR 10B5-1 TRADING PLANS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an Insider will not be deemed to have violated the Insider Trading Policy if he or she effects a transaction that meets all of the enumerated criteria below.</w:t>
      </w:r>
    </w:p>
    <w:p>
      <w:pPr>
        <w:spacing w:after="0" w:line="158" w:lineRule="exact"/>
        <w:rPr>
          <w:sz w:val="20"/>
          <w:szCs w:val="20"/>
          <w:color w:val="auto"/>
        </w:rPr>
      </w:pPr>
    </w:p>
    <w:p>
      <w:pPr>
        <w:ind w:left="1020" w:hanging="364"/>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must be made pursuant to a documented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entered into in good faith that complies with all provisions of Rule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10b5-1 (the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including, without limitation:</w:t>
      </w:r>
    </w:p>
    <w:p>
      <w:pPr>
        <w:spacing w:after="0" w:line="20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must:</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and the price at which and the date on which the securities are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purchased or sold, or</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8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specific instructions, a written formula or algorithm, or computer program, for determining the amount of securities to be purchased or sold and the price at which and the date on which the securities were to be purchased or sold. For the avoidance of doubt, an Insider may not give his or her broker the right to determine whether and how to make transactions.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1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then such Plan must prohibit the Insider and any other person who possesses material nonpublic information from exercising any subsequent influence over how, when, or whether to effect purchases or sales.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and any amendments thereto must be pre-cleared in advance of adoption of such Plan or amendment, as the case may be, by the Company’s Rule 10b5-1 Plan Review Committee, which shall be composed of persons selected by and serving at the discretion of the Company’s Chief Executive Officer (the “</w:t>
      </w:r>
      <w:r>
        <w:rPr>
          <w:rFonts w:ascii="Times New Roman" w:cs="Times New Roman" w:eastAsia="Times New Roman" w:hAnsi="Times New Roman"/>
          <w:sz w:val="18"/>
          <w:szCs w:val="18"/>
          <w:b w:val="1"/>
          <w:bCs w:val="1"/>
          <w:i w:val="1"/>
          <w:iCs w:val="1"/>
          <w:color w:val="auto"/>
        </w:rPr>
        <w:t>10b5-1 Committee</w:t>
      </w:r>
      <w:r>
        <w:rPr>
          <w:rFonts w:ascii="Times New Roman" w:cs="Times New Roman" w:eastAsia="Times New Roman" w:hAnsi="Times New Roman"/>
          <w:sz w:val="18"/>
          <w:szCs w:val="18"/>
          <w:color w:val="auto"/>
        </w:rPr>
        <w:t>”). The Company reserves the right to withhold approval of any Plan that the 10b5-1 Committee determines, in its sole discretion,</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comply with the Rule,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exposes the Company or the Insider to liability under any other applicable state or federal rule, regulation or law,</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any appearance of impropriety,</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meet the guidelines established by the Company,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fails to satisfy review by the 10b5-1 Committee for any reason, such failure to be determined in the sole discretion of the 10b5-1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jc w:val="both"/>
        <w:ind w:firstLine="656"/>
        <w:spacing w:after="0" w:line="266" w:lineRule="auto"/>
        <w:tabs>
          <w:tab w:leader="none" w:pos="101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to the Plan or deviations from the Plan without prior approval of the 10b5-1 Committee will result in a failure to comply with the Insider Trading Policy. Any such modifications or deviations are subject to the approval of the 10b5-1 Committee in accordance with Section B above.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must be adopted (a) at a time when the trading window is open, and (b) in good faith by the Insider while he or she is not in possession of any material, nonpublic information about the Company. No Plan may be entered into as part of an attempt to evade the prohibitions of the Insider Trading Policy or federal or state insider trading laws.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must provide appropriate mechanisms to ensure that the Insider complies with all rules and regulations, including Rule 144, Rule 701 and Section 16(b), applicable to securities transactions under the Plan by the Insider.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10b5-1 Committee nor any of the Company’s officers, employees or other representatives shall be deemed, solely by their approval of an Insider’s Plan, to have represented that any Plan complies with the Rule or to have assumed any liability or responsibility to the Insider or any other party if such Plan fails to comply with the Rule.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Enclosed is a copy of the Insider Trading Policy as adopted by Applied Optoelectronics,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on September 25, 2013. </w:t>
      </w:r>
      <w:r>
        <w:rPr>
          <w:rFonts w:ascii="Times New Roman" w:cs="Times New Roman" w:eastAsia="Times New Roman" w:hAnsi="Times New Roman"/>
          <w:sz w:val="18"/>
          <w:szCs w:val="18"/>
          <w:b w:val="1"/>
          <w:bCs w:val="1"/>
          <w:color w:val="auto"/>
        </w:rPr>
        <w:t>PLEASE 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IT VERY CAREFULLY</w:t>
      </w:r>
      <w:r>
        <w:rPr>
          <w:rFonts w:ascii="Times New Roman" w:cs="Times New Roman" w:eastAsia="Times New Roman" w:hAnsi="Times New Roman"/>
          <w:sz w:val="18"/>
          <w:szCs w:val="18"/>
          <w:color w:val="auto"/>
        </w:rPr>
        <w:t>. As it indicates, the consequences of insider trading can be drastic to both you and the Company.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show that you have read the policy and agree to be bound by it, please sign and return the attached copy of this letter to David C. Kuo, the Company’s Compliance Officer, as soon as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C.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certifies that the undersigned has read, understands and agrees to comply with the Insider Trading Policy of Applied Optoelectronics,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agrees that the undersigned will be subject to sanctions, including, as to employees of the Company, termination of employment, that may be imposed by the Company, in its discretion, for violation of the Company’s policy, and that the Company may give stop-transfer and other instructions to the Company’s transfer agent against the transfer of Company securities by the undersigned in a transaction that the Company considers to be in contravention of its policy.</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Employee or Insider: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I-7</w:t>
      </w:r>
    </w:p>
    <w:p>
      <w:pPr>
        <w:sectPr>
          <w:pgSz w:w="11900" w:h="16838" w:orient="portrait"/>
          <w:cols w:equalWidth="0" w:num="1">
            <w:col w:w="11240"/>
          </w:cols>
          <w:pgMar w:left="320" w:top="57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issued our reports dated February 28, 2025, with respect to the consolidated financial statements and internal control over financial reporting included in the Annual Report of Applied Optoelectronics, Inc. on Form 10-K for the year ended December 31, 2024. We consent to the incorporation by reference of said reports in the Registration Statements of Applied Optoelectronics Inc. on Form S-3ASR (File No. 333-283905) and on Forms S-8 (File No. 333-192407, File No. 333-217871, File No. 333-223347, File No. 333-230243, File No. 333-236831, File No. 333-253534, File No. 333-257009, File No. 333-253534, File No. 333-223347, File No. 333-230243, File No. 333-236831, File No. 333-217871, File No. 333-265711, File No. 333-272928, and File No. 333-273664).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Optoelectronics, Inc.;</w:t>
      </w:r>
    </w:p>
    <w:p>
      <w:pPr>
        <w:spacing w:after="0" w:line="225" w:lineRule="exact"/>
        <w:rPr>
          <w:rFonts w:ascii="Times New Roman" w:cs="Times New Roman" w:eastAsia="Times New Roman" w:hAnsi="Times New Roman"/>
          <w:sz w:val="18"/>
          <w:szCs w:val="18"/>
          <w:color w:val="auto"/>
        </w:rPr>
      </w:pPr>
    </w:p>
    <w:p>
      <w:pPr>
        <w:ind w:right="160" w:firstLine="424"/>
        <w:spacing w:after="0" w:line="282" w:lineRule="auto"/>
        <w:tabs>
          <w:tab w:leader="none" w:pos="5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40" w:firstLine="424"/>
        <w:spacing w:after="0" w:line="282" w:lineRule="auto"/>
        <w:tabs>
          <w:tab w:leader="none" w:pos="5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24"/>
        <w:spacing w:after="0" w:line="266" w:lineRule="auto"/>
        <w:tabs>
          <w:tab w:leader="none" w:pos="5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20" w:right="80" w:hanging="7"/>
        <w:spacing w:after="0" w:line="266" w:lineRule="auto"/>
        <w:tabs>
          <w:tab w:leader="none" w:pos="6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20" w:right="300" w:hanging="7"/>
        <w:spacing w:after="0" w:line="266" w:lineRule="auto"/>
        <w:tabs>
          <w:tab w:leader="none" w:pos="6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right="880" w:hanging="7"/>
        <w:spacing w:after="0" w:line="312" w:lineRule="auto"/>
        <w:tabs>
          <w:tab w:leader="none" w:pos="65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420" w:right="320" w:hanging="7"/>
        <w:spacing w:after="0" w:line="266" w:lineRule="auto"/>
        <w:tabs>
          <w:tab w:leader="none" w:pos="6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0" w:firstLine="424"/>
        <w:spacing w:after="0" w:line="282" w:lineRule="auto"/>
        <w:tabs>
          <w:tab w:leader="none" w:pos="5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20" w:right="280" w:hanging="7"/>
        <w:spacing w:after="0" w:line="282" w:lineRule="auto"/>
        <w:tabs>
          <w:tab w:leader="none" w:pos="6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right="220" w:hanging="7"/>
        <w:spacing w:after="0" w:line="282" w:lineRule="auto"/>
        <w:tabs>
          <w:tab w:leader="none" w:pos="6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Optoelectronics, Inc.;</w:t>
      </w:r>
    </w:p>
    <w:p>
      <w:pPr>
        <w:spacing w:after="0" w:line="225" w:lineRule="exact"/>
        <w:rPr>
          <w:rFonts w:ascii="Times New Roman" w:cs="Times New Roman" w:eastAsia="Times New Roman" w:hAnsi="Times New Roman"/>
          <w:sz w:val="18"/>
          <w:szCs w:val="18"/>
          <w:color w:val="auto"/>
        </w:rPr>
      </w:pPr>
    </w:p>
    <w:p>
      <w:pPr>
        <w:ind w:right="160" w:firstLine="424"/>
        <w:spacing w:after="0" w:line="282" w:lineRule="auto"/>
        <w:tabs>
          <w:tab w:leader="none" w:pos="5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40" w:firstLine="424"/>
        <w:spacing w:after="0" w:line="282" w:lineRule="auto"/>
        <w:tabs>
          <w:tab w:leader="none" w:pos="5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24"/>
        <w:spacing w:after="0" w:line="266" w:lineRule="auto"/>
        <w:tabs>
          <w:tab w:leader="none" w:pos="5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20" w:hanging="6"/>
        <w:spacing w:after="0" w:line="266" w:lineRule="auto"/>
        <w:tabs>
          <w:tab w:leader="none" w:pos="74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220" w:hanging="6"/>
        <w:spacing w:after="0" w:line="266" w:lineRule="auto"/>
        <w:tabs>
          <w:tab w:leader="none" w:pos="7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800" w:hanging="6"/>
        <w:spacing w:after="0" w:line="312" w:lineRule="auto"/>
        <w:tabs>
          <w:tab w:leader="none" w:pos="745"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500" w:right="240" w:hanging="6"/>
        <w:spacing w:after="0" w:line="266" w:lineRule="auto"/>
        <w:tabs>
          <w:tab w:leader="none" w:pos="7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24"/>
        <w:spacing w:after="0" w:line="282" w:lineRule="auto"/>
        <w:tabs>
          <w:tab w:leader="none" w:pos="5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0" w:hanging="6"/>
        <w:spacing w:after="0" w:line="282" w:lineRule="auto"/>
        <w:tabs>
          <w:tab w:leader="none" w:pos="74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140" w:hanging="6"/>
        <w:spacing w:after="0" w:line="282" w:lineRule="auto"/>
        <w:tabs>
          <w:tab w:leader="none" w:pos="7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80" w:lineRule="exact"/>
        <w:rPr>
          <w:sz w:val="20"/>
          <w:szCs w:val="20"/>
          <w:color w:val="auto"/>
        </w:rPr>
      </w:pPr>
    </w:p>
    <w:p>
      <w:pPr>
        <w:ind w:right="120" w:firstLine="424"/>
        <w:spacing w:after="0" w:line="282" w:lineRule="auto"/>
        <w:tabs>
          <w:tab w:leader="none" w:pos="5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00" w:firstLine="424"/>
        <w:spacing w:after="0" w:line="282" w:lineRule="auto"/>
        <w:tabs>
          <w:tab w:leader="none" w:pos="5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28 th day of February,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 Chih-Hsiang (Thompson) Lin</w:t>
            </w:r>
          </w:p>
        </w:tc>
        <w:tc>
          <w:tcPr>
            <w:tcW w:w="5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 Stefan J. Murry</w:t>
            </w:r>
          </w:p>
        </w:tc>
      </w:tr>
      <w:tr>
        <w:trPr>
          <w:trHeight w:val="191"/>
        </w:trPr>
        <w:tc>
          <w:tcPr>
            <w:tcW w:w="5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tc>
        <w:tc>
          <w:tcPr>
            <w:tcW w:w="30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28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2"/>
    </w:lvl>
  </w:abstractNum>
  <w:abstractNum w:abstractNumId="25">
    <w:nsid w:val="1CF10FD8"/>
    <w:multiLevelType w:val="hybridMultilevel"/>
    <w:lvl w:ilvl="0">
      <w:lvlJc w:val="left"/>
      <w:lvlText w:val="(%1)"/>
      <w:numFmt w:val="lowerRoman"/>
      <w:start w:val="2"/>
    </w:lvl>
  </w:abstractNum>
  <w:abstractNum w:abstractNumId="26">
    <w:nsid w:val="180115BE"/>
    <w:multiLevelType w:val="hybridMultilevel"/>
    <w:lvl w:ilvl="0">
      <w:lvlJc w:val="left"/>
      <w:lvlText w:val="%1."/>
      <w:numFmt w:val="lowerLetter"/>
      <w:start w:val="3"/>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1"/>
      <w:numFmt w:val="decimal"/>
      <w:start w:val="21"/>
    </w:lvl>
  </w:abstractNum>
  <w:abstractNum w:abstractNumId="29">
    <w:nsid w:val="354FE9F9"/>
    <w:multiLevelType w:val="hybridMultilevel"/>
    <w:lvl w:ilvl="0">
      <w:lvlJc w:val="left"/>
      <w:lvlText w:val="*"/>
      <w:numFmt w:val="bullet"/>
      <w:start w:val="1"/>
    </w:lvl>
    <w:lvl w:ilvl="1">
      <w:lvlJc w:val="left"/>
      <w:lvlText w:val="%2"/>
      <w:numFmt w:val="decimal"/>
      <w:start w:val="104"/>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lvl w:ilvl="1">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2"/>
    </w:lvl>
  </w:abstractNum>
  <w:abstractNum w:abstractNumId="34">
    <w:nsid w:val="3F6AB60F"/>
    <w:multiLevelType w:val="hybridMultilevel"/>
    <w:lvl w:ilvl="0">
      <w:lvlJc w:val="left"/>
      <w:lvlText w:val="%1."/>
      <w:numFmt w:val="decimal"/>
      <w:start w:val="3"/>
    </w:lvl>
  </w:abstractNum>
  <w:abstractNum w:abstractNumId="35">
    <w:nsid w:val="61574095"/>
    <w:multiLevelType w:val="hybridMultilevel"/>
    <w:lvl w:ilvl="0">
      <w:lvlJc w:val="left"/>
      <w:lvlText w:val="%1."/>
      <w:numFmt w:val="decimal"/>
      <w:start w:val="4"/>
    </w:lvl>
  </w:abstractNum>
  <w:abstractNum w:abstractNumId="36">
    <w:nsid w:val="7E0C57B1"/>
    <w:multiLevelType w:val="hybridMultilevel"/>
    <w:lvl w:ilvl="0">
      <w:lvlJc w:val="left"/>
      <w:lvlText w:val="%1."/>
      <w:numFmt w:val="decimal"/>
      <w:start w:val="5"/>
    </w:lvl>
  </w:abstractNum>
  <w:abstractNum w:abstractNumId="37">
    <w:nsid w:val="77AE35EB"/>
    <w:multiLevelType w:val="hybridMultilevel"/>
    <w:lvl w:ilvl="0">
      <w:lvlJc w:val="left"/>
      <w:lvlText w:val="%1."/>
      <w:numFmt w:val="decimal"/>
      <w:start w:val="6"/>
    </w:lvl>
  </w:abstractNum>
  <w:abstractNum w:abstractNumId="38">
    <w:nsid w:val="579BE4F1"/>
    <w:multiLevelType w:val="hybridMultilevel"/>
    <w:lvl w:ilvl="0">
      <w:lvlJc w:val="left"/>
      <w:lvlText w:val="%1."/>
      <w:numFmt w:val="decimal"/>
      <w:start w:val="7"/>
    </w:lvl>
  </w:abstractNum>
  <w:abstractNum w:abstractNumId="39">
    <w:nsid w:val="310C50B3"/>
    <w:multiLevelType w:val="hybridMultilevel"/>
    <w:lvl w:ilvl="0">
      <w:lvlJc w:val="left"/>
      <w:lvlText w:val="%1."/>
      <w:numFmt w:val="decimal"/>
      <w:start w:val="8"/>
    </w:lvl>
  </w:abstractNum>
  <w:abstractNum w:abstractNumId="40">
    <w:nsid w:val="5FF87E05"/>
    <w:multiLevelType w:val="hybridMultilevel"/>
    <w:lvl w:ilvl="0">
      <w:lvlJc w:val="left"/>
      <w:lvlText w:val="%1."/>
      <w:numFmt w:val="decimal"/>
      <w:start w:val="9"/>
    </w:lvl>
  </w:abstractNum>
  <w:abstractNum w:abstractNumId="41">
    <w:nsid w:val="2F305DEF"/>
    <w:multiLevelType w:val="hybridMultilevel"/>
    <w:lvl w:ilvl="0">
      <w:lvlJc w:val="left"/>
      <w:lvlText w:val="%1."/>
      <w:numFmt w:val="decimal"/>
      <w:start w:val="10"/>
    </w:lvl>
  </w:abstractNum>
  <w:abstractNum w:abstractNumId="42">
    <w:nsid w:val="25A70BF7"/>
    <w:multiLevelType w:val="hybridMultilevel"/>
    <w:lvl w:ilvl="0">
      <w:lvlJc w:val="left"/>
      <w:lvlText w:val="%1."/>
      <w:numFmt w:val="decimal"/>
      <w:start w:val="11"/>
    </w:lvl>
  </w:abstractNum>
  <w:abstractNum w:abstractNumId="43">
    <w:nsid w:val="1DBABF00"/>
    <w:multiLevelType w:val="hybridMultilevel"/>
    <w:lvl w:ilvl="0">
      <w:lvlJc w:val="left"/>
      <w:lvlText w:val="%1."/>
      <w:numFmt w:val="decimal"/>
      <w:start w:val="12"/>
    </w:lvl>
  </w:abstractNum>
  <w:abstractNum w:abstractNumId="44">
    <w:nsid w:val="4AD084E9"/>
    <w:multiLevelType w:val="hybridMultilevel"/>
    <w:lvl w:ilvl="0">
      <w:lvlJc w:val="left"/>
      <w:lvlText w:val="%1."/>
      <w:numFmt w:val="decimal"/>
      <w:start w:val="13"/>
    </w:lvl>
  </w:abstractNum>
  <w:abstractNum w:abstractNumId="45">
    <w:nsid w:val="1F48EAA1"/>
    <w:multiLevelType w:val="hybridMultilevel"/>
    <w:lvl w:ilvl="0">
      <w:lvlJc w:val="left"/>
      <w:lvlText w:val="%1."/>
      <w:numFmt w:val="decimal"/>
      <w:start w:val="14"/>
    </w:lvl>
  </w:abstractNum>
  <w:abstractNum w:abstractNumId="46">
    <w:nsid w:val="1381823A"/>
    <w:multiLevelType w:val="hybridMultilevel"/>
    <w:lvl w:ilvl="0">
      <w:lvlJc w:val="left"/>
      <w:lvlText w:val="%1."/>
      <w:numFmt w:val="decimal"/>
      <w:start w:val="15"/>
    </w:lvl>
  </w:abstractNum>
  <w:abstractNum w:abstractNumId="47">
    <w:nsid w:val="5DB70AE5"/>
    <w:multiLevelType w:val="hybridMultilevel"/>
    <w:lvl w:ilvl="0">
      <w:lvlJc w:val="left"/>
      <w:lvlText w:val="%1."/>
      <w:numFmt w:val="decimal"/>
      <w:start w:val="16"/>
    </w:lvl>
  </w:abstractNum>
  <w:abstractNum w:abstractNumId="48">
    <w:nsid w:val="100F8FCA"/>
    <w:multiLevelType w:val="hybridMultilevel"/>
    <w:lvl w:ilvl="0">
      <w:lvlJc w:val="left"/>
      <w:lvlText w:val="%1."/>
      <w:numFmt w:val="decimal"/>
      <w:start w:val="18"/>
    </w:lvl>
  </w:abstractNum>
  <w:abstractNum w:abstractNumId="49">
    <w:nsid w:val="6590700B"/>
    <w:multiLevelType w:val="hybridMultilevel"/>
    <w:lvl w:ilvl="0">
      <w:lvlJc w:val="left"/>
      <w:lvlText w:val="%1."/>
      <w:numFmt w:val="decimal"/>
      <w:start w:val="19"/>
    </w:lvl>
  </w:abstractNum>
  <w:abstractNum w:abstractNumId="50">
    <w:nsid w:val="15014ACB"/>
    <w:multiLevelType w:val="hybridMultilevel"/>
    <w:lvl w:ilvl="0">
      <w:lvlJc w:val="left"/>
      <w:lvlText w:val="%1."/>
      <w:numFmt w:val="decimal"/>
      <w:start w:val="20"/>
    </w:lvl>
  </w:abstractNum>
  <w:abstractNum w:abstractNumId="51">
    <w:nsid w:val="5F5E7FD0"/>
    <w:multiLevelType w:val="hybridMultilevel"/>
    <w:lvl w:ilvl="0">
      <w:lvlJc w:val="left"/>
      <w:lvlText w:val="%1."/>
      <w:numFmt w:val="decimal"/>
      <w:start w:val="21"/>
    </w:lvl>
  </w:abstractNum>
  <w:abstractNum w:abstractNumId="52">
    <w:nsid w:val="98A3148"/>
    <w:multiLevelType w:val="hybridMultilevel"/>
    <w:lvl w:ilvl="0">
      <w:lvlJc w:val="left"/>
      <w:lvlText w:val="%1."/>
      <w:numFmt w:val="decimal"/>
      <w:start w:val="22"/>
    </w:lvl>
  </w:abstractNum>
  <w:abstractNum w:abstractNumId="53">
    <w:nsid w:val="799D0247"/>
    <w:multiLevelType w:val="hybridMultilevel"/>
    <w:lvl w:ilvl="0">
      <w:lvlJc w:val="left"/>
      <w:lvlText w:val="%1."/>
      <w:numFmt w:val="upperLetter"/>
      <w:start w:val="11"/>
    </w:lvl>
  </w:abstractNum>
  <w:abstractNum w:abstractNumId="54">
    <w:nsid w:val="6B94764"/>
    <w:multiLevelType w:val="hybridMultilevel"/>
    <w:lvl w:ilvl="0">
      <w:lvlJc w:val="left"/>
      <w:lvlText w:val="(%1)"/>
      <w:numFmt w:val="lowerRoman"/>
      <w:start w:val="3"/>
    </w:lvl>
  </w:abstractNum>
  <w:abstractNum w:abstractNumId="55">
    <w:nsid w:val="42C296BD"/>
    <w:multiLevelType w:val="hybridMultilevel"/>
    <w:lvl w:ilvl="0">
      <w:lvlJc w:val="left"/>
      <w:lvlText w:val="%1"/>
      <w:numFmt w:val="upperLetter"/>
      <w:start w:val="68"/>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1."/>
      <w:numFmt w:val="upperLetter"/>
      <w:start w:val="9"/>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upperLetter"/>
      <w:start w:val="35"/>
    </w:lvl>
  </w:abstractNum>
  <w:abstractNum w:abstractNumId="60">
    <w:nsid w:val="540A471C"/>
    <w:multiLevelType w:val="hybridMultilevel"/>
    <w:lvl w:ilvl="0">
      <w:lvlJc w:val="left"/>
      <w:lvlText w:val="%1."/>
      <w:numFmt w:val="upperLetter"/>
      <w:start w:val="61"/>
    </w:lvl>
    <w:lvl w:ilvl="1">
      <w:lvlJc w:val="left"/>
      <w:lvlText w:val="%2."/>
      <w:numFmt w:val="upperLetter"/>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1."/>
      <w:numFmt w:val="upperLetter"/>
      <w:start w:val="22"/>
    </w:lvl>
    <w:lvl w:ilvl="1">
      <w:lvlJc w:val="left"/>
      <w:lvlText w:val="%2."/>
      <w:numFmt w:val="upperLetter"/>
      <w:start w:val="1"/>
    </w:lvl>
  </w:abstractNum>
  <w:abstractNum w:abstractNumId="64">
    <w:nsid w:val="BF72B14"/>
    <w:multiLevelType w:val="hybridMultilevel"/>
    <w:lvl w:ilvl="0">
      <w:lvlJc w:val="left"/>
      <w:lvlText w:val="%1."/>
      <w:numFmt w:val="upperLetter"/>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upperLetter"/>
      <w:start w:val="2"/>
    </w:lvl>
  </w:abstractNum>
  <w:abstractNum w:abstractNumId="67">
    <w:nsid w:val="A0382C5"/>
    <w:multiLevelType w:val="hybridMultilevel"/>
    <w:lvl w:ilvl="0">
      <w:lvlJc w:val="left"/>
      <w:lvlText w:val="%1."/>
      <w:numFmt w:val="upperLetter"/>
      <w:start w:val="3"/>
    </w:lvl>
  </w:abstractNum>
  <w:abstractNum w:abstractNumId="68">
    <w:nsid w:val="8F2B15E"/>
    <w:multiLevelType w:val="hybridMultilevel"/>
    <w:lvl w:ilvl="0">
      <w:lvlJc w:val="left"/>
      <w:lvlText w:val="%1."/>
      <w:numFmt w:val="upperLetter"/>
      <w:start w:val="24"/>
    </w:lvl>
    <w:lvl w:ilvl="1">
      <w:lvlJc w:val="left"/>
      <w:lvlText w:val="%2."/>
      <w:numFmt w:val="upperLetter"/>
      <w:start w:val="1"/>
    </w:lvl>
  </w:abstractNum>
  <w:abstractNum w:abstractNumId="69">
    <w:nsid w:val="1A32234B"/>
    <w:multiLevelType w:val="hybridMultilevel"/>
    <w:lvl w:ilvl="0">
      <w:lvlJc w:val="left"/>
      <w:lvlText w:val="%1."/>
      <w:numFmt w:val="upperLetter"/>
      <w:start w:val="3"/>
    </w:lvl>
  </w:abstractNum>
  <w:abstractNum w:abstractNumId="70">
    <w:nsid w:val="3B0FD379"/>
    <w:multiLevelType w:val="hybridMultilevel"/>
    <w:lvl w:ilvl="0">
      <w:lvlJc w:val="left"/>
      <w:lvlText w:val="%1."/>
      <w:numFmt w:val="upperLetter"/>
      <w:start w:val="1"/>
    </w:lvl>
  </w:abstractNum>
  <w:abstractNum w:abstractNumId="71">
    <w:nsid w:val="68EB2F63"/>
    <w:multiLevelType w:val="hybridMultilevel"/>
    <w:lvl w:ilvl="0">
      <w:lvlJc w:val="left"/>
      <w:lvlText w:val="%1."/>
      <w:numFmt w:val="upperLetter"/>
      <w:start w:val="2"/>
    </w:lvl>
  </w:abstractNum>
  <w:abstractNum w:abstractNumId="72">
    <w:nsid w:val="4962813B"/>
    <w:multiLevelType w:val="hybridMultilevel"/>
    <w:lvl w:ilvl="0">
      <w:lvlJc w:val="left"/>
      <w:lvlText w:val="%1."/>
      <w:numFmt w:val="upperLetter"/>
      <w:start w:val="9"/>
    </w:lvl>
  </w:abstractNum>
  <w:abstractNum w:abstractNumId="73">
    <w:nsid w:val="60B6DF70"/>
    <w:multiLevelType w:val="hybridMultilevel"/>
    <w:lvl w:ilvl="0">
      <w:lvlJc w:val="left"/>
      <w:lvlText w:val="%1."/>
      <w:numFmt w:val="upperLetter"/>
      <w:start w:val="35"/>
    </w:lvl>
  </w:abstractNum>
  <w:abstractNum w:abstractNumId="74">
    <w:nsid w:val="6A5EE64"/>
    <w:multiLevelType w:val="hybridMultilevel"/>
    <w:lvl w:ilvl="0">
      <w:lvlJc w:val="left"/>
      <w:lvlText w:val="%1."/>
      <w:numFmt w:val="upperLetter"/>
      <w:start w:val="61"/>
    </w:lvl>
  </w:abstractNum>
  <w:abstractNum w:abstractNumId="75">
    <w:nsid w:val="14330624"/>
    <w:multiLevelType w:val="hybridMultilevel"/>
    <w:lvl w:ilvl="0">
      <w:lvlJc w:val="left"/>
      <w:lvlText w:val="%1."/>
      <w:numFmt w:val="upperLetter"/>
      <w:start w:val="22"/>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1."/>
      <w:numFmt w:val="upperLetter"/>
      <w:start w:val="24"/>
    </w:lvl>
  </w:abstractNum>
  <w:abstractNum w:abstractNumId="80">
    <w:nsid w:val="7FB7E0A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1">
    <w:nsid w:val="6EB5BD4"/>
    <w:multiLevelType w:val="hybridMultilevel"/>
    <w:lvl w:ilvl="0">
      <w:lvlJc w:val="left"/>
      <w:lvlText w:val="%1."/>
      <w:numFmt w:val="upperLetter"/>
      <w:start w:val="3"/>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5"/>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82" Type="http://schemas.openxmlformats.org/officeDocument/2006/relationships/image" Target="media/image56.png"/><Relationship Id="rId102"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11" Type="http://schemas.openxmlformats.org/officeDocument/2006/relationships/image" Target="media/image60.png"/><Relationship Id="rId123" Type="http://schemas.openxmlformats.org/officeDocument/2006/relationships/image" Target="media/image61.png"/><Relationship Id="rId124" Type="http://schemas.openxmlformats.org/officeDocument/2006/relationships/image" Target="media/image62.png"/><Relationship Id="rId125" Type="http://schemas.openxmlformats.org/officeDocument/2006/relationships/image" Target="media/image63.png"/><Relationship Id="rId126" Type="http://schemas.openxmlformats.org/officeDocument/2006/relationships/image" Target="media/image64.png"/><Relationship Id="rId127" Type="http://schemas.openxmlformats.org/officeDocument/2006/relationships/image" Target="media/image65.png"/><Relationship Id="rId128" Type="http://schemas.openxmlformats.org/officeDocument/2006/relationships/image" Target="media/image66.png"/><Relationship Id="rId129" Type="http://schemas.openxmlformats.org/officeDocument/2006/relationships/image" Target="media/image67.png"/><Relationship Id="rId130" Type="http://schemas.openxmlformats.org/officeDocument/2006/relationships/image" Target="media/image68.png"/><Relationship Id="rId131" Type="http://schemas.openxmlformats.org/officeDocument/2006/relationships/image" Target="media/image69.png"/><Relationship Id="rId132" Type="http://schemas.openxmlformats.org/officeDocument/2006/relationships/image" Target="media/image70.png"/><Relationship Id="rId133" Type="http://schemas.openxmlformats.org/officeDocument/2006/relationships/image" Target="media/image71.png"/><Relationship Id="rId134" Type="http://schemas.openxmlformats.org/officeDocument/2006/relationships/image" Target="media/image72.png"/><Relationship Id="rId135" Type="http://schemas.openxmlformats.org/officeDocument/2006/relationships/image" Target="media/image73.png"/><Relationship Id="rId136" Type="http://schemas.openxmlformats.org/officeDocument/2006/relationships/image" Target="media/image74.png"/><Relationship Id="rId137" Type="http://schemas.openxmlformats.org/officeDocument/2006/relationships/image" Target="media/image75.png"/><Relationship Id="rId138" Type="http://schemas.openxmlformats.org/officeDocument/2006/relationships/image" Target="media/image76.png"/><Relationship Id="rId139" Type="http://schemas.openxmlformats.org/officeDocument/2006/relationships/image" Target="media/image77.png"/><Relationship Id="rId140" Type="http://schemas.openxmlformats.org/officeDocument/2006/relationships/image" Target="media/image78.png"/><Relationship Id="rId141" Type="http://schemas.openxmlformats.org/officeDocument/2006/relationships/image" Target="media/image79.png"/><Relationship Id="rId142" Type="http://schemas.openxmlformats.org/officeDocument/2006/relationships/image" Target="media/image80.png"/><Relationship Id="rId143" Type="http://schemas.openxmlformats.org/officeDocument/2006/relationships/image" Target="media/image81.png"/><Relationship Id="rId144" Type="http://schemas.openxmlformats.org/officeDocument/2006/relationships/image" Target="media/image82.png"/><Relationship Id="rId145" Type="http://schemas.openxmlformats.org/officeDocument/2006/relationships/image" Target="media/image83.png"/><Relationship Id="rId146" Type="http://schemas.openxmlformats.org/officeDocument/2006/relationships/image" Target="media/image84.png"/><Relationship Id="rId147" Type="http://schemas.openxmlformats.org/officeDocument/2006/relationships/image" Target="media/image85.png"/><Relationship Id="rId148" Type="http://schemas.openxmlformats.org/officeDocument/2006/relationships/image" Target="media/image86.png"/><Relationship Id="rId149" Type="http://schemas.openxmlformats.org/officeDocument/2006/relationships/image" Target="media/image87.png"/><Relationship Id="rId150" Type="http://schemas.openxmlformats.org/officeDocument/2006/relationships/image" Target="media/image88.png"/><Relationship Id="rId151" Type="http://schemas.openxmlformats.org/officeDocument/2006/relationships/image" Target="media/image89.png"/><Relationship Id="rId152" Type="http://schemas.openxmlformats.org/officeDocument/2006/relationships/image" Target="media/image90.png"/><Relationship Id="rId153" Type="http://schemas.openxmlformats.org/officeDocument/2006/relationships/image" Target="media/image91.png"/><Relationship Id="rId154" Type="http://schemas.openxmlformats.org/officeDocument/2006/relationships/image" Target="media/image92.png"/><Relationship Id="rId155"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5.png"/><Relationship Id="rId158" Type="http://schemas.openxmlformats.org/officeDocument/2006/relationships/image" Target="media/image96.png"/><Relationship Id="rId159" Type="http://schemas.openxmlformats.org/officeDocument/2006/relationships/image" Target="media/image97.png"/><Relationship Id="rId160"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63" Type="http://schemas.openxmlformats.org/officeDocument/2006/relationships/hyperlink" Target="http://www.sec.gov/Archives/edgar/data/1158114/000101968713004306/aaoi_10q-ex0301.htm" TargetMode="External"/><Relationship Id="rId64" Type="http://schemas.openxmlformats.org/officeDocument/2006/relationships/hyperlink" Target="http://www.sec.gov/Archives/edgar/data/1158114/000168316823006330/appopto_ex0301.htm" TargetMode="External"/><Relationship Id="rId65" Type="http://schemas.openxmlformats.org/officeDocument/2006/relationships/hyperlink" Target="http://www.sec.gov/Archives/edgar/data/1158114/000101968713004306/aaoi_10q-ex0302.htm" TargetMode="External"/><Relationship Id="rId66" Type="http://schemas.openxmlformats.org/officeDocument/2006/relationships/hyperlink" Target="http://www.sec.gov/Archives/edgar/data/1158114/000110465916157015/a16-21428_1ex4d1.htm" TargetMode="External"/><Relationship Id="rId67" Type="http://schemas.openxmlformats.org/officeDocument/2006/relationships/hyperlink" Target="http://www.sec.gov/Archives/edgar/data/1158114/000110465923123656/tm2331117d2_ex4-1.htm" TargetMode="External"/><Relationship Id="rId68" Type="http://schemas.openxmlformats.org/officeDocument/2006/relationships/hyperlink" Target="http://www.sec.gov/Archives/edgar/data/1158114/000110465923123656/tm2331117d2_ex4-1.htm#ex-a" TargetMode="External"/><Relationship Id="rId69" Type="http://schemas.openxmlformats.org/officeDocument/2006/relationships/hyperlink" Target="http://www.sec.gov/Archives/edgar/data/1158114/000110465923123656/tm2331117d2_ex4-3.htm" TargetMode="External"/><Relationship Id="rId70" Type="http://schemas.openxmlformats.org/officeDocument/2006/relationships/hyperlink" Target="http://www.sec.gov/Archives/edgar/data/1158114/000110465924131385/tm2431223d10_ex4-1.htm" TargetMode="External"/><Relationship Id="rId71" Type="http://schemas.openxmlformats.org/officeDocument/2006/relationships/hyperlink" Target="http://www.sec.gov/Archives/edgar/data/1158114/000110465924131385/tm2431223d10_ex4-1.htm#ex-a" TargetMode="External"/><Relationship Id="rId72" Type="http://schemas.openxmlformats.org/officeDocument/2006/relationships/hyperlink" Target="http://www.sec.gov/Archives/edgar/data/1158114/000143774924005367/ex_625903.htm" TargetMode="External"/><Relationship Id="rId73" Type="http://schemas.openxmlformats.org/officeDocument/2006/relationships/hyperlink" Target="http://www.sec.gov/Archives/edgar/data/1158114/000104746913008409/a2216044zex-10_1.htm" TargetMode="External"/><Relationship Id="rId74" Type="http://schemas.openxmlformats.org/officeDocument/2006/relationships/hyperlink" Target="http://www.sec.gov/Archives/edgar/data/1158114/000155837017001556/aaoi-20161231ex10640a0a4.htm" TargetMode="External"/><Relationship Id="rId75" Type="http://schemas.openxmlformats.org/officeDocument/2006/relationships/hyperlink" Target="http://www.sec.gov/Archives/edgar/data/1158114/000104746913008409/a2216044zex-10_61.htm" TargetMode="External"/><Relationship Id="rId76" Type="http://schemas.openxmlformats.org/officeDocument/2006/relationships/hyperlink" Target="http://www.sec.gov/Archives/edgar/data/1158114/000104746913008409/a2216044zex-10_62.htm" TargetMode="External"/><Relationship Id="rId77" Type="http://schemas.openxmlformats.org/officeDocument/2006/relationships/hyperlink" Target="http://www.sec.gov/Archives/edgar/data/1158114/000104746913008409/a2216044zex-10_63.htm" TargetMode="External"/><Relationship Id="rId78" Type="http://schemas.openxmlformats.org/officeDocument/2006/relationships/hyperlink" Target="http://www.sec.gov/Archives/edgar/data/1158114/000104746913008409/a2216044zex-10_64.htm" TargetMode="External"/><Relationship Id="rId79" Type="http://schemas.openxmlformats.org/officeDocument/2006/relationships/hyperlink" Target="http://www.sec.gov/Archives/edgar/data/1158114/000168316821002352/aaoi_ex1001.htm" TargetMode="External"/><Relationship Id="rId80" Type="http://schemas.openxmlformats.org/officeDocument/2006/relationships/hyperlink" Target="http://www.sec.gov/Archives/edgar/data/1158114/000143774921018786/ex_270779.htm" TargetMode="External"/><Relationship Id="rId81" Type="http://schemas.openxmlformats.org/officeDocument/2006/relationships/hyperlink" Target="http://www.sec.gov/Archives/edgar/data/1158114/000143774921018786/ex_270780.htm" TargetMode="External"/><Relationship Id="rId83" Type="http://schemas.openxmlformats.org/officeDocument/2006/relationships/hyperlink" Target="http://www.sec.gov/Archives/edgar/data/1158114/000143774923031255/ex_589589.htm" TargetMode="External"/><Relationship Id="rId84" Type="http://schemas.openxmlformats.org/officeDocument/2006/relationships/hyperlink" Target="http://www.sec.gov/Archives/edgar/data/1158114/000104746913008409/a2216044zex-10_121.htm" TargetMode="External"/><Relationship Id="rId85" Type="http://schemas.openxmlformats.org/officeDocument/2006/relationships/hyperlink" Target="http://www.sec.gov/Archives/edgar/data/1158114/000101968716007125/applied_ex1020.htm" TargetMode="External"/><Relationship Id="rId86" Type="http://schemas.openxmlformats.org/officeDocument/2006/relationships/hyperlink" Target="http://www.sec.gov/Archives/edgar/data/1158114/000101968716007125/applied_ex1021.htm" TargetMode="External"/><Relationship Id="rId87" Type="http://schemas.openxmlformats.org/officeDocument/2006/relationships/hyperlink" Target="http://www.sec.gov/Archives/edgar/data/1158114/000101968716007125/applied_ex1022.htm" TargetMode="External"/><Relationship Id="rId88" Type="http://schemas.openxmlformats.org/officeDocument/2006/relationships/hyperlink" Target="http://www.sec.gov/Archives/edgar/data/1158114/000155837018001271/aaoi-20171231ex1098811b1.htm" TargetMode="External"/><Relationship Id="rId89" Type="http://schemas.openxmlformats.org/officeDocument/2006/relationships/hyperlink" Target="http://www.sec.gov/Archives/edgar/data/1158114/000168316818000488/appliedopto_ex1001.htm" TargetMode="External"/><Relationship Id="rId90" Type="http://schemas.openxmlformats.org/officeDocument/2006/relationships/hyperlink" Target="http://www.sec.gov/Archives/edgar/data/1158114/000168316818000488/appliedopto_ex1002.htm" TargetMode="External"/><Relationship Id="rId91" Type="http://schemas.openxmlformats.org/officeDocument/2006/relationships/hyperlink" Target="http://www.sec.gov/Archives/edgar/data/1158114/000155837018001271/aaoi-20171231ex10309e615.htm" TargetMode="External"/><Relationship Id="rId92" Type="http://schemas.openxmlformats.org/officeDocument/2006/relationships/hyperlink" Target="http://www.sec.gov/Archives/edgar/data/1158114/000155837018001271/aaoi-20171231ex103012e87.htm" TargetMode="External"/><Relationship Id="rId93" Type="http://schemas.openxmlformats.org/officeDocument/2006/relationships/hyperlink" Target="http://www.sec.gov/Archives/edgar/data/1158114/000155837018004322/aaoi-20180331ex105416272.htm" TargetMode="External"/><Relationship Id="rId94" Type="http://schemas.openxmlformats.org/officeDocument/2006/relationships/hyperlink" Target="http://www.sec.gov/Archives/edgar/data/1158114/000168316818003035/appliedopto_ex1001.htm" TargetMode="External"/><Relationship Id="rId95" Type="http://schemas.openxmlformats.org/officeDocument/2006/relationships/hyperlink" Target="http://www.sec.gov/Archives/edgar/data/1158114/000110465919012900/a19-4821_4ex10d1.htm" TargetMode="External"/><Relationship Id="rId96" Type="http://schemas.openxmlformats.org/officeDocument/2006/relationships/hyperlink" Target="http://www.sec.gov/Archives/edgar/data/1158114/000168316819001379/applied_8k-1001.htm" TargetMode="External"/><Relationship Id="rId97" Type="http://schemas.openxmlformats.org/officeDocument/2006/relationships/hyperlink" Target="http://www.sec.gov/Archives/edgar/data/1158114/000168316819001485/aaoi_8k-ex1001.htm" TargetMode="External"/><Relationship Id="rId98" Type="http://schemas.openxmlformats.org/officeDocument/2006/relationships/hyperlink" Target="http://www.sec.gov/Archives/edgar/data/1158114/000168316819001485/aaoi_8k-ex1002.htm" TargetMode="External"/><Relationship Id="rId99" Type="http://schemas.openxmlformats.org/officeDocument/2006/relationships/hyperlink" Target="http://www.sec.gov/Archives/edgar/data/1158114/000168316819001761/appliedopto_ex1001.htm" TargetMode="External"/><Relationship Id="rId100" Type="http://schemas.openxmlformats.org/officeDocument/2006/relationships/hyperlink" Target="http://www.sec.gov/Archives/edgar/data/1158114/000168316819001761/appliedopto_ex1002.htm" TargetMode="External"/><Relationship Id="rId101" Type="http://schemas.openxmlformats.org/officeDocument/2006/relationships/hyperlink" Target="http://www.sec.gov/Archives/edgar/data/1158114/000168316819003720/aaoi_ex1001.htm" TargetMode="External"/><Relationship Id="rId103" Type="http://schemas.openxmlformats.org/officeDocument/2006/relationships/hyperlink" Target="http://www.sec.gov/Archives/edgar/data/1158114/000168316820001257/appliedopto_ex1001.htm" TargetMode="External"/><Relationship Id="rId104" Type="http://schemas.openxmlformats.org/officeDocument/2006/relationships/hyperlink" Target="http://www.sec.gov/Archives/edgar/data/1158114/000168316822004284/applied_ex1001.htm" TargetMode="External"/><Relationship Id="rId105" Type="http://schemas.openxmlformats.org/officeDocument/2006/relationships/hyperlink" Target="http://www.sec.gov/Archives/edgar/data/1158114/000168316822004284/applied_ex1002.htm" TargetMode="External"/><Relationship Id="rId106" Type="http://schemas.openxmlformats.org/officeDocument/2006/relationships/hyperlink" Target="http://www.sec.gov/Archives/edgar/data/1158114/000168316823002885/aaoi_ex1001.htm" TargetMode="External"/><Relationship Id="rId109" Type="http://schemas.openxmlformats.org/officeDocument/2006/relationships/hyperlink" Target="http://www.sec.gov/Archives/edgar/data/1158114/000168316823004130/applied_ex1001.htm" TargetMode="External"/><Relationship Id="rId110" Type="http://schemas.openxmlformats.org/officeDocument/2006/relationships/hyperlink" Target="http://www.sec.gov/Archives/edgar/data/1158114/000168316823004319/aaoi_ex1001.htm" TargetMode="External"/><Relationship Id="rId112" Type="http://schemas.openxmlformats.org/officeDocument/2006/relationships/hyperlink" Target="http://www.sec.gov/Archives/edgar/data/1158114/000110465923122604/tm2331918d1_ex10-1.htm" TargetMode="External"/><Relationship Id="rId113" Type="http://schemas.openxmlformats.org/officeDocument/2006/relationships/hyperlink" Target="http://www.sec.gov/Archives/edgar/data/1158114/000110465923123656/tm2331117d2_ex10-1.htm" TargetMode="External"/><Relationship Id="rId114" Type="http://schemas.openxmlformats.org/officeDocument/2006/relationships/hyperlink" Target="http://www.sec.gov/Archives/edgar/data/1158114/000168316823009111/appliedopto_ex1001.htm" TargetMode="External"/><Relationship Id="rId115" Type="http://schemas.openxmlformats.org/officeDocument/2006/relationships/hyperlink" Target="http://www.sec.gov/Archives/edgar/data/1158114/000168316823009111/appliedopto_ex1002.htm" TargetMode="External"/><Relationship Id="rId116" Type="http://schemas.openxmlformats.org/officeDocument/2006/relationships/hyperlink" Target="http://www.sec.gov/Archives/edgar/data/1158114/000168316824003885/appliedopto_ex1001.htm" TargetMode="External"/><Relationship Id="rId117" Type="http://schemas.openxmlformats.org/officeDocument/2006/relationships/hyperlink" Target="http://www.sec.gov/Archives/edgar/data/1158114/000168316824003885/appliedopto_ex1002.htm" TargetMode="External"/><Relationship Id="rId118" Type="http://schemas.openxmlformats.org/officeDocument/2006/relationships/hyperlink" Target="http://www.sec.gov/Archives/edgar/data/1158114/000168316824007049/appliedopto_ex1001.htm" TargetMode="External"/><Relationship Id="rId119" Type="http://schemas.openxmlformats.org/officeDocument/2006/relationships/hyperlink" Target="http://www.sec.gov/Archives/edgar/data/1158114/000110465924130522/tm2431223d4_ex10-1.htm" TargetMode="External"/><Relationship Id="rId120" Type="http://schemas.openxmlformats.org/officeDocument/2006/relationships/hyperlink" Target="http://www.sec.gov/Archives/edgar/data/1158114/000168316824009068/appopto-ex1001.htm" TargetMode="External"/><Relationship Id="rId121" Type="http://schemas.openxmlformats.org/officeDocument/2006/relationships/hyperlink" Target="http://www.sec.gov/Archives/edgar/data/1158114/000104746913008409/a2216044zex-21_1.htm" TargetMode="External"/><Relationship Id="rId122" Type="http://schemas.openxmlformats.org/officeDocument/2006/relationships/hyperlink" Target="http://www.sec.gov/Archives/edgar/data/1158114/000143774924005367/ex_6258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2025-02-28T06:45:15Z</dcterms:created>
  <dcterms:modified xsi:type="dcterms:W3CDTF">2025-02-28T06:45:15Z</dcterms:modified>
</cp:coreProperties>
</file>