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3880" w:right="1880" w:hanging="3872"/>
        <w:spacing w:after="0" w:line="493" w:lineRule="auto"/>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20" w:right="1860" w:hanging="341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__________ to </w:t>
      </w:r>
      <w:r>
        <w:rPr>
          <w:rFonts w:ascii="Arial" w:cs="Arial" w:eastAsia="Arial" w:hAnsi="Arial"/>
          <w:sz w:val="18"/>
          <w:szCs w:val="18"/>
          <w:color w:val="auto"/>
        </w:rPr>
        <w:t>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92" w:right="339" w:bottom="875" w:gutter="0" w:footer="0" w:header="0"/>
        </w:sectPr>
      </w:pPr>
    </w:p>
    <w:p>
      <w:pPr>
        <w:spacing w:after="0" w:line="20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692" w:right="339" w:bottom="875"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00" w:hanging="438"/>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00" w:lineRule="exact"/>
        <w:rPr>
          <w:sz w:val="24"/>
          <w:szCs w:val="24"/>
          <w:color w:val="auto"/>
        </w:rPr>
      </w:pPr>
    </w:p>
    <w:p>
      <w:pPr>
        <w:spacing w:after="0" w:line="2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2"/>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89"/>
              </w:rPr>
              <w:t>Trading Name of each exchange on which registered</w:t>
            </w:r>
          </w:p>
        </w:tc>
      </w:tr>
      <w:tr>
        <w:trPr>
          <w:trHeight w:val="224"/>
        </w:trPr>
        <w:tc>
          <w:tcPr>
            <w:tcW w:w="2920" w:type="dxa"/>
            <w:vAlign w:val="bottom"/>
          </w:tcPr>
          <w:p>
            <w:pPr>
              <w:jc w:val="center"/>
              <w:ind w:left="10"/>
              <w:spacing w:after="0"/>
              <w:rPr>
                <w:sz w:val="20"/>
                <w:szCs w:val="20"/>
                <w:color w:val="auto"/>
              </w:rPr>
            </w:pPr>
            <w:r>
              <w:rPr>
                <w:rFonts w:ascii="Arial" w:cs="Arial" w:eastAsia="Arial" w:hAnsi="Arial"/>
                <w:sz w:val="18"/>
                <w:szCs w:val="18"/>
                <w:color w:val="auto"/>
                <w:w w:val="89"/>
              </w:rPr>
              <w:t>Common Stock, Par value $0.001</w:t>
            </w:r>
          </w:p>
        </w:tc>
        <w:tc>
          <w:tcPr>
            <w:tcW w:w="2300" w:type="dxa"/>
            <w:vAlign w:val="bottom"/>
          </w:tcPr>
          <w:p>
            <w:pPr>
              <w:jc w:val="center"/>
              <w:ind w:right="490"/>
              <w:spacing w:after="0"/>
              <w:rPr>
                <w:sz w:val="20"/>
                <w:szCs w:val="20"/>
                <w:color w:val="auto"/>
              </w:rPr>
            </w:pPr>
            <w:r>
              <w:rPr>
                <w:rFonts w:ascii="Arial" w:cs="Arial" w:eastAsia="Arial" w:hAnsi="Arial"/>
                <w:sz w:val="18"/>
                <w:szCs w:val="18"/>
                <w:color w:val="auto"/>
              </w:rPr>
              <w:t>AAOI</w:t>
            </w:r>
          </w:p>
        </w:tc>
        <w:tc>
          <w:tcPr>
            <w:tcW w:w="6020" w:type="dxa"/>
            <w:vAlign w:val="bottom"/>
          </w:tcPr>
          <w:p>
            <w:pPr>
              <w:jc w:val="center"/>
              <w:ind w:right="590"/>
              <w:spacing w:after="0"/>
              <w:rPr>
                <w:sz w:val="20"/>
                <w:szCs w:val="20"/>
                <w:color w:val="auto"/>
              </w:rPr>
            </w:pPr>
            <w:r>
              <w:rPr>
                <w:rFonts w:ascii="Arial" w:cs="Arial" w:eastAsia="Arial" w:hAnsi="Arial"/>
                <w:sz w:val="18"/>
                <w:szCs w:val="18"/>
                <w:color w:val="auto"/>
                <w:w w:val="96"/>
              </w:rPr>
              <w:t>NASDAQ Global Market</w:t>
            </w:r>
          </w:p>
        </w:tc>
      </w:tr>
    </w:tbl>
    <w:p>
      <w:pPr>
        <w:spacing w:after="0" w:line="187"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both"/>
        <w:ind w:left="280" w:right="260" w:firstLine="41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7"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98" w:lineRule="exact"/>
        <w:rPr>
          <w:sz w:val="24"/>
          <w:szCs w:val="24"/>
          <w:color w:val="auto"/>
        </w:rPr>
      </w:pPr>
    </w:p>
    <w:p>
      <w:pPr>
        <w:ind w:left="68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30" w:lineRule="exact"/>
        <w:rPr>
          <w:sz w:val="24"/>
          <w:szCs w:val="24"/>
          <w:color w:val="auto"/>
        </w:rPr>
      </w:pPr>
    </w:p>
    <w:p>
      <w:pPr>
        <w:ind w:left="280"/>
        <w:spacing w:after="0" w:line="207" w:lineRule="exact"/>
        <w:tabs>
          <w:tab w:leader="none" w:pos="926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As of July 31, 2020 there were 22,773,963 shares of the registrant’s Common Stock outstanding.</w:t>
      </w:r>
    </w:p>
    <w:p>
      <w:pPr>
        <w:sectPr>
          <w:pgSz w:w="11900" w:h="16838" w:orient="portrait"/>
          <w:cols w:equalWidth="0" w:num="1">
            <w:col w:w="11240"/>
          </w:cols>
          <w:pgMar w:left="320" w:top="692" w:right="339" w:bottom="875"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0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Applied Optoelectronics,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Table of Contents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3"/>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10"/>
        </w:trPr>
        <w:tc>
          <w:tcPr>
            <w:tcW w:w="80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70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300" w:type="dxa"/>
            <w:vAlign w:val="bottom"/>
            <w:gridSpan w:val="3"/>
          </w:tcPr>
          <w:p>
            <w:pPr>
              <w:spacing w:after="0"/>
              <w:rPr>
                <w:rFonts w:ascii="Arial" w:cs="Arial" w:eastAsia="Arial" w:hAnsi="Arial"/>
                <w:sz w:val="18"/>
                <w:szCs w:val="18"/>
                <w:u w:val="single" w:color="auto"/>
                <w:color w:val="0000EE"/>
                <w:w w:val="91"/>
              </w:rPr>
            </w:pPr>
            <w:hyperlink w:anchor="page3">
              <w:r>
                <w:rPr>
                  <w:rFonts w:ascii="Arial" w:cs="Arial" w:eastAsia="Arial" w:hAnsi="Arial"/>
                  <w:sz w:val="18"/>
                  <w:szCs w:val="18"/>
                  <w:u w:val="single" w:color="auto"/>
                  <w:color w:val="0000EE"/>
                  <w:w w:val="91"/>
                </w:rPr>
                <w:t>Condensed Consolidated Balance Sheets as of June 30, 2020 (Unaudited) and December 31, 2019</w:t>
              </w:r>
            </w:hyperlink>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9100" w:type="dxa"/>
            <w:vAlign w:val="bottom"/>
            <w:gridSpan w:val="7"/>
          </w:tcPr>
          <w:p>
            <w:pPr>
              <w:spacing w:after="0"/>
              <w:rPr>
                <w:rFonts w:ascii="Arial" w:cs="Arial" w:eastAsia="Arial" w:hAnsi="Arial"/>
                <w:sz w:val="18"/>
                <w:szCs w:val="18"/>
                <w:u w:val="single" w:color="auto"/>
                <w:color w:val="0000EE"/>
                <w:w w:val="90"/>
              </w:rPr>
            </w:pPr>
            <w:hyperlink w:anchor="page4">
              <w:r>
                <w:rPr>
                  <w:rFonts w:ascii="Arial" w:cs="Arial" w:eastAsia="Arial" w:hAnsi="Arial"/>
                  <w:sz w:val="18"/>
                  <w:szCs w:val="18"/>
                  <w:u w:val="single" w:color="auto"/>
                  <w:color w:val="0000EE"/>
                  <w:w w:val="90"/>
                </w:rPr>
                <w:t>Condensed Consolidated Statements of Operations for the Three and Six months ended June 30, 2020 and 2019 (Unaudited)</w:t>
              </w:r>
            </w:hyperlink>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91"/>
        </w:trPr>
        <w:tc>
          <w:tcPr>
            <w:tcW w:w="96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 (Loss) for the Three and Six Months ended June 30, 2020 and 2019</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0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2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8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u w:val="single" w:color="auto"/>
                <w:color w:val="0000EE"/>
                <w:w w:val="90"/>
              </w:rPr>
            </w:pPr>
            <w:hyperlink w:anchor="page5">
              <w:r>
                <w:rPr>
                  <w:rFonts w:ascii="Arial" w:cs="Arial" w:eastAsia="Arial" w:hAnsi="Arial"/>
                  <w:sz w:val="18"/>
                  <w:szCs w:val="18"/>
                  <w:u w:val="single" w:color="auto"/>
                  <w:color w:val="0000EE"/>
                  <w:w w:val="90"/>
                </w:rPr>
                <w:t>Condensed Consolidated Statements of Stockholders’ Equity for the Three and Six Months ended June 30, 2020 and 2019 (Unaudited)</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620" w:type="dxa"/>
            <w:vAlign w:val="bottom"/>
            <w:gridSpan w:val="5"/>
          </w:tcPr>
          <w:p>
            <w:pPr>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Condensed Consolidated Statements of Cash Flows for the Six Months ended June 30, 2020 and 2019 (Unaudited)</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04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 (Unaudited)</w:t>
              </w:r>
            </w:hyperlink>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7040" w:type="dxa"/>
            <w:vAlign w:val="bottom"/>
            <w:gridSpan w:val="2"/>
          </w:tcPr>
          <w:p>
            <w:pPr>
              <w:spacing w:after="0"/>
              <w:rPr>
                <w:rFonts w:ascii="Arial" w:cs="Arial" w:eastAsia="Arial" w:hAnsi="Arial"/>
                <w:sz w:val="18"/>
                <w:szCs w:val="18"/>
                <w:u w:val="single" w:color="auto"/>
                <w:color w:val="0000EE"/>
                <w:w w:val="99"/>
              </w:rPr>
            </w:pPr>
            <w:hyperlink w:anchor="page26">
              <w:r>
                <w:rPr>
                  <w:rFonts w:ascii="Arial" w:cs="Arial" w:eastAsia="Arial" w:hAnsi="Arial"/>
                  <w:sz w:val="18"/>
                  <w:szCs w:val="18"/>
                  <w:u w:val="single" w:color="auto"/>
                  <w:color w:val="0000EE"/>
                  <w:w w:val="99"/>
                </w:rPr>
                <w:t>Management’s Discussion and Analysis of Financial Condition and Results of Operations</w:t>
              </w:r>
            </w:hyperlink>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704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704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8"/>
        </w:trPr>
        <w:tc>
          <w:tcPr>
            <w:tcW w:w="8000" w:type="dxa"/>
            <w:vAlign w:val="bottom"/>
            <w:gridSpan w:val="3"/>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Other Information</w:t>
              </w:r>
            </w:hyperlink>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7040" w:type="dxa"/>
            <w:vAlign w:val="bottom"/>
            <w:gridSpan w:val="2"/>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704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704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Unregistered Sales of Equity Securities and Use of Proceeds</w:t>
              </w:r>
            </w:hyperlink>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704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Defaults Upon Senior Securities</w:t>
              </w:r>
            </w:hyperlink>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704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Mine Safety Disclosures</w:t>
              </w:r>
            </w:hyperlink>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704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Other Information</w:t>
              </w:r>
            </w:hyperlink>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704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w:t>
              </w:r>
            </w:hyperlink>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704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Signatures</w:t>
              </w:r>
            </w:hyperlink>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89"/>
        </w:trPr>
        <w:tc>
          <w:tcPr>
            <w:tcW w:w="960" w:type="dxa"/>
            <w:vAlign w:val="bottom"/>
          </w:tcPr>
          <w:p>
            <w:pPr>
              <w:spacing w:after="0"/>
              <w:rPr>
                <w:sz w:val="24"/>
                <w:szCs w:val="24"/>
                <w:color w:val="auto"/>
              </w:rPr>
            </w:pPr>
          </w:p>
        </w:tc>
        <w:tc>
          <w:tcPr>
            <w:tcW w:w="7040" w:type="dxa"/>
            <w:vAlign w:val="bottom"/>
            <w:gridSpan w:val="2"/>
          </w:tcPr>
          <w:p>
            <w:pPr>
              <w:jc w:val="center"/>
              <w:ind w:left="219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9A9A9A"/>
            </w:tcBorders>
            <w:gridSpan w:val="2"/>
          </w:tcPr>
          <w:p>
            <w:pPr>
              <w:spacing w:after="0"/>
              <w:rPr>
                <w:sz w:val="10"/>
                <w:szCs w:val="10"/>
                <w:color w:val="auto"/>
              </w:rPr>
            </w:pPr>
          </w:p>
        </w:tc>
        <w:tc>
          <w:tcPr>
            <w:tcW w:w="6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80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b w:val="1"/>
                <w:bCs w:val="1"/>
                <w:color w:val="auto"/>
                <w:w w:val="94"/>
              </w:rPr>
              <w:t>Part I.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b w:val="1"/>
                <w:bCs w:val="1"/>
                <w:color w:val="auto"/>
                <w:w w:val="90"/>
              </w:rPr>
              <w:t>(Unaudited,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59,977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7,051</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 of allowance of $30 and $30, respectively</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34,655</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97,251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85,028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192,804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244,126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248,444</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Land use rights, net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5,598</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Operating right of use asset</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7,552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7,768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Financing right of use asset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4,081</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income tax assets</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7,287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Other assets, net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478,091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466,825</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gridSpan w:val="3"/>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-4542790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-4551045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notes payable and long-term debt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42,234</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33,371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9,866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liability - operating</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lease liability - financing</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119,769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91,355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and long-term debt, less current portion</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77,439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77,041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liability - operating</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Non-current lease liability - financing</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193,031</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Stock; 5,000 shares authorized at $0.001 par value; no shares issued and outstanding at June 30,</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and December 31, 2019, respectively</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6"/>
              </w:rPr>
              <w:t>Common Stock; 45,000 shares authorized at $0.001 par value; 21,941 and 20,141 shares issued and</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outstanding at June 30, 2020 and December 31, 2019, respectively</w:t>
            </w:r>
          </w:p>
        </w:tc>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323,405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303,401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(loss) and income</w:t>
            </w: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(30,057)</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257,455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273,794</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478,091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466,825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65,222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51,486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32,873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85,615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73,241</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22,889</w:t>
            </w: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10,803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3,430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2,331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4,926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21,324</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24,844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24,366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48,976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48,586</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(25,697)</w:t>
            </w: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(1,489)</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(2,944)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(2,486)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(11,576)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(27,505)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3,191</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(4,976)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5,665</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(21,840)</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loss per share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(0.89)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20,858,450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19,931,745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20,533,417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19,897,602</w:t>
            </w: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20,858,450</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19,931,745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20,533,417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19,897,602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Three months ended June 30,</w:t>
            </w:r>
          </w:p>
        </w:tc>
        <w:tc>
          <w:tcPr>
            <w:tcW w:w="220" w:type="dxa"/>
            <w:vAlign w:val="bottom"/>
          </w:tcPr>
          <w:p>
            <w:pPr>
              <w:spacing w:after="0"/>
              <w:rPr>
                <w:sz w:val="20"/>
                <w:szCs w:val="20"/>
                <w:color w:val="auto"/>
              </w:rPr>
            </w:pPr>
          </w:p>
        </w:tc>
        <w:tc>
          <w:tcPr>
            <w:tcW w:w="254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3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164"/>
        </w:trPr>
        <w:tc>
          <w:tcPr>
            <w:tcW w:w="598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240"/>
          </w:cols>
          <w:pgMar w:left="320" w:top="125"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(35,397)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(21,840)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(gain) on foreign currency translation adjustment</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1,454</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(3,329)</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(948)</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r>
      <w:tr>
        <w:trPr>
          <w:trHeight w:val="20"/>
        </w:trPr>
        <w:tc>
          <w:tcPr>
            <w:tcW w:w="5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(17,146)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(36,345)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(22,821)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STOCKHOLDERS’ EQUITY Three and Six Months ended June 30, 2020 and 2019 (Unaudited,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86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jc w:val="center"/>
              <w:ind w:right="200"/>
              <w:spacing w:after="0" w:line="182" w:lineRule="exact"/>
              <w:rPr>
                <w:sz w:val="20"/>
                <w:szCs w:val="20"/>
                <w:color w:val="auto"/>
              </w:rPr>
            </w:pPr>
            <w:r>
              <w:rPr>
                <w:rFonts w:ascii="Arial" w:cs="Arial" w:eastAsia="Arial" w:hAnsi="Arial"/>
                <w:sz w:val="16"/>
                <w:szCs w:val="16"/>
                <w:b w:val="1"/>
                <w:bCs w:val="1"/>
                <w:color w:val="auto"/>
                <w:w w:val="88"/>
              </w:rPr>
              <w:t>comprehensive</w:t>
            </w:r>
          </w:p>
        </w:tc>
        <w:tc>
          <w:tcPr>
            <w:tcW w:w="112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capital</w:t>
            </w: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87"/>
              </w:rPr>
              <w:t>gain (loss)</w:t>
            </w:r>
          </w:p>
        </w:tc>
        <w:tc>
          <w:tcPr>
            <w:tcW w:w="20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March 31, 2020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20,249</w:t>
            </w: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306,305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(46,854)</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257,499</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1,578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14,002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14,004</w:t>
            </w:r>
          </w:p>
        </w:tc>
        <w:tc>
          <w:tcPr>
            <w:tcW w:w="0" w:type="dxa"/>
            <w:vAlign w:val="bottom"/>
          </w:tcPr>
          <w:p>
            <w:pPr>
              <w:spacing w:after="0"/>
              <w:rPr>
                <w:sz w:val="1"/>
                <w:szCs w:val="1"/>
                <w:color w:val="auto"/>
              </w:rPr>
            </w:pPr>
          </w:p>
        </w:tc>
      </w:tr>
      <w:tr>
        <w:trPr>
          <w:trHeight w:val="19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3,302</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(18,600)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(18,600)</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Arial" w:cs="Arial" w:eastAsia="Arial" w:hAnsi="Arial"/>
                <w:sz w:val="16"/>
                <w:szCs w:val="16"/>
                <w:color w:val="auto"/>
              </w:rPr>
              <w:t>June 30, 2020</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21,940</w:t>
            </w:r>
          </w:p>
        </w:tc>
        <w:tc>
          <w:tcPr>
            <w:tcW w:w="140" w:type="dxa"/>
            <w:vAlign w:val="bottom"/>
          </w:tcPr>
          <w:p>
            <w:pPr>
              <w:spacing w:after="0"/>
              <w:rPr>
                <w:sz w:val="17"/>
                <w:szCs w:val="17"/>
                <w:color w:val="auto"/>
              </w:rPr>
            </w:pP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22</w:t>
            </w: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323,405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(518)</w:t>
            </w: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(65,454)</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257,455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w w:val="92"/>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jc w:val="center"/>
              <w:ind w:left="239"/>
              <w:spacing w:after="0"/>
              <w:rPr>
                <w:sz w:val="20"/>
                <w:szCs w:val="20"/>
                <w:color w:val="auto"/>
              </w:rPr>
            </w:pPr>
            <w:r>
              <w:rPr>
                <w:rFonts w:ascii="Arial" w:cs="Arial" w:eastAsia="Arial" w:hAnsi="Arial"/>
                <w:sz w:val="16"/>
                <w:szCs w:val="16"/>
                <w:b w:val="1"/>
                <w:bCs w:val="1"/>
                <w:color w:val="auto"/>
                <w:w w:val="91"/>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ind w:left="140"/>
              <w:spacing w:after="0" w:line="182" w:lineRule="exact"/>
              <w:rPr>
                <w:sz w:val="20"/>
                <w:szCs w:val="20"/>
                <w:color w:val="auto"/>
              </w:rPr>
            </w:pPr>
            <w:r>
              <w:rPr>
                <w:rFonts w:ascii="Arial" w:cs="Arial" w:eastAsia="Arial" w:hAnsi="Arial"/>
                <w:sz w:val="16"/>
                <w:szCs w:val="16"/>
                <w:b w:val="1"/>
                <w:bCs w:val="1"/>
                <w:color w:val="auto"/>
                <w:w w:val="91"/>
              </w:rPr>
              <w:t>comprehensive</w:t>
            </w:r>
          </w:p>
        </w:tc>
        <w:tc>
          <w:tcPr>
            <w:tcW w:w="140" w:type="dxa"/>
            <w:vAlign w:val="bottom"/>
          </w:tcPr>
          <w:p>
            <w:pPr>
              <w:spacing w:after="0"/>
              <w:rPr>
                <w:sz w:val="15"/>
                <w:szCs w:val="15"/>
                <w:color w:val="auto"/>
              </w:rPr>
            </w:pPr>
          </w:p>
        </w:tc>
        <w:tc>
          <w:tcPr>
            <w:tcW w:w="98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Retained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5"/>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7"/>
              </w:rPr>
              <w:t>gain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March 31, 2019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19,888</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295,130</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25,518</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323,618</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6"/>
                <w:szCs w:val="16"/>
                <w:color w:val="auto"/>
              </w:rPr>
              <w:t>(227)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3,019</w:t>
            </w:r>
          </w:p>
        </w:tc>
        <w:tc>
          <w:tcPr>
            <w:tcW w:w="0" w:type="dxa"/>
            <w:vAlign w:val="bottom"/>
          </w:tcPr>
          <w:p>
            <w:pPr>
              <w:spacing w:after="0"/>
              <w:rPr>
                <w:sz w:val="1"/>
                <w:szCs w:val="1"/>
                <w:color w:val="auto"/>
              </w:rPr>
            </w:pPr>
          </w:p>
        </w:tc>
      </w:tr>
      <w:tr>
        <w:trPr>
          <w:trHeight w:val="202"/>
        </w:trPr>
        <w:tc>
          <w:tcPr>
            <w:tcW w:w="294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(3,329)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(3,329)</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(11,366)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(11,366)</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Arial" w:cs="Arial" w:eastAsia="Arial" w:hAnsi="Arial"/>
                <w:sz w:val="16"/>
                <w:szCs w:val="16"/>
                <w:color w:val="auto"/>
              </w:rPr>
              <w:t>June 30, 2019</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19,951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302"/>
              <w:spacing w:after="0"/>
              <w:rPr>
                <w:sz w:val="20"/>
                <w:szCs w:val="20"/>
                <w:color w:val="auto"/>
              </w:rPr>
            </w:pPr>
            <w:r>
              <w:rPr>
                <w:rFonts w:ascii="Arial" w:cs="Arial" w:eastAsia="Arial" w:hAnsi="Arial"/>
                <w:sz w:val="15"/>
                <w:szCs w:val="15"/>
                <w:color w:val="auto"/>
                <w:w w:val="71"/>
              </w:rPr>
              <w:t>$</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20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297,922</w:t>
            </w:r>
          </w:p>
        </w:tc>
        <w:tc>
          <w:tcPr>
            <w:tcW w:w="80" w:type="dxa"/>
            <w:vAlign w:val="bottom"/>
          </w:tcPr>
          <w:p>
            <w:pPr>
              <w:spacing w:after="0"/>
              <w:rPr>
                <w:sz w:val="17"/>
                <w:szCs w:val="17"/>
                <w:color w:val="auto"/>
              </w:rPr>
            </w:pP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(379)</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14,152</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311,715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86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jc w:val="center"/>
              <w:ind w:right="200"/>
              <w:spacing w:after="0" w:line="182" w:lineRule="exact"/>
              <w:rPr>
                <w:sz w:val="20"/>
                <w:szCs w:val="20"/>
                <w:color w:val="auto"/>
              </w:rPr>
            </w:pPr>
            <w:r>
              <w:rPr>
                <w:rFonts w:ascii="Arial" w:cs="Arial" w:eastAsia="Arial" w:hAnsi="Arial"/>
                <w:sz w:val="16"/>
                <w:szCs w:val="16"/>
                <w:b w:val="1"/>
                <w:bCs w:val="1"/>
                <w:color w:val="auto"/>
                <w:w w:val="88"/>
              </w:rPr>
              <w:t>comprehensive</w:t>
            </w:r>
          </w:p>
        </w:tc>
        <w:tc>
          <w:tcPr>
            <w:tcW w:w="112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capital</w:t>
            </w: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87"/>
              </w:rPr>
              <w:t>gain (loss)</w:t>
            </w:r>
          </w:p>
        </w:tc>
        <w:tc>
          <w:tcPr>
            <w:tcW w:w="20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20,140</w:t>
            </w: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303,401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(30,057)</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273,794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1,582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13,928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13,930</w:t>
            </w:r>
          </w:p>
        </w:tc>
        <w:tc>
          <w:tcPr>
            <w:tcW w:w="0" w:type="dxa"/>
            <w:vAlign w:val="bottom"/>
          </w:tcPr>
          <w:p>
            <w:pPr>
              <w:spacing w:after="0"/>
              <w:rPr>
                <w:sz w:val="1"/>
                <w:szCs w:val="1"/>
                <w:color w:val="auto"/>
              </w:rPr>
            </w:pPr>
          </w:p>
        </w:tc>
      </w:tr>
      <w:tr>
        <w:trPr>
          <w:trHeight w:val="19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02"/>
        </w:trPr>
        <w:tc>
          <w:tcPr>
            <w:tcW w:w="294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(35,397)</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(35,397)</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Arial" w:cs="Arial" w:eastAsia="Arial" w:hAnsi="Arial"/>
                <w:sz w:val="16"/>
                <w:szCs w:val="16"/>
                <w:color w:val="auto"/>
              </w:rPr>
              <w:t>June 30, 2020</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21,940</w:t>
            </w:r>
          </w:p>
        </w:tc>
        <w:tc>
          <w:tcPr>
            <w:tcW w:w="140" w:type="dxa"/>
            <w:vAlign w:val="bottom"/>
          </w:tcPr>
          <w:p>
            <w:pPr>
              <w:spacing w:after="0"/>
              <w:rPr>
                <w:sz w:val="17"/>
                <w:szCs w:val="17"/>
                <w:color w:val="auto"/>
              </w:rPr>
            </w:pP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22</w:t>
            </w: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323,405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(518)</w:t>
            </w: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(65,454)</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257,455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w w:val="92"/>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jc w:val="center"/>
              <w:ind w:left="239"/>
              <w:spacing w:after="0"/>
              <w:rPr>
                <w:sz w:val="20"/>
                <w:szCs w:val="20"/>
                <w:color w:val="auto"/>
              </w:rPr>
            </w:pPr>
            <w:r>
              <w:rPr>
                <w:rFonts w:ascii="Arial" w:cs="Arial" w:eastAsia="Arial" w:hAnsi="Arial"/>
                <w:sz w:val="16"/>
                <w:szCs w:val="16"/>
                <w:b w:val="1"/>
                <w:bCs w:val="1"/>
                <w:color w:val="auto"/>
                <w:w w:val="91"/>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ind w:left="140"/>
              <w:spacing w:after="0" w:line="182" w:lineRule="exact"/>
              <w:rPr>
                <w:sz w:val="20"/>
                <w:szCs w:val="20"/>
                <w:color w:val="auto"/>
              </w:rPr>
            </w:pPr>
            <w:r>
              <w:rPr>
                <w:rFonts w:ascii="Arial" w:cs="Arial" w:eastAsia="Arial" w:hAnsi="Arial"/>
                <w:sz w:val="16"/>
                <w:szCs w:val="16"/>
                <w:b w:val="1"/>
                <w:bCs w:val="1"/>
                <w:color w:val="auto"/>
                <w:w w:val="91"/>
              </w:rPr>
              <w:t>comprehensive</w:t>
            </w:r>
          </w:p>
        </w:tc>
        <w:tc>
          <w:tcPr>
            <w:tcW w:w="140" w:type="dxa"/>
            <w:vAlign w:val="bottom"/>
          </w:tcPr>
          <w:p>
            <w:pPr>
              <w:spacing w:after="0"/>
              <w:rPr>
                <w:sz w:val="15"/>
                <w:szCs w:val="15"/>
                <w:color w:val="auto"/>
              </w:rPr>
            </w:pPr>
          </w:p>
        </w:tc>
        <w:tc>
          <w:tcPr>
            <w:tcW w:w="98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Retained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5"/>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7"/>
              </w:rPr>
              <w:t>gain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January 1, 2019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19,810</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292,480</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35,992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329,094</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rPr>
              <w:t>Stock options exercised,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5,961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(21,840)</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(21,840)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June 30, 2019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19,951</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297,922</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(379)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14,152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311,715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40" w:right="3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(35,397)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(21,840)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Provision for losses on 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Lower of cost or market reserve adjustment to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12,154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11,964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(5,770)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5,961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 gain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trade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Notes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income tax</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(15,362)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6,346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Operating right of use asset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12,688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(4,043)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(23,769)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7,167</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(26,286)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disposal of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Deposits and prepaid for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5,763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(9,219)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(20,838)</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issuance of notes payable and long-term debt, net of debt issuance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10,537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long-term debt and notes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(41,203)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line of credit borrowings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52,637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38,473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line of credit borrowings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(48,689)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(42,211)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bank acceptance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14,080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4,471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bank acceptance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(10,377)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issuance of convertible senior notes, net of debt issuance costs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76,364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lease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tax withholding on behalf of employees related to 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common stock offering, net</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13,929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25,101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67,028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58,004</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58,909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83,987</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for: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2,478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and equipment with line of credit borrowings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change in accounts payable related to property and equipment additions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deposits and prepaid for equipment related to property and equipment additions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ectPr>
          <w:pgSz w:w="11900" w:h="16838" w:orient="portrait"/>
          <w:cols w:equalWidth="0" w:num="1">
            <w:col w:w="11240"/>
          </w:cols>
          <w:pgMar w:left="320" w:top="580" w:right="339" w:bottom="0" w:gutter="0" w:footer="0" w:header="0"/>
        </w:sectPr>
      </w:pPr>
    </w:p>
    <w:bookmarkStart w:id="6" w:name="page7"/>
    <w:bookmarkEnd w:id="6"/>
    <w:p>
      <w:pPr>
        <w:ind w:right="140" w:firstLine="648"/>
        <w:spacing w:after="0" w:line="259"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unaudited condensed consolidated financial statements of the Company as of June 30, 2020 and December 31, 2019 and for the three and six months ended June 30, 2020 and June 30, 2019,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2019. The results of operations for the three and six months ended June 30, 2020 are not necessarily indicative of the results expected for the entire fiscal year. All significant inter-company accounts and transactions have been eliminated.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credit losses, inventory reserve, product warranty costs, share-based compensation expense, estimated useful lives of property and equipment, and taxes.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and six months ended June 30, 2020, as compared to the significant accounting policies described in its 2019 Annual Report,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 in 2020</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Measurement of Credit Losses on Financial Instruments, which changes the way entities measure credit losses for most financial assets and certain other instruments that are not measured at fair value through net earnings. The Company adopted this ASU as of January 1, 2020. The adoption of the new standard did not have a material impact on the Company's condensed consolidated financial statements as current processes for estimating expected credit losses for trade receivables align with the expected credit loss model. The Company estimates its allowance for credit losses based on historical collection trends, the age of outstanding receivables, geographical location of the customer, existing economic conditions and reasonable forecasts, If events or changes in circumstances indicate that specific receivable balances may be impaired, further consideration is given to the collectability of those balances and the allowance is adjusted accordingly.</w:t>
      </w:r>
    </w:p>
    <w:p>
      <w:pPr>
        <w:spacing w:after="0" w:line="17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In March 2020, the FASB issued ASU 2020-03, “Codification Improvements to Financial Instruments” improves and clarifies various financial instruments topics. This ASU includes seven different issues that describe the areas of improvement and the related amendments to GAAP, intended to make the standards easier to understand and apply by eliminating inconsistencies and providing clarifications. The Company adopted ASU 2020-03 upon issuance, which did not have a material effect on the Company’s current financial position, results of operations or financial statement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Yet to be Adopted</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w:t>
      </w:r>
      <w:r>
        <w:rPr>
          <w:rFonts w:ascii="Arial" w:cs="Arial" w:eastAsia="Arial" w:hAnsi="Arial"/>
          <w:sz w:val="18"/>
          <w:szCs w:val="18"/>
          <w:i w:val="1"/>
          <w:iCs w:val="1"/>
          <w:color w:val="auto"/>
        </w:rPr>
        <w:t>.</w:t>
      </w:r>
      <w:r>
        <w:rPr>
          <w:rFonts w:ascii="Arial" w:cs="Arial" w:eastAsia="Arial" w:hAnsi="Arial"/>
          <w:sz w:val="18"/>
          <w:szCs w:val="18"/>
          <w:color w:val="auto"/>
        </w:rPr>
        <w:t xml:space="preserve"> The Accounting Standards Codification ("ASC") aims to identify, evaluate, and improve areas of GAAP for which cost and complexity can be reduced while maintaining or improving the usefulness of the information provided to users of financial statements. The Company is currently assessing the impact of this pronouncement to the financial statements.</w:t>
      </w:r>
    </w:p>
    <w:p>
      <w:pPr>
        <w:spacing w:after="0" w:line="18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which provides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This ASU is effective beginning on March 12, 2020, and the Company may elect to apply the amendments prospectively through December 31, 2022. The Company is currently assessing the impact of this pronouncement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of where the product is manufactured. For additional information on the disaggregated revenues by geographical region, see Note 17, "Geographic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6"/>
              </w:rPr>
              <w:t>Three months ended June 30,</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6,141</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9,818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65,222</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43,411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Six months ended June 30,</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85,797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10,364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21,780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105,689</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96,130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78"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36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Financing lease expense</w:t>
            </w:r>
          </w:p>
        </w:tc>
        <w:tc>
          <w:tcPr>
            <w:tcW w:w="2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expense</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Total lease expense</w:t>
            </w:r>
          </w:p>
        </w:tc>
        <w:tc>
          <w:tcPr>
            <w:tcW w:w="254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40" w:type="dxa"/>
            <w:vAlign w:val="bottom"/>
            <w:vMerge w:val="restart"/>
          </w:tcPr>
          <w:p>
            <w:pPr>
              <w:jc w:val="right"/>
              <w:ind w:right="990"/>
              <w:spacing w:after="0"/>
              <w:rPr>
                <w:sz w:val="20"/>
                <w:szCs w:val="20"/>
                <w:color w:val="auto"/>
              </w:rPr>
            </w:pPr>
            <w:r>
              <w:rPr>
                <w:rFonts w:ascii="Arial" w:cs="Arial" w:eastAsia="Arial" w:hAnsi="Arial"/>
                <w:sz w:val="18"/>
                <w:szCs w:val="18"/>
                <w:color w:val="auto"/>
              </w:rPr>
              <w:t>10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June 30,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1,227</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4,572</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(1,738)</w:t>
            </w: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09"/>
        </w:trPr>
        <w:tc>
          <w:tcPr>
            <w:tcW w:w="6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 - operating leases</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8.65</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w:t>
            </w:r>
          </w:p>
        </w:tc>
      </w:tr>
      <w:tr>
        <w:trPr>
          <w:trHeight w:val="216"/>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(Years) - financing leases</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 - financing leases</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5.00%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09"/>
        </w:trPr>
        <w:tc>
          <w:tcPr>
            <w:tcW w:w="6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640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676</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financing lease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Financing cash flows from financing lease</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59,977</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7,778</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7,051</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Total cash, cash equivalents and restricted cash shown in the statement of cash flows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67,028</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Restricted cash includes guarantee deposits for customs duties, research and development equipment additions, and compensating balances required for certain credit facilities. As of June 30, 2020 and December 31, 2019, there was $3.2 million and $1.9 million of restricted cash required for bank acceptance notes issued to vendors, respectively. In addition, there was $1.9 million and $4.2 million certificate of deposit associated with credit facilities with a bank in China as of June 30, 2020 and December 31, 2019 respectively.</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(18,600)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(11,366)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(35,397)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(21,840)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20,858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19,932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19,898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(0.89)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diluted net loss per share as their effect would have been antidilutive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7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2"/>
              </w:rPr>
              <w:t>Three months ended June 30,</w:t>
            </w:r>
          </w:p>
        </w:tc>
        <w:tc>
          <w:tcPr>
            <w:tcW w:w="254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4,608</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4,652</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2020</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Work in process and sub-assemblies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53,049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50,787</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18,671</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97,251</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85,028</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lower of cost or market adjustment expensed for inventory for the three months ended June 30, 2020 and 2019 was $1.3 million and $2.9 million, respectively. The lower of cost or market adjustment expensed for inventory for the six months ended June 30, 2020 and 2019 was $2.9 million and $5.2 million, respectively.</w:t>
      </w:r>
    </w:p>
    <w:p>
      <w:pPr>
        <w:spacing w:after="0" w:line="18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For the three months ended June 30, 2020 and 2019, the direct inventory write-offs related to scrap, discontinued products, and damaged inventories were $3.7 million and $2.4 million, respectively. For the six months ended June 30, 2020 and 2019, the direct inventory write-offs related to scrap, discontinued products, and damaged inventories were $6.2 million and $5.2 million,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2020</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84,375</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83,846</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239,213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237,464</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5,276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5,105</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341,450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338,385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(126,778)</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(116,979)</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221,406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28,353</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25,937</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1,101</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244,126</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248,444</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 the three months ended June 30, 2020 and 2019, depreciation expense of property, plant and equipment was $6.0 million and $5.9 million, respectively. For the six months ended June 30, 2020 and 2019, depreciation expense of property, plant and equipment was $11.9 million and $11.7 million, respectively. As of June 30, 2020 and December 31, 2019, there was $0.4 million and $0.2 million of capitalized interest.</w:t>
      </w:r>
    </w:p>
    <w:p>
      <w:pPr>
        <w:spacing w:after="0" w:line="16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As of June 30, 2020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concluded that its continued loss history constitutes a triggering event as described in ASC </w:t>
      </w:r>
      <w:r>
        <w:rPr>
          <w:rFonts w:ascii="Arial" w:cs="Arial" w:eastAsia="Arial" w:hAnsi="Arial"/>
          <w:sz w:val="18"/>
          <w:szCs w:val="18"/>
          <w:i w:val="1"/>
          <w:iCs w:val="1"/>
          <w:color w:val="auto"/>
        </w:rPr>
        <w:t>360</w:t>
      </w:r>
      <w:r>
        <w:rPr>
          <w:rFonts w:ascii="Arial" w:cs="Arial" w:eastAsia="Arial" w:hAnsi="Arial"/>
          <w:sz w:val="18"/>
          <w:szCs w:val="18"/>
          <w:color w:val="auto"/>
        </w:rPr>
        <w:t>-</w:t>
      </w:r>
      <w:r>
        <w:rPr>
          <w:rFonts w:ascii="Arial" w:cs="Arial" w:eastAsia="Arial" w:hAnsi="Arial"/>
          <w:sz w:val="18"/>
          <w:szCs w:val="18"/>
          <w:i w:val="1"/>
          <w:iCs w:val="1"/>
          <w:color w:val="auto"/>
        </w:rPr>
        <w:t>10</w:t>
      </w:r>
      <w:r>
        <w:rPr>
          <w:rFonts w:ascii="Arial" w:cs="Arial" w:eastAsia="Arial" w:hAnsi="Arial"/>
          <w:sz w:val="18"/>
          <w:szCs w:val="18"/>
          <w:color w:val="auto"/>
        </w:rPr>
        <w:t>-</w:t>
      </w:r>
      <w:r>
        <w:rPr>
          <w:rFonts w:ascii="Arial" w:cs="Arial" w:eastAsia="Arial" w:hAnsi="Arial"/>
          <w:sz w:val="18"/>
          <w:szCs w:val="18"/>
          <w:i w:val="1"/>
          <w:iCs w:val="1"/>
          <w:color w:val="auto"/>
        </w:rPr>
        <w:t>35</w:t>
      </w:r>
      <w:r>
        <w:rPr>
          <w:rFonts w:ascii="Arial" w:cs="Arial" w:eastAsia="Arial" w:hAnsi="Arial"/>
          <w:sz w:val="18"/>
          <w:szCs w:val="18"/>
          <w:color w:val="auto"/>
        </w:rPr>
        <w:t>-</w:t>
      </w:r>
      <w:r>
        <w:rPr>
          <w:rFonts w:ascii="Arial" w:cs="Arial" w:eastAsia="Arial" w:hAnsi="Arial"/>
          <w:sz w:val="18"/>
          <w:szCs w:val="18"/>
          <w:i w:val="1"/>
          <w:iCs w:val="1"/>
          <w:color w:val="auto"/>
        </w:rPr>
        <w:t>21,Property,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Company’s long-lived assets and therefore no impairment charge was recorded.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2020</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7,850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0"/>
        </w:trPr>
        <w:tc>
          <w:tcPr>
            <w:tcW w:w="4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7,870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4,006</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7,638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4,078</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0"/>
        </w:trPr>
        <w:tc>
          <w:tcPr>
            <w:tcW w:w="4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7,655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4,081</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three months ended June 30, 2020 and 2019, amortization expense for intangible assets, included in general and administrative expenses on the income statement, was each $0.1 million. For the six months ended June 30, 2020 and 2019, amortization expense for intangible assets, included in general and administrative expenses on the income statement, was each $0.3 million. The remaining weighted average amortization period for intangible assets is approximately 7 years.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At June 30, 2020, future amortization expense for intangible assets is estimated to be (in thousands):</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80" w:type="dxa"/>
            <w:vAlign w:val="bottom"/>
          </w:tcPr>
          <w:p>
            <w:pPr>
              <w:spacing w:after="0"/>
              <w:rPr>
                <w:sz w:val="21"/>
                <w:szCs w:val="21"/>
                <w:color w:val="auto"/>
              </w:rPr>
            </w:pPr>
          </w:p>
        </w:tc>
        <w:tc>
          <w:tcPr>
            <w:tcW w:w="79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represents a summary of the Company’s financial instruments measured at fair value on a recurring basis for the periods indicated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As of June 30, 2020</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51,131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59,977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59,977</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58,909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58,909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67,028</w:t>
            </w: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9,866</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9,866</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68,591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68,591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77,191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77,191</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78,457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83,501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83,501</w:t>
            </w: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amounts of bank acceptances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87" w:lineRule="exact"/>
        <w:rPr>
          <w:sz w:val="20"/>
          <w:szCs w:val="20"/>
          <w:color w:val="auto"/>
        </w:rPr>
      </w:pPr>
    </w:p>
    <w:p>
      <w:pPr>
        <w:ind w:left="140" w:right="380" w:firstLine="324"/>
        <w:spacing w:after="0" w:line="277" w:lineRule="auto"/>
        <w:rPr>
          <w:sz w:val="20"/>
          <w:szCs w:val="20"/>
          <w:color w:val="auto"/>
        </w:rPr>
      </w:pPr>
      <w:r>
        <w:rPr>
          <w:rFonts w:ascii="Arial" w:cs="Arial" w:eastAsia="Arial" w:hAnsi="Arial"/>
          <w:sz w:val="18"/>
          <w:szCs w:val="18"/>
          <w:color w:val="auto"/>
        </w:rPr>
        <w:t>The fair value of its convertible senior debt is measured for disclosure purpose. The fair value is based on observable market prices for this debt, which is traded in less active markets and are therefore classified as a Level 2 fair value measurement.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June 30, 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95"/>
        </w:trPr>
        <w:tc>
          <w:tcPr>
            <w:tcW w:w="8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4"/>
              </w:rPr>
              <w:t>Revolving line of credit with a U.S. bank up to $20,000 with interest at LIBOR plus 1.5% , maturing April 2,</w:t>
            </w: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Paycheck Protection Program Term Note with interest at fixed rate 1.0%, maturing April 16, 2022</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6,229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line of credit with a Taiwan bank up to $3,336 with 2.2% interest, maturing July 31, 2020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w:t>
            </w: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w w:val="92"/>
              </w:rPr>
              <w:t>Notes payable to a finance company due in monthly installments with 3.4% interest, maturing November 30,</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4,262</w:t>
            </w: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3.1% interest, maturing January 21,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w w:val="98"/>
              </w:rPr>
              <w:t>Revolving line of credit with a Taiwan bank up to $2,668 with interest of 1.7%, maturing April 11, 2020</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$8,917 with interest ranging from 4.5%, maturing October</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14, 2020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$25,449 with interest from 3.01% to 4.57%, maturing May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24, 2024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7,919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with a China bank up to $14,125 with interest of 3.5%, maturing November 7, 2020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Credit facility with a China bank up to $7,167 with interest of 5.7%, maturing from June 20, 2022</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Less debt issuance costs, net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total</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(42,234)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(33,371)</w:t>
            </w: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7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80" w:type="dxa"/>
            <w:vAlign w:val="bottom"/>
            <w:tcBorders>
              <w:bottom w:val="single" w:sz="8" w:color="auto"/>
            </w:tcBorders>
            <w:shd w:val="clear" w:color="auto" w:fill="CCEEFF"/>
          </w:tcPr>
          <w:p>
            <w:pPr>
              <w:ind w:left="2720"/>
              <w:spacing w:after="0"/>
              <w:rPr>
                <w:sz w:val="20"/>
                <w:szCs w:val="20"/>
                <w:color w:val="auto"/>
              </w:rPr>
            </w:pPr>
            <w:r>
              <w:rPr>
                <w:rFonts w:ascii="Arial" w:cs="Arial" w:eastAsia="Arial" w:hAnsi="Arial"/>
                <w:sz w:val="18"/>
                <w:szCs w:val="18"/>
                <w:b w:val="1"/>
                <w:bCs w:val="1"/>
                <w:color w:val="auto"/>
              </w:rPr>
              <w:t>Bank Acceptance Notes Payable</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8000" w:type="dxa"/>
            <w:vAlign w:val="bottom"/>
            <w:gridSpan w:val="2"/>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9,866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418"/>
        </w:trPr>
        <w:tc>
          <w:tcPr>
            <w:tcW w:w="7880" w:type="dxa"/>
            <w:vAlign w:val="bottom"/>
          </w:tcPr>
          <w:p>
            <w:pPr>
              <w:ind w:left="55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portion of long-term debt is the amount payable within one year of the balance sheet date of June 30, 2020.</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w w:val="96"/>
              </w:rPr>
              <w:t>Maturities of long-term debt are as follows for the future one-year periods ending June 30, (in thousands):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42,234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15,542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outstanding</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57,776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September 28, 2017, the Company entered into a Loan Agreement (“Loan Agreement”), a Promissory Note, an Addendum to the Promissory Note, a Truist Bank Security Agreement, a Trademark Security Agreement, and a Patent Security Agreement (together the “Credit Facility”) with Truist Bank (which acquired Branch Banking and Trust Company or BB&amp;T in connection with a merger in December 2019). The Credit Facility provides the Company with a three-year,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Truist Bank. The Amended Credit Facility amends the Company’s three-year $50 million line of credit with Truist Bank, originally executed on September 28, 2017. The Amended Credit Facility (1) increases the principal amount of the three-year line of credit from $50 million to $60 million (the “Line of Credit”); (2) allows the Company to borrow an additional $26 million from Truist Bank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The Company is required to make monthly payments of principal and accrued interest with the final monthly payments being for all principal and accrued interest not yet paid. The Company’s obligations under the Amended Credit Facility are secured by the Company’s accounts receivable, inventory, equipment, intellectual property, real property, and virtually all business assets.</w:t>
      </w:r>
    </w:p>
    <w:p>
      <w:pPr>
        <w:spacing w:after="0" w:line="18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On February 1, 2019, the Company executed a Second Amendment to Loan Agreement ("Second Amendment") with Truist Bank. The original loan agreement with Truist Bank, executed on September 28, 2017, and a first amendment to the original loan agreement, executed on March 30, 2018, provided the Company with a three-year $60 million line of credit; a $26 million five-year CapEx Loan and a $21.5 million seventy-month real estate term loan for the Company’s plant and facilities in Sugar Land, Texas. The Second Amendment extends the CapEx Loan draw-down date from March 30, 2019 to June 30, 2020, requires the Company to provide Truist Bank monthly financial statements and allows additional unfinanced capital expenditures.</w:t>
      </w:r>
    </w:p>
    <w:p>
      <w:pPr>
        <w:spacing w:after="0" w:line="16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March 5, 2019, the Company executed a Third Amendment to Loan Agreement (the “Third Amendment”) with Truist Bank pursuant to which the Company has established a revolving credit line used for working capital purposes. The Third Amendment, among other things: (i) contemplates the issuance of the Notes (as defined in Note 12 below) and the subsequent conversion of the Notes into common stock in accordance with the terms of the Indenture, including the payment of cash for any fractional shares; (ii) adjusts pricing of the unused line fee to 0.20% per annum; (iii) reduces the maximum commitment under the line of credit from $60,000,000 to $25,000,000; and (iv) provides that, so long as the Company’s utilization of the revolving credit line is not greater than 60% of the available commitment, the Company will not be required to comply with its financial covenants, including its fixed charge coverage ratio or funded debt to EBITDA covenant, and provided that, such restriction on utilization will not apply during the period of time commencing seven business days prior to the end of any fiscal quarter through seven business days after the subsequent fiscal quarter.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March 5, 2019, the Company used approximately $37.8 million of the net proceeds from the offering of the Notes to fully repay the CapEx Loan and Term Loan with Truist Bank.</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September 30, 2019, the Company executed a Fourth Amendment to Loan Agreement (the “Fourth Amendment”) with Truist Bank. Under the terms of the Fourth Amendment (i) the maximum commitment under the line of credit was reduced from $25,000,000 to $20,000,000; (ii) the maturity date of the line of credit was extended from September 28, 2020 to April 2, 2021; (iii) pricing of the unused line fee was adjusted to 0.30% per annum; and (iv) the Covenant Threshold Amount test created in the Third Amendment was removed and replaced with the requirement that if, at any time during any reporting period and pursuant to the most recent loan base report received by Truist Bank,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 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Truist Bank from the most recent loan base report and otherwise in the sole discretion of Truist Bank after consideration of collections.</w:t>
      </w:r>
    </w:p>
    <w:p>
      <w:pPr>
        <w:spacing w:after="0" w:line="17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June 30, 2020, the Company was in compliance with all covenants under the Fourth Amendment. As of June 30, 2020, $18.7 million was outstanding under the Fourth Amendment line of credit.</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April 17, 2020, the Company entered into a term note ("PPP Term Note") with Truist Bank, with a principal amount of $6.23 million pursuant to the Paycheck Protection Program (“PPP”) under the Coronavirus Aid, Relief, and Economic Security Act (the “CARES Act”). The PPP loan is evidenced by a promissory note. The PPP Term Note bears interest at a fixed annual rate of 1.00%, with the first six months of interest deferred. Beginning in November 2020, the Company will make 18 equal monthly payments of principal and interest with the final payment due in April 2022. The PPP Term Note may be accelerated upon the occurrence of an event of default. The PPP Term Note is unsecured and guaranteed by the United States Small Business Administration. The Company may apply for forgiveness of the PPP Term Note, with the amount which may be forgiven equal to the sum of payroll costs, covered rent and mortgage obligations, and covered utility payments incurred by the Company during the eight-week period beginning upon receipt of PPP Term Note funds, calculated in accordance with the terms of the CARES Act. At this time, we are not in a position to quantify the portion of the PPP Term Note that will be forgiven.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November 29, 2018, Prime World entered into a Purchase and Sale Contract (the “Sale Contract”) and an Equipment Finance Agreement with Chailease Finance Co., Ltd. (“Chailease”) in connection with certain equipment. Pursuant to the Sale Contract, Prime World sold certain equipment to Chailease for a purchase price of NT$267,340,468, or approximately $8.7 million. Simultaneously, Prime World financed the equipment back from Chailease for a term of three-years, pursuant to the Equipment Finance Agreement. Prime World is obligated to pay an initial payment of NT$67,340,468, or approximately $2.2 million, thereafter the monthly payments range from NT$5,571,229, or $0.2 million, to NT$6,139,188, or approximately $0.2 million. Based on the monthly payments made under the Equipment Finance Agreement, the annual interest rate is calculated to be 3.5%. Upon an event of default under the Equipment Finance Agreement, Prime World’s payment obligation will be secured by a promissory note to Chailease in the amount of NT$210,601,605, or approximately $6.8 million, subject to certain terms and conditions. The title of the equipment will be transferred to Prime World upon expiration of the Equipment Finance Agreement. As of June 30, 2020, $3.2 million was outstanding under the Equipment Finance Agreement.</w:t>
      </w:r>
    </w:p>
    <w:p>
      <w:pPr>
        <w:spacing w:after="0" w:line="16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January 21, 2019, Prime World entered into a Second Purchase and Sale Contract (the “Second Sales Contract”), Promissory Note, and a Second Equipment Finance Agreement with Chailease in connection with certain equipment. Pursuant to the Second Sales Contract, Prime World sold certain equipment to Chailease for a purchase price of NT$267,333,186, or approximately $8.7 million. Simultaneously, Prime World financed the equipment back from Chailease for a term of three-years, pursuant to the Second Equipment Finance Agreement. Prime World is obligated to pay an initial monthly payment of NT$67,333,186, or approximately $2.2 million, thereafter the monthly payments range from NT$5,570,167, or approximately $0.2 million to NT$6,082,131, or approximately $0.2 million. Based on the monthly payments made under the Second Equipment Finance Agreement, the annual interest rate is calculated to be 3.1%. Upon an event of default under the Second Equipment Finance Agreement, Prime World’s payment obligation will be secured by a promissory note to Chailease at the amount of NT$209,555,736 or approximately $6.8 million, subject to certain terms and conditions. The title of the equipment will be transferred to Prime World upon expiration of the Second Equipment Finance Agreement. As of June 30, 2020, $3.6 million was outstanding under the Second Equipment Finance Agreement.</w:t>
      </w:r>
    </w:p>
    <w:p>
      <w:pPr>
        <w:spacing w:after="0" w:line="18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April 11, 2019, Prime World entered into a one-year credit facility totaling NT$80 million, or approximately $2.6 million, (the “Far Eastern Credit Facility”) with Far Eastern International Bank Co., Ltd. (“Far Eastern”). Prime World may draw upon the Far Eastern Credit Facility from April 11, 2019 until April 11, 2020. The term of each draw shall be up to 180 days. Under the Far Eastern Credit Facility borrowing in NT dollars will bear interest at a rate equal to Far Eastern’s published one-year fixed term time deposits rate, plus 0.655%; for all foreign currency borrowing, interest shall be the TAIFX3 rate for the length of time equal to the term of the loan or the next longer tenor for which rates are quoted, plus 0.7%. As of the execution of the Far Eastern Credit Facility, Far Eastern’s published one-year fixed term time deposits rate and TAIFX3 rate are 1.045 % and 2.75%, respectively. Prime World’s obligations under the Far Eastern Credit Facility will be secured by a promissory note executed between Prime World and Far Eastern. As of June 30, 2020, the Far Eastern Credit Facility was fully repaid.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23, 2019, Prime World entered into a one-year revolving credit facility totaling NT$100 million, or approximately $3.3 million,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“NT$100M Credit Line”) and $1 million (the “US$1M Credit Line”) with Taishin International Bank in Taiwan ("Taishin"). Borrowing under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NT$100M Credit Line will be used for short-term working capital; the borrowing under the US$1M Credit Line will be strictly used for spot transactions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foreign exchange market. The NT$100M Credit Line and US$1M Credit Line are collectively referred to as the “Taishin Credit Facility”. Prime World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draw upon the Taishin Credit Facility from July 23, 2019 through July 31, 2020. The term of each draw shall be either 90 or 120 days.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NT$100M Credit Line will bear interest at a rate of 2.25% for 90 day draws and 2.2% for 120 day draws; borrowings under the US$1M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Line will bear interest equal to the Taishin’s foreign exchange rate effective on the day of the applicable draw. At the end of the draw term Prime World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make payment for all principal and accrued interest. Prime World’s obligations under the Taishin Credit Facility will be secured by a promissory note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executed between Prime World and Taishin. The agreements for the Taishin Credit Facility contain representations and warranties, and events of default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to Prime World that are customary for agreements of this type. As of June 30, 2020, $3.4 million was outstanding under the Taishin Credit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On April 14, 2020, Global extended the revolving line of credit agreement with China Merchants by six (6) months. Global may draw upon the China Merchants Credit Line from April 19, 2019 until October 14,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As of June 30, 2020,</w:t>
      </w:r>
    </w:p>
    <w:p>
      <w:pPr>
        <w:spacing w:after="0" w:line="6"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$1.0 million was outstanding under the China Merchants Credit Line and the outstanding balance of bank acceptance notes issued to vendors was $2.3 million.</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April 30, 2019, the Company’s China subsidiary, Global, entered into a one-year credit facility totaling 9,900,000 RMB, or approximately $1.5 million, (the “SPD ¥9.9M Credit Facility”), with Shanghai Pudong Development Bank Co., Ltd., in Builun District, Ningbo City, (China) ("SPD"). Borrowing under the SPD ¥9.9M Credit Facility will be used for short-term working capital. Global may draw upon the SPD ¥9.9M Credit Facility from April 30, 2019 until May 9, 2019. Borrowing under the SPD ¥9.9M Credit Facility will mature on April 30, 2020 and will bear interest equal to SPD’s published twelve (12) month prime loan rate in effect on the date of the draw, plus 0.2475%. Under the SPD ¥9.9M Credit Facility, Global will make monthly payments of accrued interest and the principal shall be repaid upon maturity. Global’s obligations under the SPD ¥9.9M Credit Facility are unsecured. The SPD ¥9.9M Credit Facility has been replaced by the SPD Credit Line on May 24, 2019.</w:t>
      </w:r>
    </w:p>
    <w:p>
      <w:pPr>
        <w:spacing w:after="0" w:line="17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May 7, 2019, the Company’s China subsidiary, Global, entered into a one-year credit facility totaling 30,000,000 RMB, or approximately $4.5 million, (the “SPD ¥30M Credit Facility”), with SPD. Borrowing under the SPD ¥30M Credit Facility will be used to repay Global’s outstanding loans with China Construction Bank Co., Ltd., in Ningbo, China ("CCB"). Borrowing under the SPD ¥30M Credit Facility will mature on May 7, 2020 and will bear interest equal to the Bank’s published twelve (12) month prime loan rate in effect on the date of the draw, plus 0.2475%. As of the execution of the SPD ¥30M Credit Facility agreement, the Bank’s published twelve (12) months prime loan rate is 4.32%. Under the SPD ¥30M Credit Facility, Global will make monthly payments of accrued interest; principal shall be repaid upon maturity. Global’s obligations under the SPD ¥30M Credit Facility are unsecured. The SPD ¥30M Credit Facility has been replaced by the SPD Credit Line on May 24, 2019.</w:t>
      </w:r>
    </w:p>
    <w:p>
      <w:pPr>
        <w:spacing w:after="0" w:line="17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8, 2019, the Company’s China subsidiary, Global, entered into a six-month credit facility totaling $2,000,000 (the “$2M Credit Facility”) with SPD. Borrowing under the $2M Credit Facility will be used to repay Global’s outstanding loans with CCB and for general corporate purposes. Borrowing under the $2M Credit Facility will mature on November 7, 2019 and will bear interest equal to SPD’s published six (6) month LIBOR in effect on the date of the draw, plus 1.48%. As of the execution of the $2M Credit Facility agreement, the SPD published 6 months LIBOR rate was 2.59438%. Under the $2M Credit Facility, Global will make quarterly payments of accrued interest; principal shall be repaid upon maturity. Global’s obligations under the $2M Credit Facility are unsecured. The $2M Credit Facility has been replaced by the SPD Credit Line on May 24, 2019.</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May 24, 2019, the Company’s China subsidiary, Global, entered into a five-year revolving credit line agreement, totaling 180,000,000 RMB (the “SPD Credit Line”), or approximately $25.4 million, and a mortgage security agreement (the “Security Agreement”), with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June 30, 2020, $9.7 million was outstanding under the SPD Credit Line and the outstanding balance of bank acceptance notes issued to vendors was $7.6 million.</w:t>
      </w:r>
    </w:p>
    <w:p>
      <w:pPr>
        <w:spacing w:after="0" w:line="18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June 21, 2019, the Company’s China subsidiary, Global, entered into an 18 month credit facility totaling 100,000,000 RMB (the “¥100M Credit Facility”), or approximately $14.1 million, with China Zheshang Bank Co., Ltd., in Ningbo City, China (“CZB”). Borrowing under the ¥100M Credit Facility will be used by Global for general corporate purposes. Global may draw upon the ¥100M Credit Facility from June 21, 2019 until January 4, 2021 (the “¥100M Credit Period”). During the ¥100M Credit Period, Global may request to draw upon the ¥100M Credit Facility on an as-needed basis; however, draws under the ¥100M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¥100M Credit Facility will be secured by real property owned by Global and mortgaged to CZB under the terms of the Real Estate Security Agreement. The agreements for the ¥100M Credit Facility and the Real Estate Security Agreement also contain rights and obligations, representations and warranties, and events of default applicable to the Company that are customary for agreements of this type. As of June 30, 2020, $5.0 million was outstanding under the ¥100M Credit Facility and there was no outstanding balance of bank acceptance notes issued to vendors under this facility.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21, 2019, the Company’s China subsidiary, Global, entered into a three-year credit facility totaling 50,000,000 RMB (the “¥50M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 or approximately $7.1 million, with CZB. Borrowing under the ¥50M Credit Facility will be used by Global for general corporate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purposes. Global may draw upon the ¥50M Credit Facility from June 21, 2019 until June 20, 2022 (the “¥50M Credit Period”). During the ¥50M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Global may request to draw upon the ¥50M Credit Facility on an as-needed basis; however, draws under the ¥50M Credit Facility may become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repayable to CZB at CZB’s discretion due to changes in Chinese government regulations and/or changes in Global’s financial and operational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 Each draw will bear interest equal to CZB’s commercial banking interest rate effective on the day of the applicable draw. Global’s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¥50M Credit Facility will be secured by machinery and equipment owned by Global and mortgaged to CZB under the terms of the Machinery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Equipment Security Agreement. As of June 30, 2020, $7.1 million was outstanding under the ¥50M Credit 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2020 and December 31, 2019, the Company had $26.9 million and $34.7 million of unused borrowing capacity, respectively.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0.2% and 1.8% at June 30, 2020 and December 31, 2019, respectively.</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As of June 30, 2020 and December 31, 2019, there was $5.1 million and $6.1 million of restricted cash, investments or security deposits associated with the loan facilities,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Senior Notes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 of the Notes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80,500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(3,061)</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(3,459)</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77,041</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line="2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Pursuant to the guidance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 Contracts in Entity’s Own Equity</w:t>
      </w:r>
      <w:r>
        <w:rPr>
          <w:rFonts w:ascii="Arial" w:cs="Arial" w:eastAsia="Arial" w:hAnsi="Arial"/>
          <w:sz w:val="16"/>
          <w:szCs w:val="16"/>
          <w:color w:val="auto"/>
        </w:rPr>
        <w:t xml:space="preserve">, the Company evaluated whether the conversion feature of the note needed to be bifurcated from the host instrument as a freestanding financial instrument. Under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 xml:space="preserve">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7</w:t>
      </w:r>
      <w:r>
        <w:rPr>
          <w:rFonts w:ascii="Arial" w:cs="Arial" w:eastAsia="Arial" w:hAnsi="Arial"/>
          <w:sz w:val="16"/>
          <w:szCs w:val="16"/>
          <w:color w:val="auto"/>
        </w:rPr>
        <w:t xml:space="preserve"> and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10.</w:t>
      </w:r>
      <w:r>
        <w:rPr>
          <w:rFonts w:ascii="Arial" w:cs="Arial" w:eastAsia="Arial" w:hAnsi="Arial"/>
          <w:sz w:val="16"/>
          <w:szCs w:val="16"/>
          <w:color w:val="auto"/>
        </w:rPr>
        <w:t xml:space="preserve">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Fonts w:ascii="Arial" w:cs="Arial" w:eastAsia="Arial" w:hAnsi="Arial"/>
          <w:sz w:val="16"/>
          <w:szCs w:val="16"/>
          <w:i w:val="1"/>
          <w:iCs w:val="1"/>
          <w:color w:val="auto"/>
        </w:rPr>
        <w:t>470</w:t>
      </w:r>
      <w:r>
        <w:rPr>
          <w:rFonts w:ascii="Arial" w:cs="Arial" w:eastAsia="Arial" w:hAnsi="Arial"/>
          <w:sz w:val="16"/>
          <w:szCs w:val="16"/>
          <w:color w:val="auto"/>
        </w:rPr>
        <w:t>-</w:t>
      </w:r>
      <w:r>
        <w:rPr>
          <w:rFonts w:ascii="Arial" w:cs="Arial" w:eastAsia="Arial" w:hAnsi="Arial"/>
          <w:sz w:val="16"/>
          <w:szCs w:val="16"/>
          <w:i w:val="1"/>
          <w:iCs w:val="1"/>
          <w:color w:val="auto"/>
        </w:rPr>
        <w:t>20, 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w:t>
      </w:r>
      <w:r>
        <w:rPr>
          <w:rFonts w:ascii="Arial" w:cs="Arial" w:eastAsia="Arial" w:hAnsi="Arial"/>
          <w:sz w:val="16"/>
          <w:szCs w:val="16"/>
          <w:color w:val="auto"/>
        </w:rPr>
        <w:t>. The Company determined that notes should be accounted for in their entirety as a liability.</w:t>
      </w:r>
    </w:p>
    <w:p>
      <w:pPr>
        <w:spacing w:after="0" w:line="16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9"/>
          </w:tcPr>
          <w:p>
            <w:pPr>
              <w:ind w:left="660"/>
              <w:spacing w:after="0"/>
              <w:rPr>
                <w:sz w:val="20"/>
                <w:szCs w:val="20"/>
                <w:color w:val="auto"/>
              </w:rPr>
            </w:pPr>
            <w:r>
              <w:rPr>
                <w:rFonts w:ascii="Arial" w:cs="Arial" w:eastAsia="Arial" w:hAnsi="Arial"/>
                <w:sz w:val="18"/>
                <w:szCs w:val="18"/>
                <w:color w:val="auto"/>
                <w:w w:val="91"/>
              </w:rPr>
              <w:t>The following table sets forth interest expense information related to the Notes (in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6"/>
          </w:tcPr>
          <w:p>
            <w:pPr>
              <w:jc w:val="right"/>
              <w:ind w:right="35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Pr>
          <w:p>
            <w:pPr>
              <w:spacing w:after="0"/>
              <w:rPr>
                <w:sz w:val="24"/>
                <w:szCs w:val="24"/>
                <w:color w:val="auto"/>
              </w:rPr>
            </w:pPr>
          </w:p>
        </w:tc>
        <w:tc>
          <w:tcPr>
            <w:tcW w:w="262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09"/>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1,308</w:t>
            </w: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1200" w:type="dxa"/>
            <w:vAlign w:val="bottom"/>
            <w:gridSpan w:val="3"/>
          </w:tcPr>
          <w:p>
            <w:pPr>
              <w:jc w:val="right"/>
              <w:ind w:right="170"/>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Effective interest rate</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67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Note 13. Accrued Liabilities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540" w:type="dxa"/>
            <w:vAlign w:val="bottom"/>
            <w:gridSpan w:val="9"/>
          </w:tcPr>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88"/>
              </w:rPr>
              <w:t>June 30, 2020</w:t>
            </w:r>
          </w:p>
        </w:tc>
        <w:tc>
          <w:tcPr>
            <w:tcW w:w="18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1"/>
              </w:rPr>
              <w:t>December 31, 2019</w:t>
            </w:r>
          </w:p>
        </w:tc>
        <w:tc>
          <w:tcPr>
            <w:tcW w:w="8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11,009</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employee benefits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2,288</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state and local taxes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1,215</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1215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1208</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payments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product warranty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785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821</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 expenses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420</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222</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utility expenses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r>
      <w:tr>
        <w:trPr>
          <w:trHeight w:val="20"/>
        </w:trPr>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15,557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17,864</w:t>
            </w:r>
          </w:p>
        </w:tc>
      </w:tr>
      <w:tr>
        <w:trPr>
          <w:trHeight w:val="20"/>
        </w:trPr>
        <w:tc>
          <w:tcPr>
            <w:tcW w:w="84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6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96"/>
              </w:rPr>
              <w:t>Three months ended June 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gain (loss)</w:t>
            </w:r>
          </w:p>
        </w:tc>
        <w:tc>
          <w:tcPr>
            <w:tcW w:w="16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gain (loss)</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6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1"/>
                <w:szCs w:val="21"/>
                <w:color w:val="auto"/>
              </w:rPr>
            </w:pPr>
          </w:p>
        </w:tc>
      </w:tr>
      <w:tr>
        <w:trPr>
          <w:trHeight w:val="426"/>
        </w:trPr>
        <w:tc>
          <w:tcPr>
            <w:tcW w:w="20" w:type="dxa"/>
            <w:vAlign w:val="bottom"/>
          </w:tcPr>
          <w:p>
            <w:pPr>
              <w:spacing w:after="0"/>
              <w:rPr>
                <w:sz w:val="24"/>
                <w:szCs w:val="24"/>
                <w:color w:val="auto"/>
              </w:rPr>
            </w:pPr>
          </w:p>
        </w:tc>
        <w:tc>
          <w:tcPr>
            <w:tcW w:w="37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w:t>
      </w:r>
    </w:p>
    <w:p>
      <w:pPr>
        <w:sectPr>
          <w:pgSz w:w="11900" w:h="16863" w:orient="portrait"/>
          <w:cols w:equalWidth="0" w:num="1">
            <w:col w:w="11220"/>
          </w:cols>
          <w:pgMar w:left="320" w:top="125" w:right="359" w:bottom="0" w:gutter="0" w:footer="0" w:header="0"/>
        </w:sectPr>
      </w:pPr>
    </w:p>
    <w:bookmarkStart w:id="20" w:name="page21"/>
    <w:bookmarkEnd w:id="20"/>
    <w:p>
      <w:pPr>
        <w:ind w:right="120"/>
        <w:spacing w:after="0" w:line="277" w:lineRule="auto"/>
        <w:rPr>
          <w:sz w:val="20"/>
          <w:szCs w:val="20"/>
          <w:color w:val="auto"/>
        </w:rPr>
      </w:pPr>
      <w:r>
        <w:rPr>
          <w:rFonts w:ascii="Arial" w:cs="Arial" w:eastAsia="Arial" w:hAnsi="Arial"/>
          <w:sz w:val="18"/>
          <w:szCs w:val="18"/>
          <w:color w:val="auto"/>
        </w:rPr>
        <w:t>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Options have been granted to the Company’s employees under the two incentive plans and generally become exercisable as to 25% of the shares on the first anniversary date following the date of grant and 12.5% on a semi-annual basis thereafter. All options expire ten years after the date of grant.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Share Price</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on Date of</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24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8"/>
                <w:szCs w:val="18"/>
                <w:b w:val="1"/>
                <w:bCs w:val="1"/>
                <w:color w:val="auto"/>
                <w:w w:val="99"/>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83"/>
              </w:rPr>
              <w:t>except price data)</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10.22</w:t>
            </w:r>
          </w:p>
        </w:tc>
        <w:tc>
          <w:tcPr>
            <w:tcW w:w="1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196"/>
        </w:trPr>
        <w:tc>
          <w:tcPr>
            <w:tcW w:w="3240" w:type="dxa"/>
            <w:vAlign w:val="bottom"/>
          </w:tcPr>
          <w:p>
            <w:pPr>
              <w:spacing w:after="0" w:line="196" w:lineRule="exact"/>
              <w:rPr>
                <w:sz w:val="20"/>
                <w:szCs w:val="20"/>
                <w:color w:val="auto"/>
              </w:rPr>
            </w:pPr>
            <w:r>
              <w:rPr>
                <w:rFonts w:ascii="Arial" w:cs="Arial" w:eastAsia="Arial" w:hAnsi="Arial"/>
                <w:sz w:val="18"/>
                <w:szCs w:val="18"/>
                <w:color w:val="auto"/>
              </w:rPr>
              <w:t>Exercisable, June 30, 2020</w:t>
            </w:r>
          </w:p>
        </w:tc>
        <w:tc>
          <w:tcPr>
            <w:tcW w:w="13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10.22</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3.62</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341</w:t>
            </w:r>
          </w:p>
        </w:tc>
      </w:tr>
      <w:tr>
        <w:trPr>
          <w:trHeight w:val="20"/>
        </w:trPr>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10.22</w:t>
            </w: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3.13</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341</w:t>
            </w:r>
          </w:p>
        </w:tc>
      </w:tr>
    </w:tbl>
    <w:p>
      <w:pPr>
        <w:spacing w:after="0" w:line="202"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As of June 30, 2020, there was no unrecognized stock option expense.</w:t>
      </w:r>
    </w:p>
    <w:p>
      <w:pPr>
        <w:spacing w:after="0" w:line="225"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Price on Date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1,181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13,482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18,023</w:t>
            </w: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15.98</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18,023</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June 30, 2020, there was $23.5 million of unrecognized compensation expense related to these RSUs and RSAs. This expense is expected to be recognized over 2.55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86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 by expense type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387</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586</w:t>
            </w:r>
          </w:p>
        </w:tc>
        <w:tc>
          <w:tcPr>
            <w:tcW w:w="3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550</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3,728</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3,302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6,540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5,961</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69"/>
        </w:trPr>
        <w:tc>
          <w:tcPr>
            <w:tcW w:w="8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Company’s tax provision or benefit from income taxes for interim periods is determined using an estimate of its annual effective tax rate, adjusted for discrete items, if any, that are taken into account in the relevant period. The Company’s quarterly tax provision, and its quarterly estimate of its annual effective tax rate, are subject to significant variation due to several factors, including variability in accurately predicting its pre-tax income and loss and the mix of jurisdictions to which they relate, tax law developments and relative changes in permanent tax benefits or expenses.</w:t>
      </w:r>
    </w:p>
    <w:p>
      <w:pPr>
        <w:spacing w:after="0" w:line="15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 Company’s effective tax rate for the three months ended June 30, 2020 and 2019 was 258.2% and 22.0%, respectively. For the three months ended June 30, 2020, the effective tax rate varied from the federal statutory rate of 21% primarily due to the level and mix of earnings among tax jurisdictions, and the change of the valuation allowance on the US and state deferred tax assets ("DTA"), and the recording of a valuation allowance on Taiwan deferred tax assets. For the three months ended June 30, 2019, the effective tax rate varied from the federal statutory rate of 21% primarily due to the level and mix of earnings among tax jurisdictions, share-based compensation, and tax benefits related to research and development.</w:t>
      </w:r>
    </w:p>
    <w:p>
      <w:pPr>
        <w:spacing w:after="0" w:line="16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Company’s effective tax rate for the six months ended June 30, 2020 and 2019 was (16.25%) and 20.6%, respectively. For the six months ended June 30, 2020, the effective tax rate varied from the federal statutory rate of 21% primarily due to the level and mix of earnings among tax jurisdictions, the change of the valuation allowance on the US and state deferred tax assets, and the recording of a valuation on Taiwan deferred tax assets. For the six months ended June 30, 2019, the effective tax rate varied from the federal statutory rate of 21% primarily due to the level and mix of earnings among tax jurisdictions, share-based compensation, and tax benefits related to research and development.</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Management assesses the available positive and negative evidence to estimate whether sufficient future taxable income will be generated to permit use of the existing DTAs. A significant piece of objective negative evidence evaluated was the cumulative losses incurred over the three-year period ended June 30, 2020 in Taiwan. Such objective evidence limits the ability to consider other subjective evidence, such as our projections for future growth.</w:t>
      </w:r>
    </w:p>
    <w:p>
      <w:pPr>
        <w:spacing w:after="0" w:line="149"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On the basis of this evaluation, as of June 30, 2020, a valuation allowance of $5.2 million has been recorded in Taiwan to recognize only the portion of the DTA that is more likely than not to be realized. The amount of the DTA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7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response to the global pandemic related to COVID-19, the President signed into law the Coronavirus Aid, Relief, and Economic Security Act (the “CARES Act”) on March 27, 2020. The CARES Act provides numerous relief provisions for corporate taxpayers, including modification of the utilization limitations on net operating losses, favorable expansions of the deduction for business interest expense under Internal Revenue Code Section 163(j), and the ability to accelerate timing of refundable AMT credits. For the six months ended June 30 , 2020, there were no material tax impacts to our condensed consolidated financial statements as it relates to COVID-19 measures. The Company continues to monitor additional guidance issued by the U.S. Treasury Department, the Internal Revenue Services and others.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Information</w:t>
      </w:r>
    </w:p>
    <w:p>
      <w:pPr>
        <w:spacing w:after="0" w:line="22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4"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Pr>
          <w:p>
            <w:pPr>
              <w:spacing w:after="0"/>
              <w:rPr>
                <w:sz w:val="20"/>
                <w:szCs w:val="20"/>
                <w:color w:val="auto"/>
              </w:rPr>
            </w:pPr>
          </w:p>
        </w:tc>
        <w:tc>
          <w:tcPr>
            <w:tcW w:w="25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3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4,735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8,496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3,650</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40,604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22,108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64,486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46,128</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China</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19,883</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19,651</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32,707</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46,352</w:t>
            </w:r>
          </w:p>
        </w:tc>
      </w:tr>
      <w:tr>
        <w:trPr>
          <w:trHeight w:val="20"/>
        </w:trPr>
        <w:tc>
          <w:tcPr>
            <w:tcW w:w="3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65,222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105,689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96,130</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As of the period ended</w:t>
            </w:r>
          </w:p>
        </w:tc>
      </w:tr>
      <w:tr>
        <w:trPr>
          <w:trHeight w:val="210"/>
        </w:trPr>
        <w:tc>
          <w:tcPr>
            <w:tcW w:w="6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r>
      <w:tr>
        <w:trPr>
          <w:trHeight w:val="209"/>
        </w:trPr>
        <w:tc>
          <w:tcPr>
            <w:tcW w:w="6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93,604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94,507</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72,420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73,816</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95,219</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97,687</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261,243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266,010</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the Company and two of its officers in </w:t>
      </w:r>
      <w:r>
        <w:rPr>
          <w:rFonts w:ascii="Arial" w:cs="Arial" w:eastAsia="Arial" w:hAnsi="Arial"/>
          <w:sz w:val="16"/>
          <w:szCs w:val="16"/>
          <w:i w:val="1"/>
          <w:iCs w:val="1"/>
          <w:color w:val="auto"/>
        </w:rPr>
        <w:t>Mona Abouzied v. Applied Optoelectronics, Inc., Chih-Hsiang (Thompson) Lin, and Stefan J. Murry, et al.</w:t>
      </w:r>
      <w:r>
        <w:rPr>
          <w:rFonts w:ascii="Arial" w:cs="Arial" w:eastAsia="Arial" w:hAnsi="Arial"/>
          <w:sz w:val="16"/>
          <w:szCs w:val="16"/>
          <w:color w:val="auto"/>
        </w:rPr>
        <w:t>, Case No. 4:17-cv-02399. The complaint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matter seeks class action status on behalf of the 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Korsinsky LLP as Lead Counsel. Lead Plaintiff filed an amended consolidated class action complaint on March 6, 2018. The amended complaint requests unspecified damages and other relief. The Company filed a motion to dismiss on April 4, 2018, which was denied on March 28, 2019. The Company disputes the allegations, and intends to continue to vigorously defend against these claims.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the Company filed a response in opposition to the motion for class certification, and on August 26, 2019, Plaintiffs filed their Reply Brief. On November 13, 2019, the Magistrate Judge issued a Memorandum and Recommendation recommending that the Plaintiffs’ motion for class certification be granted, to which Defendants filed written objections on November 27, 2019. On December 11, 2019, Plaintiffs filed a response in opposition to Defendants’ objections, and on December 16, 2019, Defendants filed their reply brief. The court entered an order adopting the Magistrate Judge’s Memorandum and Recommendation over Defendants’ objections on December 20, 2019. Thereafter, on January 3, 2020, Defendants filed a petition for permission to appeal the class certification order to the Fifth Circuit Court of Appeals. Plaintiffs filed an answer in opposition to Defendants’ petition on January 13, 2020, and Defendants filed a reply brief in further support of the petition for permission to appeal on January 21, 2020. On January 23, 2020, Defendants filed an unopposed motion in the Fifth Circuit requesting that the court stay further proceedings for 90 days to allow the parties to conduct settlement negotiations. The Fifth Circuit entered an order granting the motion on January 24, 2020. On April 7, 2020, by joint motion of the parties, the Fifth Circuit extended the order for another 40 days, up to and including June 2, 2020.</w:t>
      </w:r>
    </w:p>
    <w:p>
      <w:pPr>
        <w:spacing w:after="0" w:line="17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On June 2, 2020, the parties reached an agreement in principle to settle the matter pursuant to a mediator’s recommendation. On June 4, 2020, the parties filed a Joint Motion to Stay All Deadlines and Notice of Settlement with the court, in order to allow the parties to finalize their settlement and file a motion for preliminary approval with the court no later than August 3, 2020.</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August 3, 2020, the parties filed a Stipulation of Settlement with the Court. The Stipulation of Settlement contemplates—among other things and contingent upon Court approval of the settlement and customary terms and conditions—settlement of the action, a release of all claims made in the action, and dismissal of the claims made in the action with prejudice. As consideration for entering into the settlement, Plaintiffs will receive for distribution to the members of the class they purport to represent (in accordance with the terms of the Stipulation of Settlement) a payment of $15.5 million funded by AOI’s applicable directors’ and officers’ insurance policies. Plaintiffs intend to apply to the Court for an award of attorneys’ fees to be paid out of the $15.5 million settlement fund. A hearing at which the Court will consider whether to approve the settlement has not yet been scheduled. Until it does, all non-settlement related activity in the action will be stayed. Additional information regarding the settlement can be obtained by reviewing the settlement documents publicly filed with the Court in the matter. After taking into account all currently available information, the advice of our counsel, and the extent and currently-expected availability of our existing insurance coverage, we believe that the eventual outcome of this matter will not have a material adverse effect on our overall financial condition, results of operations or cash flows, and we have not recorded any accrual with regard to this matter.</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On August 7, 2018, a derivative lawsuit was filed in the United States District Court for the Southern District of Texas styled </w:t>
      </w:r>
      <w:r>
        <w:rPr>
          <w:rFonts w:ascii="Arial" w:cs="Arial" w:eastAsia="Arial" w:hAnsi="Arial"/>
          <w:sz w:val="17"/>
          <w:szCs w:val="17"/>
          <w:i w:val="1"/>
          <w:iCs w:val="1"/>
          <w:color w:val="auto"/>
        </w:rPr>
        <w:t>Lei Jin, derivatively</w:t>
      </w:r>
      <w:r>
        <w:rPr>
          <w:rFonts w:ascii="Arial" w:cs="Arial" w:eastAsia="Arial" w:hAnsi="Arial"/>
          <w:sz w:val="17"/>
          <w:szCs w:val="17"/>
          <w:color w:val="auto"/>
        </w:rPr>
        <w:t xml:space="preserve"> </w:t>
      </w:r>
      <w:r>
        <w:rPr>
          <w:rFonts w:ascii="Arial" w:cs="Arial" w:eastAsia="Arial" w:hAnsi="Arial"/>
          <w:sz w:val="17"/>
          <w:szCs w:val="17"/>
          <w:i w:val="1"/>
          <w:iCs w:val="1"/>
          <w:color w:val="auto"/>
        </w:rPr>
        <w:t>on behalf of Applied Optoelectronics, Inc. v. Chih-Hsiang (“Thompson”) Lin, Stefan J. Murry, William H. Yeh, Alex Ignatiev, Richard B. Black, Min-Chu Chen, Alan Moore, and Che-Wei Lin and Applied Optoelectronics, Inc.</w:t>
      </w:r>
      <w:r>
        <w:rPr>
          <w:rFonts w:ascii="Arial" w:cs="Arial" w:eastAsia="Arial" w:hAnsi="Arial"/>
          <w:sz w:val="17"/>
          <w:szCs w:val="17"/>
          <w:color w:val="auto"/>
        </w:rPr>
        <w:t>, No. 4:18-cv-02713 alleging breaches of fiduciary duties, unjust enrichment,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violations of Section 14(a) of the Exchange Act based on similar factual allegations as in the </w:t>
      </w:r>
      <w:r>
        <w:rPr>
          <w:rFonts w:ascii="Arial" w:cs="Arial" w:eastAsia="Arial" w:hAnsi="Arial"/>
          <w:sz w:val="17"/>
          <w:szCs w:val="17"/>
          <w:i w:val="1"/>
          <w:iCs w:val="1"/>
          <w:color w:val="auto"/>
        </w:rPr>
        <w:t>Abouzied</w:t>
      </w:r>
      <w:r>
        <w:rPr>
          <w:rFonts w:ascii="Arial" w:cs="Arial" w:eastAsia="Arial" w:hAnsi="Arial"/>
          <w:sz w:val="17"/>
          <w:szCs w:val="17"/>
          <w:color w:val="auto"/>
        </w:rPr>
        <w:t xml:space="preserve"> Securities Class Action. On December 18, 2018, a second derivative complaint was filed styled </w:t>
      </w:r>
      <w:r>
        <w:rPr>
          <w:rFonts w:ascii="Arial" w:cs="Arial" w:eastAsia="Arial" w:hAnsi="Arial"/>
          <w:sz w:val="17"/>
          <w:szCs w:val="17"/>
          <w:i w:val="1"/>
          <w:iCs w:val="1"/>
          <w:color w:val="auto"/>
        </w:rPr>
        <w:t>Yiu Kwong Ng v. Chih-Hsiang (“Thompson”) Lin, Stefan J. Murry, William H. Yeh, Alex Ignatiev, Richard B.</w:t>
      </w:r>
      <w:r>
        <w:rPr>
          <w:rFonts w:ascii="Arial" w:cs="Arial" w:eastAsia="Arial" w:hAnsi="Arial"/>
          <w:sz w:val="17"/>
          <w:szCs w:val="17"/>
          <w:color w:val="auto"/>
        </w:rPr>
        <w:t xml:space="preserve"> </w:t>
      </w:r>
      <w:r>
        <w:rPr>
          <w:rFonts w:ascii="Arial" w:cs="Arial" w:eastAsia="Arial" w:hAnsi="Arial"/>
          <w:sz w:val="17"/>
          <w:szCs w:val="17"/>
          <w:i w:val="1"/>
          <w:iCs w:val="1"/>
          <w:color w:val="auto"/>
        </w:rPr>
        <w:t>Black, Min-Chu Chen, Alan Moore, and Che-Wei Lin and Applied Optoelectronics, Inc.</w:t>
      </w:r>
      <w:r>
        <w:rPr>
          <w:rFonts w:ascii="Arial" w:cs="Arial" w:eastAsia="Arial" w:hAnsi="Arial"/>
          <w:sz w:val="17"/>
          <w:szCs w:val="17"/>
          <w:color w:val="auto"/>
        </w:rPr>
        <w:t>, No. 4:18-cv-4751 alleging the same causes of actions as the</w:t>
      </w:r>
      <w:r>
        <w:rPr>
          <w:rFonts w:ascii="Arial" w:cs="Arial" w:eastAsia="Arial" w:hAnsi="Arial"/>
          <w:sz w:val="17"/>
          <w:szCs w:val="17"/>
          <w:i w:val="1"/>
          <w:iCs w:val="1"/>
          <w:color w:val="auto"/>
        </w:rPr>
        <w:t xml:space="preserve"> Jin </w:t>
      </w:r>
      <w:r>
        <w:rPr>
          <w:rFonts w:ascii="Arial" w:cs="Arial" w:eastAsia="Arial" w:hAnsi="Arial"/>
          <w:sz w:val="17"/>
          <w:szCs w:val="17"/>
          <w:color w:val="auto"/>
        </w:rPr>
        <w:t>complaint and additional factual allegations regarding our announcement on September 28, 2018 that we had “identified an issue with a small percentage of 25G lasers within a specific customer environment.” On January 11, 2019, the court consolidated these two derivative actions, and on January 15, 2019, the court entered an order staying the actions pending the resolution of the securities class actions. On June 24, 2020, the plaintiffs filed a notice that the stay of proceedings had been terminated, and on July 2, 2020, the parties filed a Joint Stipulation and Proposed Scheduling Order. The court entered the stipulated scheduling order on the same date, under which we must file and serve our response or responsive pleading to the complaint by August 3, 2020. On July 31, 2020, the Court extended Defendants deadline to file and serve their response or responsive pleading to the complaint to September 2, 2020. The complaint requests unspecified damages and other relief. At this stage, we are not yet able to determine the likelihood of loss, if any, arising from this matter.</w:t>
      </w:r>
    </w:p>
    <w:p>
      <w:pPr>
        <w:sectPr>
          <w:pgSz w:w="11900" w:h="16838" w:orient="portrait"/>
          <w:cols w:equalWidth="0" w:num="1">
            <w:col w:w="11240"/>
          </w:cols>
          <w:pgMar w:left="320" w:top="125" w:right="339" w:bottom="105"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of reporting date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repaid its revolving bank line of credit with Truist Bank in the amount of $18.6 million.</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5" w:name="page26"/>
    <w:bookmarkEnd w:id="25"/>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June 30, 2020 and the audited consolidated financial statements and notes thereto and management’s discussion and analysis of financial condition and results of operations for the fiscal year ended December 31, 2019 included in our Annual Report. References to “Applied Optoelectronics,” “we,” “our” and “us” are to Applied Optoelectronics, Inc. and its subsidiaries unless otherwise specified or the context otherwise requires.</w:t>
      </w:r>
    </w:p>
    <w:p>
      <w:pPr>
        <w:spacing w:after="0" w:line="16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2019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In the telecom market, we benefit from deployment of new high-speed fiber-optic networks by telecom network operators.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and FTTH markets where networking equipment is often installed outdoors.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w:t>
      </w:r>
    </w:p>
    <w:p>
      <w:pPr>
        <w:sectPr>
          <w:pgSz w:w="11900" w:h="16850" w:orient="portrait"/>
          <w:cols w:equalWidth="0" w:num="1">
            <w:col w:w="11220"/>
          </w:cols>
          <w:pgMar w:left="320" w:top="125" w:right="359" w:bottom="0" w:gutter="0" w:footer="0" w:header="0"/>
        </w:sectPr>
      </w:pPr>
    </w:p>
    <w:bookmarkStart w:id="26" w:name="page27"/>
    <w:bookmarkEnd w:id="26"/>
    <w:p>
      <w:pPr>
        <w:spacing w:after="0" w:line="10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solution is likely to continue to be purchased for that design throughout that product’s life cycle because of the time and expense associated with redesigning the product or substituting an alternative solution.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8"/>
                <w:szCs w:val="18"/>
                <w:color w:val="auto"/>
              </w:rPr>
            </w:pPr>
          </w:p>
        </w:tc>
        <w:tc>
          <w:tcPr>
            <w:tcW w:w="21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210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7"/>
              </w:rPr>
              <w:t>Six months ended</w:t>
            </w:r>
          </w:p>
        </w:tc>
        <w:tc>
          <w:tcPr>
            <w:tcW w:w="200" w:type="dxa"/>
            <w:vAlign w:val="bottom"/>
          </w:tcPr>
          <w:p>
            <w:pPr>
              <w:spacing w:after="0"/>
              <w:rPr>
                <w:sz w:val="18"/>
                <w:szCs w:val="18"/>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9"/>
              </w:rPr>
              <w:t>2020</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9"/>
              </w:rPr>
              <w:t>2019</w:t>
            </w: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9"/>
              </w:rPr>
              <w:t>2020</w:t>
            </w: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89"/>
              </w:rPr>
              <w:t>2019</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65,222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43,411</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105,689</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96,130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51,486</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32,873</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85,615</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73,241</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10,538</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22,889</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5"/>
              </w:rPr>
              <w:t>Research and development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10,803</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11,151</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22,336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3,430</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2,331</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6,366</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4,926</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7"/>
              </w:rPr>
              <w:t>General and administrative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10,884</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21,249</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21,324</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24,844</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24,366</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48,976</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48,586</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(13,828)</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(25,697)</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(1,489)</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(1,490)</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(2,944)</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(2,486)</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2"/>
              </w:rPr>
              <w:t>Other income (expense),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95"/>
        </w:trPr>
        <w:tc>
          <w:tcPr>
            <w:tcW w:w="21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Total other income</w:t>
            </w: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(expense), net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3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c>
          <w:tcPr>
            <w:tcW w:w="3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(1,519)</w:t>
            </w:r>
          </w:p>
        </w:tc>
        <w:tc>
          <w:tcPr>
            <w:tcW w:w="3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(1,808)</w:t>
            </w:r>
          </w:p>
        </w:tc>
        <w:tc>
          <w:tcPr>
            <w:tcW w:w="3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(14,557)</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(30,421)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(7,024)</w:t>
            </w:r>
          </w:p>
        </w:tc>
        <w:tc>
          <w:tcPr>
            <w:tcW w:w="34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3,191</w:t>
            </w:r>
          </w:p>
        </w:tc>
        <w:tc>
          <w:tcPr>
            <w:tcW w:w="340" w:type="dxa"/>
            <w:vAlign w:val="bottom"/>
          </w:tcPr>
          <w:p>
            <w:pPr>
              <w:spacing w:after="0"/>
              <w:rPr>
                <w:sz w:val="17"/>
                <w:szCs w:val="17"/>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7"/>
                <w:szCs w:val="17"/>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(4,976)</w:t>
            </w:r>
          </w:p>
        </w:tc>
        <w:tc>
          <w:tcPr>
            <w:tcW w:w="340" w:type="dxa"/>
            <w:vAlign w:val="bottom"/>
          </w:tcPr>
          <w:p>
            <w:pPr>
              <w:spacing w:after="0"/>
              <w:rPr>
                <w:sz w:val="17"/>
                <w:szCs w:val="17"/>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7"/>
                <w:szCs w:val="17"/>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5,665</w:t>
            </w:r>
          </w:p>
        </w:tc>
        <w:tc>
          <w:tcPr>
            <w:tcW w:w="340" w:type="dxa"/>
            <w:vAlign w:val="bottom"/>
          </w:tcPr>
          <w:p>
            <w:pPr>
              <w:spacing w:after="0"/>
              <w:rPr>
                <w:sz w:val="17"/>
                <w:szCs w:val="17"/>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(18,600)</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(11,366)</w:t>
            </w:r>
          </w:p>
        </w:tc>
        <w:tc>
          <w:tcPr>
            <w:tcW w:w="3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(35,397)</w:t>
            </w: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(21,840)</w:t>
            </w: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2020 and 2019 (in thousands,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2"/>
              </w:rPr>
              <w:t>Three months ended June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CATV</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6,141</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9,818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(3,677)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FTTH</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167.4%</w:t>
            </w:r>
          </w:p>
        </w:tc>
      </w:tr>
      <w:tr>
        <w:trPr>
          <w:trHeight w:val="20"/>
        </w:trPr>
        <w:tc>
          <w:tcPr>
            <w:tcW w:w="3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65,222</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43,411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21,811</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CATV</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10,364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21,780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(11,416)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FTTH</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(99.1)%</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r>
      <w:tr>
        <w:trPr>
          <w:trHeight w:val="20"/>
        </w:trPr>
        <w:tc>
          <w:tcPr>
            <w:tcW w:w="3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105,689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96,130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9,559</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increase in revenue during the three and six months ended June 30, 2020 was driven primarily by increased demand for our 100 Gbps transceivers in our data center market and laser chips used in the manufacture of transceivers for 5G wireless communications in our telecom market. These increases were partially offset by a decrease in demand for CATV products in both the three and six months ended June 30, 2020. The increase in 100 Gbps demand includes increased demand from several existing customers, along with new customer additions. We believe that some of this increase is related to increased demand for cloud-based services as a result of a shift to remote-working arrangements in the US and other areas, which in turn caused our customers to increase capacity in their data centers requiring more optical transceivers, especially 100 Gbps transceivers. The increase in 5G-related</w:t>
      </w:r>
    </w:p>
    <w:p>
      <w:pPr>
        <w:sectPr>
          <w:pgSz w:w="11900" w:h="16942" w:orient="portrait"/>
          <w:cols w:equalWidth="0" w:num="1">
            <w:col w:w="11240"/>
          </w:cols>
          <w:pgMar w:left="320" w:top="125" w:right="339" w:bottom="0" w:gutter="0" w:footer="0" w:header="0"/>
        </w:sectPr>
      </w:pPr>
    </w:p>
    <w:bookmarkStart w:id="27" w:name="page28"/>
    <w:bookmarkEnd w:id="27"/>
    <w:p>
      <w:pPr>
        <w:spacing w:after="0" w:line="7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sales came mainly from customers in China, as wireless operators in that country have begun to deploy advanced 5G mobile networks. The decrease in revenue in our CATV market for the period was mainly a result of reduced overall market demand for CATV outside plant products, which we attribute to reduced desire on the part of CATV multiple-system operators ("MSOs") to deploy capex to increase their network capacity.</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three months ended June 30, 2020 and 2019, our top ten customers represented 86.9% and 90.9% of our revenue, respectively. For the six months ended June 30, 2020 and 2019, our top ten customers represented 86.0% and 90.5%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8"/>
                <w:szCs w:val="18"/>
                <w:b w:val="1"/>
                <w:bCs w:val="1"/>
                <w:color w:val="auto"/>
                <w:w w:val="88"/>
              </w:rPr>
              <w:t>Three months ended June 30,</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51,486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32,873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13,736</w:t>
            </w: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10,538</w:t>
            </w: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8"/>
                <w:szCs w:val="18"/>
                <w:b w:val="1"/>
                <w:bCs w:val="1"/>
                <w:color w:val="auto"/>
                <w:w w:val="93"/>
              </w:rPr>
              <w:t>Six months ended June 30,</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85,615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73,241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20,074</w:t>
            </w: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22,889</w:t>
            </w: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Cost of goods sold increased by $18.6 million, or 56.6%, for the three months ended June 30, 2020 as compared to the three months ended June 30, 2019, primarily due to a 50.2% increase in sales over the prior year. Cost of goods sold increased by $12.4 million, or 16.9%, for the six months ended June 30, 2020 as compared to the six months ended June 30, 2019, primarily due to a 9.9% increase in sales over the prior year.</w:t>
      </w:r>
    </w:p>
    <w:p>
      <w:pPr>
        <w:spacing w:after="0" w:line="14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Gross margin decreased year over year primarily as a result of changes in the mix of products within our datacenter segment. In particular, we saw an increase in sales of certain lower-cost 100 Gbps transceivers, designed for shorter reaches within the datacenter, relative to sales of transceivers designed for longer reaches. This product mix resulted in an overall reduction in gross margin. Also contributing to the reduced gross margin was production inefficiencies, higher costs of certain raw materials, and increased shipping costs due the COVID-19 pandemic.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15" w:orient="portrait"/>
          <w:cols w:equalWidth="0" w:num="1">
            <w:col w:w="11240"/>
          </w:cols>
          <w:pgMar w:left="320" w:top="125" w:right="339" w:bottom="0" w:gutter="0" w:footer="0" w:header="0"/>
        </w:sectPr>
      </w:pPr>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540"/>
        <w:spacing w:after="0" w:line="323" w:lineRule="auto"/>
        <w:rPr>
          <w:sz w:val="20"/>
          <w:szCs w:val="20"/>
          <w:color w:val="auto"/>
        </w:rPr>
      </w:pPr>
      <w:r>
        <w:rPr>
          <w:rFonts w:ascii="Arial" w:cs="Arial" w:eastAsia="Arial" w:hAnsi="Arial"/>
          <w:sz w:val="15"/>
          <w:szCs w:val="15"/>
          <w:color w:val="auto"/>
        </w:rPr>
        <w:t>Research and development Sales and marketing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8"/>
                <w:szCs w:val="18"/>
                <w:b w:val="1"/>
                <w:bCs w:val="1"/>
                <w:color w:val="auto"/>
                <w:w w:val="88"/>
              </w:rPr>
              <w:t>Three months ended June 30,</w:t>
            </w: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right"/>
              <w:ind w:right="30"/>
              <w:spacing w:after="0" w:line="195" w:lineRule="exact"/>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10,803</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11,151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2,331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1,099</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10,884</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24,844</w:t>
            </w:r>
          </w:p>
        </w:tc>
        <w:tc>
          <w:tcPr>
            <w:tcW w:w="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20" w:type="dxa"/>
            <w:vAlign w:val="bottom"/>
            <w:vMerge w:val="continue"/>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24,366</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8"/>
                <w:szCs w:val="18"/>
                <w:b w:val="1"/>
                <w:bCs w:val="1"/>
                <w:color w:val="auto"/>
                <w:w w:val="93"/>
              </w:rPr>
              <w:t>Six months ended June 30,</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right"/>
              <w:ind w:right="30"/>
              <w:spacing w:after="0" w:line="195" w:lineRule="exact"/>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21,361</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22,336</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4,926</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-1703705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-1429385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-272415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915" w:orient="portrait"/>
          <w:cols w:equalWidth="0" w:num="2">
            <w:col w:w="2480" w:space="720"/>
            <w:col w:w="8040"/>
          </w:cols>
          <w:pgMar w:left="320" w:top="125" w:right="33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21,249</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198" w:lineRule="exact"/>
              <w:rPr>
                <w:sz w:val="20"/>
                <w:szCs w:val="20"/>
                <w:color w:val="auto"/>
              </w:rPr>
            </w:pPr>
            <w:r>
              <w:rPr>
                <w:rFonts w:ascii="Arial" w:cs="Arial" w:eastAsia="Arial" w:hAnsi="Arial"/>
                <w:sz w:val="18"/>
                <w:szCs w:val="18"/>
                <w:color w:val="auto"/>
              </w:rPr>
              <w:t>20.1%</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21,324</w:t>
            </w:r>
          </w:p>
        </w:tc>
        <w:tc>
          <w:tcPr>
            <w:tcW w:w="1380" w:type="dxa"/>
            <w:vAlign w:val="bottom"/>
            <w:gridSpan w:val="2"/>
            <w:shd w:val="clear" w:color="auto" w:fill="CCEEFF"/>
          </w:tcPr>
          <w:p>
            <w:pPr>
              <w:jc w:val="right"/>
              <w:ind w:right="120"/>
              <w:spacing w:after="0" w:line="198" w:lineRule="exact"/>
              <w:rPr>
                <w:sz w:val="20"/>
                <w:szCs w:val="20"/>
                <w:color w:val="auto"/>
              </w:rPr>
            </w:pPr>
            <w:r>
              <w:rPr>
                <w:rFonts w:ascii="Arial" w:cs="Arial" w:eastAsia="Arial" w:hAnsi="Arial"/>
                <w:sz w:val="18"/>
                <w:szCs w:val="18"/>
                <w:color w:val="auto"/>
              </w:rPr>
              <w:t>22.2%</w:t>
            </w: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(75)</w:t>
            </w:r>
          </w:p>
        </w:tc>
        <w:tc>
          <w:tcPr>
            <w:tcW w:w="13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(0.4)%</w:t>
            </w:r>
          </w:p>
        </w:tc>
      </w:tr>
      <w:tr>
        <w:trPr>
          <w:trHeight w:val="20"/>
        </w:trPr>
        <w:tc>
          <w:tcPr>
            <w:tcW w:w="3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48,976</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48,586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3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Research and development expense decreased by $0.3 million, or 3.1% for the three months ended June 30, 2020 as compared to the three months ended June 30, 2019. Research and development expense decreased by $1.0 million, or 4.4% for the six months ended June 30, 2020 as compared to the six months ended June 30, 2019. Research and development costs consist of R&amp;D work orders, R&amp;D material usage and other project related costs related to 100 Gbps, 200/400 Gbps data center products, DOCSIS 3.1 capable CATV products, including remote-PHY products, and other new product development, and depreciation expense resulting from R&amp;D equipment investments. These decreases were mainly due to decreases in costs from R&amp;D work orders, partially offset with an increase in personnel-related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Sales and marketing expense increased by $1.1 million, or 47.1% for the three months ended June 30, 2020 as compared to the three months ended June 30, 2019. Sales and marketing expense increased by $1.4 million, or 29.2% for the six months ended June 30, 2020 as compared to the six months</w:t>
      </w:r>
    </w:p>
    <w:p>
      <w:pPr>
        <w:sectPr>
          <w:pgSz w:w="11900" w:h="16915" w:orient="portrait"/>
          <w:cols w:equalWidth="0" w:num="1">
            <w:col w:w="11240"/>
          </w:cols>
          <w:pgMar w:left="320" w:top="125" w:right="339" w:bottom="0" w:gutter="0" w:footer="0" w:header="0"/>
          <w:type w:val="continuous"/>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t>ended June 30, 2019. These increases were primarily due to increase in commission expenses, duties and freight. These increases were partially offset by a decrease in trade show expenses and travel-related costs as a result of the COVID-19 pandemic. As a result of the pandemic outbreak, the Company has modified many of its customary business practices by limiting employee travel including cancelling in-person participation in various meetings, events and conferences.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General and administrative expense decreased by $0.3 million, or 2.5% for the three months ended June 30, 2020 compared to the three months ended June 30, 2019. General and administrative expense decreased by $0.1 million, or 0.4% for the six months ended June 30, 2020 compared to the six months ended June 30, 2019. These decreases were primarily due to a decrease in legal expenses, some of which were paid by our insurance carrier rather than the Company, as legal expenses related to the first of our shareholder class action lawsuits have exceeded the retention in our insurance contract. These decreases were partially offset by an increase in personnel-related costs, share-based compensation expenses and insurance expenses.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8"/>
                <w:szCs w:val="18"/>
                <w:b w:val="1"/>
                <w:bCs w:val="1"/>
                <w:color w:val="auto"/>
                <w:w w:val="88"/>
              </w:rPr>
              <w:t>Three months ended June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(729)</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8"/>
                <w:szCs w:val="18"/>
                <w:b w:val="1"/>
                <w:bCs w:val="1"/>
                <w:color w:val="auto"/>
                <w:w w:val="93"/>
              </w:rPr>
              <w:t>Six months ended June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(1,808)</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Interest income decreased by $0.3 million, or 84.8% for the three months ended June 30, 2020 compared to the three months ended June 30, 2019. Interest income decreased by $0.2 million, or 49.2% for the six months ended June 30, 2020 compared to the six months ended June 30, 2019. The changes were not material and are similar to expected rates of fluctuation with the interest rates and cash balances.</w:t>
      </w:r>
    </w:p>
    <w:p>
      <w:pPr>
        <w:spacing w:after="0" w:line="16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Interest expense decreased slightly for the three months ended June 30, 2020 compared to the three months ended June 30, 2019. Interest expense increased $0.5 million, or 18.4% for the six months ended June 30, 2020 compared to the six months ended June 30, 2019. This increase was due to higher average debt balances during the period.</w:t>
      </w:r>
    </w:p>
    <w:p>
      <w:pPr>
        <w:spacing w:after="0" w:line="184"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Other income (expense), net increased by $0.5 million, or 116.0%, for the three months ended June 30, 2020 as compared to the three months ended June 30, 2019. Other income (expense), net increased by $0.9 million, or 315.9%, for the six months ended June 30, 2020 as compared to the</w:t>
      </w:r>
    </w:p>
    <w:p>
      <w:pPr>
        <w:ind w:right="140"/>
        <w:spacing w:after="0" w:line="253" w:lineRule="auto"/>
        <w:rPr>
          <w:sz w:val="20"/>
          <w:szCs w:val="20"/>
          <w:color w:val="auto"/>
        </w:rPr>
      </w:pPr>
      <w:r>
        <w:rPr>
          <w:rFonts w:ascii="Arial" w:cs="Arial" w:eastAsia="Arial" w:hAnsi="Arial"/>
          <w:sz w:val="18"/>
          <w:szCs w:val="18"/>
          <w:color w:val="auto"/>
        </w:rPr>
        <w:t>six months ended June 30, 2019. This increase was mainly due to an increase in government subsidy income in China and Taiwan. Government subsidy income associated with our investments in new product development and as a result of our designation as a high-tech enterprise in China was $0.4 million and $0.2 million for the six months ended June 30, 2020 and 2019, respectively. In addition, government subsidy income associated with COVID-19 pandemic was $0.5 million for the six months ended June 30,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Benefit for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w w:val="91"/>
              </w:rPr>
              <w:t>Three months ended June 30,</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3,191</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(10,215)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(320.1)%</w:t>
            </w:r>
          </w:p>
        </w:tc>
      </w:tr>
      <w:tr>
        <w:trPr>
          <w:trHeight w:val="432"/>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w w:val="88"/>
              </w:rPr>
              <w:t>Six months ended June 30,</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5,665</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(10,641)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w:t>
            </w:r>
          </w:p>
        </w:tc>
      </w:tr>
    </w:tbl>
    <w:p>
      <w:pPr>
        <w:spacing w:after="0" w:line="20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are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171"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Our effective tax rate for the three months ended June 30, 2020 and 2019 was 258.2% and 22.0%, respectively. For the three months ended June 30, 2020, the effective tax rate varied from the federal statutory rate of 21% primarily due to the level and mix of earnings among tax jurisdictions, and the change of the valuation allowance on the US and state deferred tax assets, and the recording of a valuation allowance on Taiwan deferred tax assets. For the</w:t>
      </w:r>
    </w:p>
    <w:p>
      <w:pPr>
        <w:sectPr>
          <w:pgSz w:w="11900" w:h="16838" w:orient="portrait"/>
          <w:cols w:equalWidth="0" w:num="1">
            <w:col w:w="11240"/>
          </w:cols>
          <w:pgMar w:left="320" w:top="125" w:right="339" w:bottom="0" w:gutter="0" w:footer="0" w:header="0"/>
        </w:sectPr>
      </w:pPr>
    </w:p>
    <w:bookmarkStart w:id="29" w:name="page30"/>
    <w:bookmarkEnd w:id="29"/>
    <w:p>
      <w:pPr>
        <w:ind w:right="160"/>
        <w:spacing w:after="0" w:line="277" w:lineRule="auto"/>
        <w:rPr>
          <w:sz w:val="20"/>
          <w:szCs w:val="20"/>
          <w:color w:val="auto"/>
        </w:rPr>
      </w:pPr>
      <w:r>
        <w:rPr>
          <w:rFonts w:ascii="Arial" w:cs="Arial" w:eastAsia="Arial" w:hAnsi="Arial"/>
          <w:sz w:val="18"/>
          <w:szCs w:val="18"/>
          <w:color w:val="auto"/>
        </w:rPr>
        <w:t>three months ended June 30, 2019, the effective tax rate varied from the federal statutory rate of 21% primarily due to the level and mix of earnings among tax jurisdictions, share-based compensation, and tax benefits related to research and development.</w:t>
      </w:r>
    </w:p>
    <w:p>
      <w:pPr>
        <w:spacing w:after="0" w:line="163" w:lineRule="exact"/>
        <w:rPr>
          <w:sz w:val="20"/>
          <w:szCs w:val="20"/>
          <w:color w:val="auto"/>
        </w:rPr>
      </w:pPr>
    </w:p>
    <w:p>
      <w:pPr>
        <w:ind w:right="140" w:firstLine="648"/>
        <w:spacing w:after="0" w:line="248" w:lineRule="auto"/>
        <w:rPr>
          <w:sz w:val="20"/>
          <w:szCs w:val="20"/>
          <w:color w:val="auto"/>
        </w:rPr>
      </w:pPr>
      <w:r>
        <w:rPr>
          <w:rFonts w:ascii="Arial" w:cs="Arial" w:eastAsia="Arial" w:hAnsi="Arial"/>
          <w:sz w:val="21"/>
          <w:szCs w:val="21"/>
          <w:color w:val="auto"/>
        </w:rPr>
        <w:t>Our effective tax rate for the six months ended June 30, 2020 and 2019 was (16.25%) and 20.6%, respectively. For the six months ended June 30, 2020, the effective tax rate varied from the federal statutory rate of 21% primarily due to the level and mix of earnings among tax jurisdictions, the change of the valuation allowance on the US and state deferred tax assets, and the recording of a valuation on Taiwan deferred tax assets. For the six months ended June 30, 2019, the effective tax rate varied from the federal statutory rate of 21% primarily due to the level and mix of earnings among tax jurisdictions, share-based compensation, and tax benefits related to research and development.</w:t>
      </w:r>
    </w:p>
    <w:p>
      <w:pPr>
        <w:spacing w:after="0" w:line="18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As of June 30, 2020, we had accumulated undistributed earnings generated by our foreign subsidiaries of approximately $11.7 million. Because $11.7 million of such earnings have previously been subject to the one-time transition tax on foreign earnings required by the Tax Cut of Jobs Act of 2017 (the “Tax Act”), any additional taxes due with respect to such earnings or the excess of the amount for financial reporting over the tax basis of our foreign investments would generally be limited to foreign and state taxes. We intend, however, to indefinitely reinvest these earnings and expect future U.S. cash generation to be sufficient to meet future U.S. cash needs.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As of June 30, 2020, we had $26.9 million of unused borrowing capacity from all of our loan agreements. As of June 30, 2020, our cash, cash equivalents and restricted cash totaled $58.9 million. Cash and cash equivalents are held for working capital purposes and are invested primarily in money market or time deposit funds. We do not enter into investments for trading or speculative purposes.</w:t>
      </w:r>
    </w:p>
    <w:p>
      <w:pPr>
        <w:spacing w:after="0" w:line="184" w:lineRule="exact"/>
        <w:rPr>
          <w:sz w:val="20"/>
          <w:szCs w:val="20"/>
          <w:color w:val="auto"/>
        </w:rPr>
      </w:pPr>
    </w:p>
    <w:p>
      <w:pPr>
        <w:ind w:right="560" w:firstLine="693"/>
        <w:spacing w:after="0" w:line="263" w:lineRule="auto"/>
        <w:rPr>
          <w:sz w:val="20"/>
          <w:szCs w:val="20"/>
          <w:color w:val="auto"/>
        </w:rPr>
      </w:pPr>
      <w:r>
        <w:rPr>
          <w:rFonts w:ascii="Arial" w:cs="Arial" w:eastAsia="Arial" w:hAnsi="Arial"/>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8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On February 28, 2020, we entered into an Equity Distribution Agreement (the “Agreement”) with Raymond James &amp; Associates, Inc. (the “Sales Agent”) pursuant to which the Company may issue and sell shares of the Company’s common stock, par value $0.001 per share (the “Shares”) having an aggregate offering price of up to $55 million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72"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spacing w:after="0" w:line="16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In March 2020, we commenced sales of common stock through an At The Market (ATM) Offering. The details of the shares of common stock sold through the ATM Offering through June 30, 2020 are as follows (in thousands, except shares and weighted average per share price):</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Average Per</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to Distribution</w:t>
            </w: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Distribution Agent</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Month</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Share Price</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Sold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Net Proceeds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Agent</w:t>
            </w:r>
          </w:p>
        </w:tc>
        <w:tc>
          <w:tcPr>
            <w:tcW w:w="100" w:type="dxa"/>
            <w:vAlign w:val="bottom"/>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9.2131</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May 2020</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8.7387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923,160</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2020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9.5314</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654,558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bl>
    <w:p>
      <w:pPr>
        <w:spacing w:after="0" w:line="202" w:lineRule="exact"/>
        <w:rPr>
          <w:sz w:val="20"/>
          <w:szCs w:val="20"/>
          <w:color w:val="auto"/>
        </w:rPr>
      </w:pPr>
    </w:p>
    <w:p>
      <w:pPr>
        <w:ind w:left="440" w:right="380" w:firstLine="324"/>
        <w:spacing w:after="0" w:line="277" w:lineRule="auto"/>
        <w:rPr>
          <w:sz w:val="20"/>
          <w:szCs w:val="20"/>
          <w:color w:val="auto"/>
        </w:rPr>
      </w:pPr>
      <w:r>
        <w:rPr>
          <w:rFonts w:ascii="Arial" w:cs="Arial" w:eastAsia="Arial" w:hAnsi="Arial"/>
          <w:sz w:val="18"/>
          <w:szCs w:val="18"/>
          <w:color w:val="auto"/>
        </w:rPr>
        <w:t>As of June 30, 2020, the total gross sales were $14.3 million and thus remaining amount of common stock we have available to sell under the ATM Offering is $40.7 million.</w:t>
      </w:r>
    </w:p>
    <w:p>
      <w:pPr>
        <w:spacing w:after="0" w:line="170"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68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88"/>
              </w:rPr>
              <w:t>Six months ended June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89"/>
              </w:rPr>
              <w:t>2020</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(23,769)</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7,167</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(9,219)</w:t>
            </w:r>
          </w:p>
        </w:tc>
        <w:tc>
          <w:tcPr>
            <w:tcW w:w="9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(20,838)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25,101</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39,337</w:t>
            </w:r>
          </w:p>
        </w:tc>
      </w:tr>
    </w:tbl>
    <w:p>
      <w:pPr>
        <w:sectPr>
          <w:pgSz w:w="11900" w:h="16838" w:orient="portrait"/>
          <w:cols w:equalWidth="0" w:num="1">
            <w:col w:w="11320"/>
          </w:cols>
          <w:pgMar w:left="320" w:top="125" w:right="259" w:bottom="0" w:gutter="0" w:footer="0" w:header="0"/>
        </w:sectPr>
      </w:pPr>
    </w:p>
    <w:bookmarkStart w:id="30" w:name="page31"/>
    <w:bookmarkEnd w:id="30"/>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w w:val="97"/>
              </w:rPr>
              <w:t>Effect of exchange rates on cash and cash equivalents</w:t>
            </w: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r>
      <w:tr>
        <w:trPr>
          <w:trHeight w:val="20"/>
        </w:trPr>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increase (decrease) in cash and cash equivalents</w:t>
            </w:r>
          </w:p>
        </w:tc>
        <w:tc>
          <w:tcPr>
            <w:tcW w:w="19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(8,119)</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25,983</w:t>
            </w:r>
          </w:p>
        </w:tc>
      </w:tr>
      <w:tr>
        <w:trPr>
          <w:trHeight w:val="413"/>
        </w:trPr>
        <w:tc>
          <w:tcPr>
            <w:tcW w:w="428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jc w:val="right"/>
              <w:ind w:right="1250"/>
              <w:spacing w:after="0"/>
              <w:rPr>
                <w:sz w:val="20"/>
                <w:szCs w:val="20"/>
                <w:color w:val="auto"/>
              </w:rPr>
            </w:pPr>
            <w:r>
              <w:rPr>
                <w:rFonts w:ascii="Arial" w:cs="Arial" w:eastAsia="Arial" w:hAnsi="Arial"/>
                <w:sz w:val="18"/>
                <w:szCs w:val="18"/>
                <w:color w:val="auto"/>
              </w:rPr>
              <w:t>32</w:t>
            </w:r>
          </w:p>
        </w:tc>
        <w:tc>
          <w:tcPr>
            <w:tcW w:w="5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the six months ended June 30, 2020, net cash used in operating activities was $23.8 million. Net cash used in operating activities consisted of our net loss of $35.4 million after exclusion of non-cash items of $27.1 million, Cash decreased due to an increase in inventory of $15.4 million and accounts receivable from our customers of $9.7 million, offset by an increase in accounts payable to our vendors of $12.7 million.</w:t>
      </w:r>
    </w:p>
    <w:p>
      <w:pPr>
        <w:spacing w:after="0" w:line="16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For the six months ended June 30, 2019, net cash provided by operating activities was $7.2 million. Net cash provided by operating activities consisted of our net loss of $21.8 million, after the exclusion of non-cash items of $17.7 million. Cash increased due to a decrease in inventory of $6.3 million, a decrease in other current assets of $5.6 million, a decrease in accounts receivable from our customers of $2.1 million and an increase in accounts payable to our vendors of $1.6 million. These cash increases were offset by a decrease in accrued liabilities of $4.0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the six months ended June 30, 2020, net cash used in investing activities was $9.2 million, mainly from the purchase of additional machinery and equipment.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six months ended June 30, 2019, net cash used in investing activities was $20.8 million, consisting of the purchase of additional machinery and equipment of $26.3 million, offset by a decrease in non-current assets of $5.8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the six months ended June 30, 2020, our financing activities provided $25.1 million in cash. This increase in cash was due to $13.9 million of net proceeds from our At The Market (ATM) Offering, $6.2 million proceeds from PPP term loan, $1.7 million net proceeds from lines of credit and $3.7 million net proceeds from acceptances payable.</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six months ended June 30, 2019, our financing activities provided $39.3 million in cash. This increase in cash was due to $76.4 million of proceeds from the issuance of convertible senior notes offset by net loan repayments of $36.5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and a PPP Term Note with Truist Bank. The line of credit contains financial covenants that may limit the amount and types of debt that we may incur. As of June 30, 2020, we were in compliance with these covenants.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Taiwan, we have a revolving credit facility with Taishin International Bank and equipment finance agreements with Chailease Finance Co., Ltd. for Prime World’s Taiwan Branch. In China, we have revolving lines of credit with China Merchants Bank Co., Ltd. and Shanghai Pudong Development Bank Co., Ltd. and credit facilities with China Zheshang Bank Co., Ltd. for our China Subsidiary, Global.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we had $26.9 million of unused borrowing capacity.</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March 5, 2019, we had issued $80.5 million of 5% convertible senior notes due 2024. The Notes will mature on March 15, 2024, unless earlier repurchased, redeemed or converted in accordance with their terms.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June 30, 2020, approximately $21.2 million of this total cost has been incurred, with the remaining portion due as the construction progresses. Construction under this contract is expected to be completed by the end of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construction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w:t>
      </w:r>
    </w:p>
    <w:p>
      <w:pPr>
        <w:spacing w:after="0" w:line="4" w:lineRule="exact"/>
        <w:rPr>
          <w:sz w:val="20"/>
          <w:szCs w:val="20"/>
          <w:color w:val="auto"/>
        </w:rPr>
      </w:pPr>
    </w:p>
    <w:p>
      <w:pPr>
        <w:ind w:right="360" w:firstLine="8"/>
        <w:spacing w:after="0" w:line="26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product lines, other assets and/or portions of our business. There can be no guarantee that we will be able to raise additional funds on terms acceptable to us,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ectPr>
          <w:pgSz w:w="11900" w:h="16838" w:orient="portrait"/>
          <w:cols w:equalWidth="0" w:num="1">
            <w:col w:w="11240"/>
          </w:cols>
          <w:pgMar w:left="320" w:top="125" w:right="339" w:bottom="0" w:gutter="0" w:footer="0" w:header="0"/>
        </w:sectPr>
      </w:pPr>
    </w:p>
    <w:bookmarkStart w:id="31" w:name="page32"/>
    <w:bookmarkEnd w:id="31"/>
    <w:p>
      <w:pPr>
        <w:ind w:left="660"/>
        <w:spacing w:after="0"/>
        <w:rPr>
          <w:sz w:val="20"/>
          <w:szCs w:val="20"/>
          <w:color w:val="auto"/>
        </w:rPr>
      </w:pPr>
      <w:r>
        <w:rPr>
          <w:rFonts w:ascii="Arial" w:cs="Arial" w:eastAsia="Arial" w:hAnsi="Arial"/>
          <w:sz w:val="16"/>
          <w:szCs w:val="16"/>
          <w:color w:val="auto"/>
        </w:rPr>
        <w:t>The following summarizes our contractual obligations as of June 30, 2020 (in thousands):</w:t>
      </w:r>
    </w:p>
    <w:p>
      <w:pPr>
        <w:sectPr>
          <w:pgSz w:w="11900" w:h="16838" w:orient="portrait"/>
          <w:cols w:equalWidth="0" w:num="1">
            <w:col w:w="11240"/>
          </w:cols>
          <w:pgMar w:left="320" w:top="34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Notes payable and long-term debt</w:t>
      </w:r>
      <w:r>
        <w:rPr>
          <w:rFonts w:ascii="Arial" w:cs="Arial" w:eastAsia="Arial" w:hAnsi="Arial"/>
          <w:sz w:val="25"/>
          <w:szCs w:val="25"/>
          <w:color w:val="auto"/>
          <w:vertAlign w:val="superscript"/>
        </w:rPr>
        <w:t>(1)</w:t>
      </w:r>
    </w:p>
    <w:p>
      <w:pPr>
        <w:spacing w:after="0" w:line="180" w:lineRule="auto"/>
        <w:rPr>
          <w:sz w:val="20"/>
          <w:szCs w:val="20"/>
          <w:color w:val="auto"/>
        </w:rPr>
      </w:pPr>
      <w:r>
        <w:rPr>
          <w:rFonts w:ascii="Arial" w:cs="Arial" w:eastAsia="Arial" w:hAnsi="Arial"/>
          <w:sz w:val="16"/>
          <w:szCs w:val="16"/>
          <w:color w:val="auto"/>
        </w:rPr>
        <w:t>Convertible senior notes</w:t>
      </w:r>
      <w:r>
        <w:rPr>
          <w:rFonts w:ascii="Arial" w:cs="Arial" w:eastAsia="Arial" w:hAnsi="Arial"/>
          <w:sz w:val="25"/>
          <w:szCs w:val="25"/>
          <w:color w:val="auto"/>
          <w:vertAlign w:val="superscript"/>
        </w:rPr>
        <w:t>(2)</w:t>
      </w:r>
    </w:p>
    <w:p>
      <w:pPr>
        <w:spacing w:after="0" w:line="184" w:lineRule="auto"/>
        <w:rPr>
          <w:sz w:val="20"/>
          <w:szCs w:val="20"/>
          <w:color w:val="auto"/>
        </w:rPr>
      </w:pPr>
      <w:r>
        <w:rPr>
          <w:rFonts w:ascii="Arial" w:cs="Arial" w:eastAsia="Arial" w:hAnsi="Arial"/>
          <w:sz w:val="16"/>
          <w:szCs w:val="16"/>
          <w:color w:val="auto"/>
        </w:rPr>
        <w:t>Operating leases</w:t>
      </w:r>
      <w:r>
        <w:rPr>
          <w:rFonts w:ascii="Arial" w:cs="Arial" w:eastAsia="Arial" w:hAnsi="Arial"/>
          <w:sz w:val="26"/>
          <w:szCs w:val="26"/>
          <w:color w:val="auto"/>
          <w:vertAlign w:val="superscript"/>
        </w:rPr>
        <w:t>(3)</w:t>
      </w:r>
    </w:p>
    <w:p>
      <w:pPr>
        <w:spacing w:after="0" w:line="185" w:lineRule="auto"/>
        <w:rPr>
          <w:sz w:val="20"/>
          <w:szCs w:val="20"/>
          <w:color w:val="auto"/>
        </w:rPr>
      </w:pPr>
      <w:r>
        <w:rPr>
          <w:rFonts w:ascii="Arial" w:cs="Arial" w:eastAsia="Arial" w:hAnsi="Arial"/>
          <w:sz w:val="18"/>
          <w:szCs w:val="18"/>
          <w:color w:val="auto"/>
        </w:rPr>
        <w:t>Financing leases</w:t>
      </w:r>
      <w:r>
        <w:rPr>
          <w:rFonts w:ascii="Arial" w:cs="Arial" w:eastAsia="Arial" w:hAnsi="Arial"/>
          <w:sz w:val="29"/>
          <w:szCs w:val="29"/>
          <w:color w:val="auto"/>
          <w:vertAlign w:val="superscript"/>
        </w:rPr>
        <w:t>(3)</w:t>
      </w:r>
    </w:p>
    <w:p>
      <w:pPr>
        <w:spacing w:after="0"/>
        <w:rPr>
          <w:sz w:val="20"/>
          <w:szCs w:val="20"/>
          <w:color w:val="auto"/>
        </w:rPr>
      </w:pPr>
      <w:r>
        <w:rPr>
          <w:rFonts w:ascii="Arial" w:cs="Arial" w:eastAsia="Arial" w:hAnsi="Arial"/>
          <w:sz w:val="18"/>
          <w:szCs w:val="18"/>
          <w:color w:val="auto"/>
        </w:rPr>
        <w:t>Total commitments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Payments due by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4"/>
                <w:szCs w:val="14"/>
                <w:b w:val="1"/>
                <w:bCs w:val="1"/>
                <w:color w:val="auto"/>
              </w:rPr>
              <w:t xml:space="preserve">Less than </w:t>
            </w:r>
            <w:r>
              <w:rPr>
                <w:rFonts w:ascii="Arial" w:cs="Arial" w:eastAsia="Arial" w:hAnsi="Arial"/>
                <w:sz w:val="22"/>
                <w:szCs w:val="22"/>
                <w:b w:val="1"/>
                <w:bCs w:val="1"/>
                <w:color w:val="auto"/>
                <w:vertAlign w:val="superscript"/>
              </w:rPr>
              <w:t>1</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More than</w:t>
            </w:r>
          </w:p>
        </w:tc>
        <w:tc>
          <w:tcPr>
            <w:tcW w:w="2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1-3 Years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3-5 Years</w:t>
            </w:r>
          </w:p>
        </w:tc>
        <w:tc>
          <w:tcPr>
            <w:tcW w:w="1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5 Years</w:t>
            </w:r>
          </w:p>
        </w:tc>
      </w:tr>
      <w:tr>
        <w:trPr>
          <w:trHeight w:val="195"/>
        </w:trPr>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57,776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42,234</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15,542</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94,588</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82,513</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10,474</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4,572</w:t>
            </w:r>
          </w:p>
        </w:tc>
      </w:tr>
      <w:tr>
        <w:trPr>
          <w:trHeight w:val="230"/>
        </w:trPr>
        <w:tc>
          <w:tcPr>
            <w:tcW w:w="24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162,959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47,549</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84,804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68580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341" w:right="339" w:bottom="0" w:gutter="0" w:footer="0" w:header="0"/>
          <w:type w:val="continuous"/>
        </w:sectPr>
      </w:pPr>
    </w:p>
    <w:p>
      <w:pPr>
        <w:spacing w:after="0" w:line="29" w:lineRule="exact"/>
        <w:rPr>
          <w:sz w:val="20"/>
          <w:szCs w:val="20"/>
          <w:color w:val="auto"/>
        </w:rPr>
      </w:pPr>
    </w:p>
    <w:p>
      <w:pPr>
        <w:ind w:left="660" w:right="22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line="2"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convertible senior notes due 2024. The amount present in the table represents the principal portion and estimated interest expense for the obligations.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various non-cancellable lease agreements for our offices.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net sales and revenues or on income from continuing operations or on the prices of raw materials. To the extent we expand our operations in China and Taiwan, such actions may result in inflation having a more significant impact on our operating results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2020, we did not, and we do not currently,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our Annual Report for the year ended December 31, 2019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the Company, see Item 7A – Quantitative and Qualitative Disclosures about Market Risk in our Annual Report for the fiscal year ended December 31, 2019. We do not believe the Company’s exposure to market risk has changed materially since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2020. Based upon that evaluation, our Chief Executive Officer and Chief Financial Officer concluded that, as of the end of the period covered by this report, our disclosure controls and procedures were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1240"/>
          </w:cols>
          <w:pgMar w:left="320" w:top="341" w:right="339" w:bottom="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We record a loss provision when we believe it is both probable that a liability has been incurred and the amount can be reasonably estimated. Unless otherwise disclosed, we are unable to estimate the possible loss or range of loss for the legal proceeding described below.</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Except for the lawsuits described below, we believe that there are no claims or actions pending or threatened against us, the ultimate disposition of which would have a material adverse effect on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us and two of our officers in </w:t>
      </w:r>
      <w:r>
        <w:rPr>
          <w:rFonts w:ascii="Arial" w:cs="Arial" w:eastAsia="Arial" w:hAnsi="Arial"/>
          <w:sz w:val="16"/>
          <w:szCs w:val="16"/>
          <w:i w:val="1"/>
          <w:iCs w:val="1"/>
          <w:color w:val="auto"/>
        </w:rPr>
        <w:t>Mona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Abouzied v. Applied Optoelectronics, Inc., Chih-Hsiang (Thompson) Lin, and Stefan J. Murry, et al. </w:t>
      </w:r>
      <w:r>
        <w:rPr>
          <w:rFonts w:ascii="Arial" w:cs="Arial" w:eastAsia="Arial" w:hAnsi="Arial"/>
          <w:sz w:val="16"/>
          <w:szCs w:val="16"/>
          <w:color w:val="auto"/>
        </w:rPr>
        <w:t>, Case No. 4:17-cv-02399. The complaint in this matter</w:t>
      </w:r>
      <w:r>
        <w:rPr>
          <w:rFonts w:ascii="Arial" w:cs="Arial" w:eastAsia="Arial" w:hAnsi="Arial"/>
          <w:sz w:val="16"/>
          <w:szCs w:val="16"/>
          <w:i w:val="1"/>
          <w:iCs w:val="1"/>
          <w:color w:val="auto"/>
        </w:rPr>
        <w:t xml:space="preserve"> </w:t>
      </w:r>
      <w:r>
        <w:rPr>
          <w:rFonts w:ascii="Arial" w:cs="Arial" w:eastAsia="Arial" w:hAnsi="Arial"/>
          <w:sz w:val="16"/>
          <w:szCs w:val="16"/>
          <w:color w:val="auto"/>
        </w:rPr>
        <w:t>seeks class action status on behalf of our shareholders, alleging violations of Sections 10(b) and 20(a) of the Exchange Act against us,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Korsinsky LLP as Lead Counsel. Lead Plaintiff filed an amended consolidated class action complaint on March 6, 2018. The amended complaint requests unspecified damages and other relief. The Company filed a motion to dismiss on April 4, 2018, which was denied on March 28, 2019.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we filed a response in opposition to the motion for class certification, and on August 26, 2019, Plaintiffs filed their reply brief. On November 13, 2019, the Magistrate Judge issued a Memorandum and Recommendation recommending that the Plaintiffs’ motion for class certification be granted, to which we filed written objections on November 27, 2019. On December 11, 2019, Plaintiffs filed a response in opposition to our objections, and on December 16, 2019, we filed our reply brief. The court entered an order adopting the Magistrate Judge’s Memorandum and Recommendation over our objections on December 20, 2019. Thereafter, on January 3, 2020, we filed a petition for permission to appeal the class certification order to the Fifth Circuit Court of Appeals. Plaintiffs filed an answer in opposition to our petition on January 13, 2020, and we filed a reply brief in further support of the petition for permission to appeal on January 21, 2020. On January 23, 2020, we filed an unopposed motion in the Fifth Circuit requesting that the court stay further proceedings for 90 days to allow the parties to conduct settlement negotiations. The Fifth Circuit entered an order granting the motion on January 24, 2020. On April 7, 2020, by joint motion of the parties, the Fifth Circuit extended the order for another 40 days, up to and including June 2, 2020.</w:t>
      </w:r>
    </w:p>
    <w:p>
      <w:pPr>
        <w:spacing w:after="0" w:line="39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On June 2, 2020, the parties reached an agreement in principle to settle the matter pursuant to a mediator’s recommendation. On June 4, 2020, the parties filed a Joint Motion to Stay All Deadlines and Notice of Settlement with the court, in order to allow the parties to finalize their settlement and file a motion for preliminary approval with the court no later than August 3, 2020.</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August 3, 2020, the parties filed a Stipulation of Settlement with the Court. The Stipulation of Settlement contemplates—among other things and contingent upon Court approval of the settlement and customary terms and conditions—settlement of the action, a release of all claims made in the action, and dismissal of the claims made in the action with prejudice. As consideration for entering into the settlement, Plaintiffs will receive for distribution to the members of the class they purport to represent (in accordance with the terms of the Stipulation of Settlement) a payment of $15.5 million funded by AOI’s applicable directors’ and officers’ insurance policies. Plaintiffs intend to apply to the Court for an award of attorneys’ fees to be paid out of the $15.5 million settlement fund. A hearing at which the Court will consider whether to approve the settlement has not yet been scheduled. Until it does, all non-settlement related activity in the action will be stayed. Additional information regarding the settlement can be obtained by reviewing the settlement documents publicly filed with the Court in the matter. After taking into account all currently available information, the advice of our counsel, and the extent and currently-expected availability of our existing insurance coverage, we believe that the eventual outcome of this matter will not have a material adverse effect on our overall financial condition, results of operations or cash flows, and we have not recorded any accrual with regard to this matter.</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On August 7, 2018, a derivative lawsuit was filed in the United States District Court for the Southern District of Texas styled </w:t>
      </w:r>
      <w:r>
        <w:rPr>
          <w:rFonts w:ascii="Arial" w:cs="Arial" w:eastAsia="Arial" w:hAnsi="Arial"/>
          <w:sz w:val="17"/>
          <w:szCs w:val="17"/>
          <w:i w:val="1"/>
          <w:iCs w:val="1"/>
          <w:color w:val="auto"/>
        </w:rPr>
        <w:t>Lei Jin, derivatively</w:t>
      </w:r>
      <w:r>
        <w:rPr>
          <w:rFonts w:ascii="Arial" w:cs="Arial" w:eastAsia="Arial" w:hAnsi="Arial"/>
          <w:sz w:val="17"/>
          <w:szCs w:val="17"/>
          <w:color w:val="auto"/>
        </w:rPr>
        <w:t xml:space="preserve"> </w:t>
      </w:r>
      <w:r>
        <w:rPr>
          <w:rFonts w:ascii="Arial" w:cs="Arial" w:eastAsia="Arial" w:hAnsi="Arial"/>
          <w:sz w:val="17"/>
          <w:szCs w:val="17"/>
          <w:i w:val="1"/>
          <w:iCs w:val="1"/>
          <w:color w:val="auto"/>
        </w:rPr>
        <w:t>on behalf of Applied Optoelectronics, Inc. v. Chih-Hsiang (“Thompson”) Lin, Stefan J. Murry, William H. Yeh, Alex Ignatiev, Richard B. Black, Min-Chu Chen, Alan Moore, and Che-Wei Lin and Applied Optoelectronics, Inc.</w:t>
      </w:r>
      <w:r>
        <w:rPr>
          <w:rFonts w:ascii="Arial" w:cs="Arial" w:eastAsia="Arial" w:hAnsi="Arial"/>
          <w:sz w:val="17"/>
          <w:szCs w:val="17"/>
          <w:color w:val="auto"/>
        </w:rPr>
        <w:t>, No. 4:18-cv-02713 alleging breaches of fiduciary duties, unjust enrichment,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violations of Section 14(a) of the Exchange Act based on similar factual allegations as in the </w:t>
      </w:r>
      <w:r>
        <w:rPr>
          <w:rFonts w:ascii="Arial" w:cs="Arial" w:eastAsia="Arial" w:hAnsi="Arial"/>
          <w:sz w:val="17"/>
          <w:szCs w:val="17"/>
          <w:i w:val="1"/>
          <w:iCs w:val="1"/>
          <w:color w:val="auto"/>
        </w:rPr>
        <w:t>Abouzied</w:t>
      </w:r>
      <w:r>
        <w:rPr>
          <w:rFonts w:ascii="Arial" w:cs="Arial" w:eastAsia="Arial" w:hAnsi="Arial"/>
          <w:sz w:val="17"/>
          <w:szCs w:val="17"/>
          <w:color w:val="auto"/>
        </w:rPr>
        <w:t xml:space="preserve"> Securities Class Action. On December 18, 2018, a second derivative complaint was filed styled </w:t>
      </w:r>
      <w:r>
        <w:rPr>
          <w:rFonts w:ascii="Arial" w:cs="Arial" w:eastAsia="Arial" w:hAnsi="Arial"/>
          <w:sz w:val="17"/>
          <w:szCs w:val="17"/>
          <w:i w:val="1"/>
          <w:iCs w:val="1"/>
          <w:color w:val="auto"/>
        </w:rPr>
        <w:t>Yiu Kwong Ng v. Chih-Hsiang (“Thompson”) Lin, Stefan J. Murry, William H. Yeh, Alex Ignatiev, Richard B.</w:t>
      </w:r>
      <w:r>
        <w:rPr>
          <w:rFonts w:ascii="Arial" w:cs="Arial" w:eastAsia="Arial" w:hAnsi="Arial"/>
          <w:sz w:val="17"/>
          <w:szCs w:val="17"/>
          <w:color w:val="auto"/>
        </w:rPr>
        <w:t xml:space="preserve"> </w:t>
      </w:r>
      <w:r>
        <w:rPr>
          <w:rFonts w:ascii="Arial" w:cs="Arial" w:eastAsia="Arial" w:hAnsi="Arial"/>
          <w:sz w:val="17"/>
          <w:szCs w:val="17"/>
          <w:i w:val="1"/>
          <w:iCs w:val="1"/>
          <w:color w:val="auto"/>
        </w:rPr>
        <w:t>Black, Min-Chu Chen, Alan Moore, and Che-Wei Lin and Applied Optoelectronics, Inc.</w:t>
      </w:r>
      <w:r>
        <w:rPr>
          <w:rFonts w:ascii="Arial" w:cs="Arial" w:eastAsia="Arial" w:hAnsi="Arial"/>
          <w:sz w:val="17"/>
          <w:szCs w:val="17"/>
          <w:color w:val="auto"/>
        </w:rPr>
        <w:t>, No. 4:18-cv-4751 alleging the same causes of actions as the</w:t>
      </w:r>
      <w:r>
        <w:rPr>
          <w:rFonts w:ascii="Arial" w:cs="Arial" w:eastAsia="Arial" w:hAnsi="Arial"/>
          <w:sz w:val="17"/>
          <w:szCs w:val="17"/>
          <w:i w:val="1"/>
          <w:iCs w:val="1"/>
          <w:color w:val="auto"/>
        </w:rPr>
        <w:t xml:space="preserve"> Jin </w:t>
      </w:r>
      <w:r>
        <w:rPr>
          <w:rFonts w:ascii="Arial" w:cs="Arial" w:eastAsia="Arial" w:hAnsi="Arial"/>
          <w:sz w:val="17"/>
          <w:szCs w:val="17"/>
          <w:color w:val="auto"/>
        </w:rPr>
        <w:t>complaint and additional factual allegations regarding our announcement on September 28, 2018 that we had “identified an issue with a small percentage of 25G lasers within a specific customer environment.” On January 11, 2019, the court consolidated these two derivative actions, and on January 15, 2019, the court entered an order staying the actions pending the resolution of the securities class actions. On June 24, 2020, the plaintiffs filed a notice that the stay of proceedings had been terminated, and on July 2, 2020, the parties filed a Joint Stipulation and Proposed Scheduling Order. The court entered the stipulated scheduling order on the same date, under which we must file and serve our response or responsive pleading to the complaint by August 3, 2020. On July 31, 2020, the Court extended Defendants deadline to file and serve their response or responsive pleading to the complaint to September 2, 2020. The complaint requests unspecified damages and other relief. At this stage, we are not yet able to determine the likelihood of loss, if any, arising from this matter.</w:t>
      </w:r>
    </w:p>
    <w:p>
      <w:pPr>
        <w:sectPr>
          <w:pgSz w:w="11900" w:h="16838" w:orient="portrait"/>
          <w:cols w:equalWidth="0" w:num="1">
            <w:col w:w="11240"/>
          </w:cols>
          <w:pgMar w:left="320" w:top="337" w:right="339" w:bottom="1440" w:gutter="0" w:footer="0" w:header="0"/>
        </w:sectPr>
      </w:pPr>
    </w:p>
    <w:bookmarkStart w:id="33" w:name="page34"/>
    <w:bookmarkEnd w:id="33"/>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 Except for those risk factors denoted by an asterisk (*), the risk factors facing our Company have not changed materially from those set forth in Part I, Item 1A of our Annual Report on Form 10-K for the year ended December 31, 2019, as filed with the SEC on February 28, 2020, which risk factors are set forth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generate much of our revenue from a limited number of customers. For each year ended 2019, 2018 and 2017 and the three and six months ended June 30, 2020, our top ten customers represented 88.1%, 92.9%, 94.9%, 86.9% and 86.0% of our revenue, respectively. In 2019, Microsoft represented 32.2% of our revenue, Amazon represented 24.0% of our revenue, Facebook represented 10.9% of our revenue, and Cisco represented 10.0%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 is difficult to forecast accurately and, as a result, we may be unable to match production with customer demand.</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7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6"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ectPr>
          <w:pgSz w:w="11900" w:h="16890" w:orient="portrait"/>
          <w:cols w:equalWidth="0" w:num="1">
            <w:col w:w="11240"/>
          </w:cols>
          <w:pgMar w:left="320" w:top="1016" w:right="339" w:bottom="0" w:gutter="0" w:footer="0" w:header="0"/>
        </w:sectPr>
      </w:pPr>
    </w:p>
    <w:bookmarkStart w:id="34" w:name="page35"/>
    <w:bookmarkEnd w:id="34"/>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7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w:t>
      </w:r>
    </w:p>
    <w:p>
      <w:pPr>
        <w:sectPr>
          <w:pgSz w:w="11900" w:h="16953" w:orient="portrait"/>
          <w:cols w:equalWidth="0" w:num="1">
            <w:col w:w="11240"/>
          </w:cols>
          <w:pgMar w:left="320" w:top="341" w:right="339" w:bottom="0" w:gutter="0" w:footer="0" w:header="0"/>
        </w:sectPr>
      </w:pPr>
    </w:p>
    <w:bookmarkStart w:id="35" w:name="page36"/>
    <w:bookmarkEnd w:id="35"/>
    <w:p>
      <w:pPr>
        <w:ind w:right="440"/>
        <w:spacing w:after="0" w:line="301" w:lineRule="auto"/>
        <w:rPr>
          <w:sz w:val="20"/>
          <w:szCs w:val="20"/>
          <w:color w:val="auto"/>
        </w:rPr>
      </w:pPr>
      <w:r>
        <w:rPr>
          <w:rFonts w:ascii="Arial" w:cs="Arial" w:eastAsia="Arial" w:hAnsi="Arial"/>
          <w:sz w:val="16"/>
          <w:szCs w:val="16"/>
          <w:color w:val="auto"/>
        </w:rPr>
        <w:t>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tension in U.S.-China trade relations may adversely impact our business and operating results.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U.S. government has recently made statements and amended its U.S. trade policies, resulting in tariffs that affect imported products manufactured in China, by our Chinese subsidiary. In addition, the Chinese government has imposed reciprocal tariffs that affect products manufactured by our U.S. operations. The additional tariffs have increased our cost of goods sold, however we believe that the negative impact of these tariffs has not been material to our financial results. Although we cannot predict the impact of any future tariffs, we intend to continue to adjust our manufacturing processes, supplier lists, and manufacturing locations in order to minimize the impact of any tariffs on both the Companyand our customers.</w:t>
      </w:r>
    </w:p>
    <w:p>
      <w:pPr>
        <w:spacing w:after="0" w:line="16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It is unknown whether and to what extent additional new tariffs (or other new laws or regulations) will be adopted that increase the cost of importing and/or exporting products to or from the United States, or from China to the United States. Furthermore, it is unknown what effect that any such new tariffs or retaliatory actions would have on us or our industry and customers.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 to 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For example, shipments of certain of our 100 Gbps transceiver products to one of our customers decreased during the three months ended September 30, 2018 due to customer concerns about failures of similar products shipped previously. Although we conducted extensive testing of our products to demonstrate that any potentially affected units could be nearly eliminated from future shipments, and we subsequently resumed shipments with the customer’s agreement, we did incur additional testing costs and costs to enhance the ongoing monitoring of product quality which adversely affected the results of our operations. It is unclear the extent to which our reputation with this customer, or other customers, may have been affected. Manufacturing problems and any such delays would negatively affect our sales and revenue and could negatively affect our competitive position and reputation. We may also experience delays in production, typically in February, during the Lunar New Year holiday when our facilities in China and Taiwan are closed.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2,719 of our employees as of December 31, 2019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ectPr>
          <w:pgSz w:w="11900" w:h="16838" w:orient="portrait"/>
          <w:cols w:equalWidth="0" w:num="1">
            <w:col w:w="11240"/>
          </w:cols>
          <w:pgMar w:left="320" w:top="125" w:right="339" w:bottom="0" w:gutter="0" w:footer="0" w:header="0"/>
        </w:sectPr>
      </w:pPr>
    </w:p>
    <w:bookmarkStart w:id="36" w:name="page37"/>
    <w:bookmarkEnd w:id="36"/>
    <w:p>
      <w:pPr>
        <w:spacing w:after="0" w:line="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*Epidemic diseases, or the perception of their effects, could have a material adverse effect on our business, financial condition, results of operation, or cash flows.</w:t>
      </w:r>
    </w:p>
    <w:p>
      <w:pPr>
        <w:spacing w:after="0" w:line="163" w:lineRule="exact"/>
        <w:rPr>
          <w:sz w:val="20"/>
          <w:szCs w:val="20"/>
          <w:color w:val="auto"/>
        </w:rPr>
      </w:pPr>
    </w:p>
    <w:p>
      <w:pPr>
        <w:ind w:right="60" w:firstLine="648"/>
        <w:spacing w:after="0" w:line="270" w:lineRule="auto"/>
        <w:rPr>
          <w:sz w:val="20"/>
          <w:szCs w:val="20"/>
          <w:color w:val="auto"/>
        </w:rPr>
      </w:pPr>
      <w:r>
        <w:rPr>
          <w:rFonts w:ascii="Arial" w:cs="Arial" w:eastAsia="Arial" w:hAnsi="Arial"/>
          <w:sz w:val="19"/>
          <w:szCs w:val="19"/>
          <w:color w:val="auto"/>
        </w:rPr>
        <w:t>Outbreaks of epidemic, pandemic, or contagious diseases, such as the recent COVID-19 or, historically, the Ebola virus, Middle East Respiratory Syndrome, Severe Acute Respiratory Syndrome, or the H1N1 virus, could divert medical resources and priorities towards the treatment of that disease.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 For example, as a result of the extension of the Lunar New Year holidays due to the recent outbreak of COVID-19, certain of our product shipments from China have been delayed. Although we are monitoring the situation on a daily basis, it is currently unknown whether the outbreak will continue to disrupt our product shipments or impact manufacturing in the region or other regions where we operate over a prolonged period. If such disruption were to extend over a prolonged period, it could have a material impact on our revenues and our business. Any disruption resulting from similar events on a larger scale or over a prolonged period could cause significant delays in shipments of our products until we are able to resume such shipments, or shift our manufacturing, assembly, or test from the affected contractor to another third-party vendor, if needed. There can be no assurance that alternative capacity could be obtained on favorable terms, if at all.</w:t>
      </w:r>
    </w:p>
    <w:p>
      <w:pPr>
        <w:spacing w:after="0" w:line="200" w:lineRule="exact"/>
        <w:rPr>
          <w:sz w:val="20"/>
          <w:szCs w:val="20"/>
          <w:color w:val="auto"/>
        </w:rPr>
      </w:pPr>
    </w:p>
    <w:p>
      <w:pPr>
        <w:spacing w:after="0" w:line="214" w:lineRule="exact"/>
        <w:rPr>
          <w:sz w:val="20"/>
          <w:szCs w:val="20"/>
          <w:color w:val="auto"/>
        </w:rPr>
      </w:pPr>
    </w:p>
    <w:p>
      <w:pPr>
        <w:ind w:right="860" w:firstLine="8"/>
        <w:spacing w:after="0" w:line="274" w:lineRule="auto"/>
        <w:tabs>
          <w:tab w:leader="none" w:pos="162" w:val="left"/>
        </w:tabs>
        <w:numPr>
          <w:ilvl w:val="0"/>
          <w:numId w:val="8"/>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The extent to which the COVID-19 pandemic impacts our business, results of operations and financial condition is uncertain and will depend on future developments, which cannot be predicted.</w:t>
      </w:r>
    </w:p>
    <w:p>
      <w:pPr>
        <w:spacing w:after="0" w:line="15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The spread of the COVID-19 virus during the first six months of 2020 has caused an economic downturn on a global scale, as well as significant volatility in the financial markets. In March 2020 the World Health Organization declared the spread of the COVID-19 virus a pandemic. Our operations have been negatively impacted by the pandemic and are likely to continue to be impacted. The extent and duration of this impact is uncertain and will depend on factors including the extent to which our customers' businesses are impacted by the pandemic. In order to protect our employees and also minimize the risk of potential disruptions to our business that could occur should a virus outbreak occur in one of our facilities, we have established and implemented a work from home provision for our employees, where possible. We have also modified our business practices (including employee travel, and cancellation of physical participation in meetings, events and conferences), and we may take further actions as may be required by government authorities or that we determine are in the best interests of our employees, customers and business partners. However, even with these precautions, it is not possible to eliminate the risk of a widespread outbreak among our employees and if such an outbreak were to occur, it would likely have a negative impact on our business, results of operations, and our financial condition.</w:t>
      </w:r>
    </w:p>
    <w:p>
      <w:pPr>
        <w:spacing w:after="0" w:line="16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impact of the COVID-19 pandemic continues to unfold. The extent of the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the impact on governmental programs and budgets, the development of treatments or vaccines, and the resumption of widespread economic activity. Due to the inherent uncertainty of the unprecedented and rapidly evolving situation, we are unable to predict with any confidence the likely impact of the COVID-19 pandemic on our future operations.</w:t>
      </w:r>
    </w:p>
    <w:p>
      <w:pPr>
        <w:spacing w:after="0" w:line="169"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b w:val="1"/>
          <w:bCs w:val="1"/>
          <w:i w:val="1"/>
          <w:iCs w:val="1"/>
          <w:color w:val="auto"/>
        </w:rPr>
        <w:t>If the CATV market does not continue to develop as we expect, or if there is any downturn in this market, our business would be adversely affected.</w:t>
      </w:r>
    </w:p>
    <w:p>
      <w:pPr>
        <w:spacing w:after="0" w:line="18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Historically, we have generated much of our revenue from the CATV market. In 2019, 2018 and 2017, the CATV market represented 19.6%, 19.3%, and 15.9%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 service providers, regulatory changes, or otherwise, our business would be adversely affected. We may not be able to offset any potential decline in revenue from the CATV market with revenue from new customers in other markets.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operating history in the telecom and FTTH markets, and our business could be harmed if these markets do not develop as we expect.</w:t>
      </w:r>
    </w:p>
    <w:p>
      <w:pPr>
        <w:spacing w:after="0" w:line="26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For 2019 and 2018, respectively, we generated 4.4% and 4.9% of our revenue from the telecom market and 0.1% and 0.3%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w:t>
      </w:r>
    </w:p>
    <w:p>
      <w:pPr>
        <w:sectPr>
          <w:pgSz w:w="11900" w:h="16850" w:orient="portrait"/>
          <w:cols w:equalWidth="0" w:num="1">
            <w:col w:w="11240"/>
          </w:cols>
          <w:pgMar w:left="320" w:top="557" w:right="339" w:bottom="0" w:gutter="0" w:footer="0" w:header="0"/>
        </w:sectPr>
      </w:pPr>
    </w:p>
    <w:bookmarkStart w:id="37" w:name="page38"/>
    <w:bookmarkEnd w:id="37"/>
    <w:p>
      <w:pPr>
        <w:spacing w:after="0" w:line="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telecoms service providers’ acceptance and deployment of WDM-PON as a technology supporting one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quarter-to-quarter due to a number of factors, which may lead to volatility in our stock price.</w:t>
      </w:r>
    </w:p>
    <w:p>
      <w:pPr>
        <w:spacing w:after="0" w:line="24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of certain of our products and manufacturing capabilities;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52" w:lineRule="exact"/>
        <w:rPr>
          <w:rFonts w:ascii="Arial" w:cs="Arial" w:eastAsia="Arial" w:hAnsi="Arial"/>
          <w:sz w:val="18"/>
          <w:szCs w:val="18"/>
          <w:color w:val="auto"/>
        </w:rPr>
      </w:pPr>
    </w:p>
    <w:p>
      <w:pPr>
        <w:ind w:left="980" w:right="640" w:hanging="324"/>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limitations imposed by trade protection laws or other regulatory orders or requirements in the United States or in other countries, including tariffs, sanctions, or other costs, restrictions, or requirements which may affect our ability to import or export our products to or from various countries;</w:t>
      </w:r>
    </w:p>
    <w:p>
      <w:pPr>
        <w:spacing w:after="0" w:line="183"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trade-related government actions that impose barriers or restrictions that would impact our ability to sell or ship products to Huawei or other customers;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52"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w:t>
      </w:r>
    </w:p>
    <w:p>
      <w:pPr>
        <w:sectPr>
          <w:pgSz w:w="11900" w:h="16936" w:orient="portrait"/>
          <w:cols w:equalWidth="0" w:num="1">
            <w:col w:w="11220"/>
          </w:cols>
          <w:pgMar w:left="320" w:top="125" w:right="359" w:bottom="0" w:gutter="0" w:footer="0" w:header="0"/>
        </w:sectPr>
      </w:pPr>
    </w:p>
    <w:bookmarkStart w:id="38" w:name="page39"/>
    <w:bookmarkEnd w:id="38"/>
    <w:p>
      <w:pPr>
        <w:spacing w:after="0" w:line="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June 30, 2020, we had approximately $145.1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7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diluting the interests of our existing stockholders as a result of issuing shares of our common stock upon conversion of the Notes;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w:t>
      </w:r>
    </w:p>
    <w:p>
      <w:pPr>
        <w:spacing w:after="0" w:line="26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Facility with Truist Bank,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Paycheck Protection Program loan may not be forgiven and could subject us to enhanced scrutiny.</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April 17, 2020, we were granted a loan of $6.2 million under the Paycheck Protection Program ("PPP"), which is a component of the Coronavirus Aid, Relief, and Economic Security ("CARES") Act. This program was implemented hastily in response to the unprecedented economic downturn related to the coronavirus, and provides for loans of up to $10 million for eligible small businesses (defined generally as businesses with less than 500 U.S. resident employees). Due to the speed of implementation of this program, official guidance and interpretations of the requirements of the program have been limited and have changed over time. On April 29, 2020, the U.S. Department of the Treasury updated its "Frequently Asked Questions" (FAQ) document regarding the PPP program to indicate its intention to review all loans obtained under the program that exceed $2 million.</w:t>
      </w:r>
    </w:p>
    <w:p>
      <w:pPr>
        <w:spacing w:after="0" w:line="16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have diligently considered all known guidance and determined that we meet all the requirements for the program; however, we cannot predict with certainty how such a review might be conducted or what new information or interpretations might emerge prior to the completion of the review. As such, we cannot be certain whether our loan may be forgiven, even if we meet the currently understood requirements for forgiveness. The review could also subject us to additional scrutiny which could adversely affect our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5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9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w:t>
      </w:r>
    </w:p>
    <w:p>
      <w:pPr>
        <w:sectPr>
          <w:pgSz w:w="11900" w:h="16936" w:orient="portrait"/>
          <w:cols w:equalWidth="0" w:num="1">
            <w:col w:w="11240"/>
          </w:cols>
          <w:pgMar w:left="320" w:top="125" w:right="339" w:bottom="0" w:gutter="0" w:footer="0" w:header="0"/>
        </w:sectPr>
      </w:pPr>
    </w:p>
    <w:bookmarkStart w:id="39" w:name="page40"/>
    <w:bookmarkEnd w:id="39"/>
    <w:p>
      <w:pPr>
        <w:ind w:right="440"/>
        <w:spacing w:after="0" w:line="277" w:lineRule="auto"/>
        <w:rPr>
          <w:sz w:val="20"/>
          <w:szCs w:val="20"/>
          <w:color w:val="auto"/>
        </w:rPr>
      </w:pPr>
      <w:r>
        <w:rPr>
          <w:rFonts w:ascii="Arial" w:cs="Arial" w:eastAsia="Arial" w:hAnsi="Arial"/>
          <w:sz w:val="18"/>
          <w:szCs w:val="18"/>
          <w:color w:val="auto"/>
        </w:rPr>
        <w:t>number of suppliers or a single qualified vendor may result in delivery and quality problems, and reduced control over product pricing, reliability and performance.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outside contract manufacturers for a portion of the manufacturing process for some of our products.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For example, shipments of certain of our 100 Gbps transceiver products to one of our customers decreased during the three months ended September 30, 2018 due to customer concerns about failures of similar products shipped previously.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have lending arrangements with several financial institutions, including loan agreements with Truist Bank in the U.S., credit facilities with Taishin International Bank and Far Eastern International Bank Co., Ltd., equipment finance agreements with Chailease Finance Co., Ltd. in Taiwan and credit facilities with China Merchants Bank Co. Ltd., Shanghai Pudong Development Bank Co., Ltd. and China Zheshang Bank Co., Ltd.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In addition, the Indenture governing the Notes contains covenants that limit our ability and the ability of our subsidiaries to, among other things: (i) incur or guarantee additional indebtedness or issue disqualified stock; and (ii) create or incur liens.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Truist Bank are secured by our accounts receivable, inventory, intellectual property, and all business assets including real estate and equipment. Our credit facilities with Shanghai Pudong Development Bank Co., Ltd. and China Zheshang Bank Co., Ltd. are secured by real estate.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ectPr>
          <w:pgSz w:w="11900" w:h="16838" w:orient="portrait"/>
          <w:cols w:equalWidth="0" w:num="1">
            <w:col w:w="11220"/>
          </w:cols>
          <w:pgMar w:left="320" w:top="125" w:right="359" w:bottom="38" w:gutter="0" w:footer="0" w:header="0"/>
        </w:sectPr>
      </w:pPr>
    </w:p>
    <w:bookmarkStart w:id="40" w:name="page41"/>
    <w:bookmarkEnd w:id="40"/>
    <w:p>
      <w:pPr>
        <w:ind w:right="20" w:firstLine="648"/>
        <w:spacing w:after="0" w:line="254" w:lineRule="auto"/>
        <w:rPr>
          <w:sz w:val="20"/>
          <w:szCs w:val="20"/>
          <w:color w:val="auto"/>
        </w:rPr>
      </w:pPr>
      <w:r>
        <w:rPr>
          <w:rFonts w:ascii="Arial" w:cs="Arial" w:eastAsia="Arial" w:hAnsi="Arial"/>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2019, we may be unable to meet the demands of existing and prospective customers, adversely affecting our sales and market opportunities and consequently our business, financial condition and results of operations.</w:t>
      </w:r>
    </w:p>
    <w:p>
      <w:pPr>
        <w:spacing w:after="0" w:line="1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5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w:t>
      </w:r>
    </w:p>
    <w:p>
      <w:pPr>
        <w:spacing w:after="0" w:line="15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have disrupted access to some of our network or storage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materially and adversely impact our business and operating results.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U.S. government continues to make public statements in conjunction with certain actions that have led and may lead to further changes to U.S. and international trade policies, including additional tariffs affecting certain products manufactured in China. Since the beginning of 2018, there has been increasing rhetoric, in some cases coupled with legislative or executive action, from several U.S. and foreign leaders regarding the possibility of instituting tariffs on the foreign imports of certain materials. Five rounds of U.S. tariffs on imports from China (respectively the “U.S. Tariffs on China Imports”) went into effect on July 2018, August 2018, September 2018, September 2019, and February 2020. A limited number of our products that are of Chinese origin are currently subject to the U.S. Tariffs on China Imports.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It is unknown whether and to what extent new tariffs (or other new laws or regulations) will be adopted, or the effect that any such actions would have on us or our industry. A significant portion of our manufacturing operations are based in Ningbo, China; therefore, there could be material adverse effects on our business, financial condition, and/or cash flow if any new tariffs, legislation and/or regulations are implemented, or if existing trade agreements are renegotiated or if China or other affected countries take further retaliatory trade actions.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Furthermore, the implementation of trade tariffs both globally and between the U.S. and China specifically carries the risk of negatively impacting China’s overall economic condition, which could have negative repercussions on our business. Bilateral tariffs could cause a decrease in the sales of our products to customers located in China or other customers selling to Chinese end users, further impacting our business.</w:t>
      </w:r>
    </w:p>
    <w:p>
      <w:pPr>
        <w:spacing w:after="0" w:line="16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Significant changes to existing international trade agreements could also lead to sourcing or logistics disruption resulting from import delays or the imposition of increased tariffs on our sourcing partners. For example, the Chinese government could, among other things, require the use of local suppliers, compel companies that do business in China to partner with local companies, and otherwise provide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2019, 2018 and 2017, 18.8%, 23.1% and 22.7% of our revenue was derived from sales that occurred outside of North America, respectively. In addition, a significant portion of our manufacturing operations is based in Ningbo, China and Taipei, Taiwan.</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Trade-related government actions, by China or other countries that impose barriers or restrictions that would impact our ability to sell or ship products to customers or potential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ectPr>
          <w:pgSz w:w="11900" w:h="16838" w:orient="portrait"/>
          <w:cols w:equalWidth="0" w:num="1">
            <w:col w:w="11240"/>
          </w:cols>
          <w:pgMar w:left="320" w:top="125" w:right="339" w:bottom="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Our international revenue and operations are subject to a number of material risks, including:</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and U.S. taxation issues and international trade barriers, including the adoption or expansion of governmental trade tariffs;</w:t>
      </w:r>
    </w:p>
    <w:p>
      <w:pPr>
        <w:spacing w:after="0" w:line="263"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52"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6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Tax Act significantly changed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interpret any additional guidance, we may make adjustments to amounts that we have recorded that may materially impact our provision for income taxes in the period in which the adjustments are made.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20"/>
          </w:cols>
          <w:pgMar w:left="320" w:top="341" w:right="359" w:bottom="0" w:gutter="0" w:footer="0" w:header="0"/>
        </w:sectPr>
      </w:pPr>
    </w:p>
    <w:bookmarkStart w:id="42" w:name="page43"/>
    <w:bookmarkEnd w:id="42"/>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Production volumes for some of our products are increasing and we have announced plans to increase our production capacity in response to demand for certain of our current and future products, including adding personnel in some of our locations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252" w:lineRule="exact"/>
        <w:rPr>
          <w:rFonts w:ascii="Arial" w:cs="Arial" w:eastAsia="Arial" w:hAnsi="Arial"/>
          <w:sz w:val="18"/>
          <w:szCs w:val="18"/>
          <w:color w:val="auto"/>
        </w:rPr>
      </w:pPr>
    </w:p>
    <w:p>
      <w:pPr>
        <w:ind w:left="980" w:right="9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5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We have experienced ransomware, computer viruses and other forms of cyber terrorism. In past incidents we have been able to recover quickly without material financial impact; however, any of these events could harm our competitive position, result in a loss of customer confidence, cause us to incur significant costs to remedy any damages and ultimately materially adversely affect our business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8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ectPr>
          <w:pgSz w:w="11900" w:h="16860" w:orient="portrait"/>
          <w:cols w:equalWidth="0" w:num="1">
            <w:col w:w="11240"/>
          </w:cols>
          <w:pgMar w:left="320" w:top="125" w:right="339" w:bottom="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Natural disasters or other catastrophic events could harm our operations.</w:t>
      </w:r>
    </w:p>
    <w:p>
      <w:pPr>
        <w:sectPr>
          <w:pgSz w:w="11900" w:h="16860" w:orient="portrait"/>
          <w:cols w:equalWidth="0" w:num="1">
            <w:col w:w="11240"/>
          </w:cols>
          <w:pgMar w:left="320" w:top="125" w:right="339" w:bottom="0" w:gutter="0" w:footer="0" w:header="0"/>
          <w:type w:val="continuous"/>
        </w:sectPr>
      </w:pPr>
    </w:p>
    <w:bookmarkStart w:id="43" w:name="page44"/>
    <w:bookmarkEnd w:id="43"/>
    <w:p>
      <w:pPr>
        <w:ind w:firstLine="648"/>
        <w:spacing w:after="0" w:line="269"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“Part II - Item 1. Legal Proceedings,” on August 5, 2017, we and certain of our officers are currently subject to class action litigation related to allegations that we made materially false and misleading statements or failed to disclose material facts. Such litigation includes requests for damages and other relief. As further described in that section, subsequent derivative actions and securities class actions have since been filed. This litigation and any other such litigation could result in substantial costs and divert our management’s attention from other business concerns, which could seriously harm our business.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ectPr>
          <w:pgSz w:w="11900" w:h="16838" w:orient="portrait"/>
          <w:cols w:equalWidth="0" w:num="1">
            <w:col w:w="11240"/>
          </w:cols>
          <w:pgMar w:left="320" w:top="341" w:right="33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 from a third-party claiming infringement a license to the relevant technology, which may not be available on reasonable terms, or at all;</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third-party license required for our product offerings or to develop new products and product enhancements could require us to substitute technology of lower quality or performance standards, or of greater cost, any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of December 31, 2019, we had U.S. accumulated net operating losses, or NOLs, of approximately $75.9 million, federal and state research and development credits (“R&amp;D credits”) of $8.3 million, interest expense of $0.8 million and foreign tax credits of $4.6 million for U.S. federal income tax purposes. 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Code of 1986, as amended, limit the use of NOLs and tax credits after a cumulative change in corporate ownership of more than 50% occurs within a three-year period. The statutes place a formula limit on how much NOLs and tax credits a corporation can use in a tax year after a change in ownership. Avoiding an ownership change is generally beyond our control. Although the ownership changes we experienced in the past and in the year ended December 31, 2019 had not prevented us from using all NOLs and tax credits accumulated before such ownership changes, we could experience another ownership change that might limit our use of NOLs and tax credits in the future. Under the Tax Cuts and Jobs Act of 2017, or Tax Act, NOLs from tax years that began after December 31, 2017 do not expire, but NOLs from tax years that began before January 1, 2018 expire after 20 years. Further, under the Tax Act, although the treatment of tax losses generated in taxable years ending before December 31, 2017 has generally not changed, tax losses generated in taxable years beginning after December 31, 2017 may offset no more than 80% of taxable income annually. Accordingly, if we generate NOLs after the tax year ended December 31,</w:t>
      </w:r>
    </w:p>
    <w:p>
      <w:pPr>
        <w:sectPr>
          <w:pgSz w:w="11900" w:h="16838" w:orient="portrait"/>
          <w:cols w:equalWidth="0" w:num="1">
            <w:col w:w="11240"/>
          </w:cols>
          <w:pgMar w:left="320" w:top="125" w:right="339" w:bottom="0" w:gutter="0" w:footer="0" w:header="0"/>
        </w:sectPr>
      </w:pPr>
    </w:p>
    <w:bookmarkStart w:id="45" w:name="page46"/>
    <w:bookmarkEnd w:id="45"/>
    <w:p>
      <w:pPr>
        <w:spacing w:after="0" w:line="277" w:lineRule="auto"/>
        <w:rPr>
          <w:sz w:val="20"/>
          <w:szCs w:val="20"/>
          <w:color w:val="auto"/>
        </w:rPr>
      </w:pPr>
      <w:r>
        <w:rPr>
          <w:rFonts w:ascii="Arial" w:cs="Arial" w:eastAsia="Arial" w:hAnsi="Arial"/>
          <w:sz w:val="18"/>
          <w:szCs w:val="18"/>
          <w:color w:val="auto"/>
        </w:rPr>
        <w:t>2017, we might have to pay more federal income taxes in a subsequent year as a result of the 80% taxable income limitation than we would have had to pay under the law in effect before the Tax Act.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and solid wastes,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natural resource damages, third-party property damages or personal injury claims, administrative, civil or criminal penalties and could result in injunctive relief requiring us to make significant investments to upgrade our facilities, redesign or change our manufacturing processes, redesign our products,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increased expenses and business risk as a result of Restriction on Hazardous Substances, or RoHS directives.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governmental export and import controls that could subject us to liability or impair our ability to compete in international markets.</w:t>
      </w:r>
    </w:p>
    <w:p>
      <w:pPr>
        <w:spacing w:after="0" w:line="26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classified under Export Control Classification Numbers, or ECCNs, 5A991.b.5.a and 6A995.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w:t>
      </w:r>
    </w:p>
    <w:p>
      <w:pPr>
        <w:spacing w:after="0" w:line="192"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Compliance with regulations related to conflict minerals could increase costs and affect the manufacturing and sale of our products.</w:t>
      </w:r>
    </w:p>
    <w:p>
      <w:pPr>
        <w:sectPr>
          <w:pgSz w:w="11900" w:h="16838" w:orient="portrait"/>
          <w:cols w:equalWidth="0" w:num="1">
            <w:col w:w="11240"/>
          </w:cols>
          <w:pgMar w:left="320" w:top="125" w:right="339" w:bottom="0" w:gutter="0" w:footer="0" w:header="0"/>
          <w:type w:val="continuous"/>
        </w:sectPr>
      </w:pPr>
    </w:p>
    <w:bookmarkStart w:id="46" w:name="page47"/>
    <w:bookmarkEnd w:id="46"/>
    <w:p>
      <w:pPr>
        <w:ind w:right="20" w:firstLine="648"/>
        <w:spacing w:after="0" w:line="286"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29, 2019. We have previously determined, as part of our compliance efforts, that certain products or components we obtain from our suppliers contain conflict minerals. Based on our Reasonable Country of Origin Inquiry on the source of our conflict minerals for the year ended December 31, 2019,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Our business operations conducted in China are critical to our success. A total of $83.3 million, $143.1 million, and $122.3 million or 43.6%, 53.6%, and 32.0%, of our revenue in the years ended December 31, 2019, 2018 and 2017 was attributable to our product manufactured at our plant in China, respectively. Additionally, a substantial portion of our property, plant and equipment, 37.1%, 36.8%, and 29.9% as of December 31, 2019, 2018 and 2017,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4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2012,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ectPr>
          <w:pgSz w:w="11900" w:h="16838" w:orient="portrait"/>
          <w:cols w:equalWidth="0" w:num="1">
            <w:col w:w="11240"/>
          </w:cols>
          <w:pgMar w:left="320" w:top="341" w:right="339" w:bottom="0" w:gutter="0" w:footer="0" w:header="0"/>
        </w:sectPr>
      </w:pPr>
    </w:p>
    <w:p>
      <w:pPr>
        <w:spacing w:after="0" w:line="17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ectPr>
          <w:pgSz w:w="11900" w:h="16838" w:orient="portrait"/>
          <w:cols w:equalWidth="0" w:num="1">
            <w:col w:w="11240"/>
          </w:cols>
          <w:pgMar w:left="320" w:top="341" w:right="339" w:bottom="0" w:gutter="0" w:footer="0" w:header="0"/>
          <w:type w:val="continuous"/>
        </w:sectPr>
      </w:pPr>
    </w:p>
    <w:bookmarkStart w:id="47" w:name="page48"/>
    <w:bookmarkEnd w:id="47"/>
    <w:p>
      <w:pPr>
        <w:ind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“Part II - Item 1. Legal Proceedings,” on August 5, 2017, a class action lawsuit was filed against us and two of our officers. The complaint in this matter alleges that we made materially false and misleading statements or failed to disclose material facts and requests damages and other relief. On August 7, 2018, a derivative class action lawsuit was filed against our chief executive officer, chief financial officer and board of directors. The allegations are substantially similar to those under the August 5, 2017 lawsuit. On October 1, 2018, another class action lawsuit was filed in the U.S. District Court for the Southern District of Texas against us and two of our officers. The complaint in this matter alleges that we made materially false and misleading statements or failed to disclose material facts and a related</w:t>
      </w:r>
    </w:p>
    <w:p>
      <w:pPr>
        <w:sectPr>
          <w:pgSz w:w="11900" w:h="16838" w:orient="portrait"/>
          <w:cols w:equalWidth="0" w:num="1">
            <w:col w:w="11220"/>
          </w:cols>
          <w:pgMar w:left="320" w:top="341" w:right="359" w:bottom="0" w:gutter="0" w:footer="0" w:header="0"/>
        </w:sectPr>
      </w:pPr>
    </w:p>
    <w:bookmarkStart w:id="48" w:name="page49"/>
    <w:bookmarkEnd w:id="48"/>
    <w:p>
      <w:pPr>
        <w:ind w:right="220"/>
        <w:spacing w:after="0" w:line="277" w:lineRule="auto"/>
        <w:rPr>
          <w:sz w:val="20"/>
          <w:szCs w:val="20"/>
          <w:color w:val="auto"/>
        </w:rPr>
      </w:pPr>
      <w:r>
        <w:rPr>
          <w:rFonts w:ascii="Arial" w:cs="Arial" w:eastAsia="Arial" w:hAnsi="Arial"/>
          <w:sz w:val="18"/>
          <w:szCs w:val="18"/>
          <w:color w:val="auto"/>
        </w:rPr>
        <w:t>action was filed on October 10, 2018. These lawsuits and any other such litigation could result in substantial costs and divert our management’s attention from other business concerns, which could seriously harm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Legal, accounting, administrative and other costs and expenses may increase in the future as we continue to incur both increased external audit fees as well as additional spending to ensure continued regulatory compliance.</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52"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170" w:lineRule="exact"/>
        <w:rPr>
          <w:sz w:val="20"/>
          <w:szCs w:val="20"/>
          <w:color w:val="auto"/>
        </w:rPr>
      </w:pPr>
    </w:p>
    <w:p>
      <w:pPr>
        <w:ind w:firstLine="495"/>
        <w:spacing w:after="0" w:line="291" w:lineRule="auto"/>
        <w:rPr>
          <w:sz w:val="20"/>
          <w:szCs w:val="20"/>
          <w:color w:val="auto"/>
        </w:rPr>
      </w:pPr>
      <w:r>
        <w:rPr>
          <w:rFonts w:ascii="Arial" w:cs="Arial" w:eastAsia="Arial" w:hAnsi="Arial"/>
          <w:sz w:val="16"/>
          <w:szCs w:val="16"/>
          <w:color w:val="auto"/>
        </w:rPr>
        <w:t>Our Amended and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the Company's Amended and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w:t>
      </w:r>
    </w:p>
    <w:p>
      <w:pPr>
        <w:sectPr>
          <w:pgSz w:w="11900" w:h="16838" w:orient="portrait"/>
          <w:cols w:equalWidth="0" w:num="1">
            <w:col w:w="11240"/>
          </w:cols>
          <w:pgMar w:left="320" w:top="125" w:right="339" w:bottom="0" w:gutter="0" w:footer="0" w:header="0"/>
        </w:sectPr>
      </w:pPr>
    </w:p>
    <w:bookmarkStart w:id="49" w:name="page50"/>
    <w:bookmarkEnd w:id="49"/>
    <w:p>
      <w:pPr>
        <w:ind w:right="80"/>
        <w:spacing w:after="0" w:line="255" w:lineRule="auto"/>
        <w:rPr>
          <w:sz w:val="20"/>
          <w:szCs w:val="20"/>
          <w:color w:val="auto"/>
        </w:rPr>
      </w:pPr>
      <w:r>
        <w:rPr>
          <w:rFonts w:ascii="Arial" w:cs="Arial" w:eastAsia="Arial" w:hAnsi="Arial"/>
          <w:sz w:val="18"/>
          <w:szCs w:val="18"/>
          <w:color w:val="auto"/>
        </w:rPr>
        <w:t>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80" w:type="dxa"/>
            <w:vAlign w:val="bottom"/>
            <w:gridSpan w:val="7"/>
          </w:tcPr>
          <w:p>
            <w:pPr>
              <w:ind w:left="3880"/>
              <w:spacing w:after="0"/>
              <w:rPr>
                <w:sz w:val="20"/>
                <w:szCs w:val="20"/>
                <w:color w:val="auto"/>
              </w:rPr>
            </w:pPr>
            <w:r>
              <w:rPr>
                <w:rFonts w:ascii="Arial" w:cs="Arial" w:eastAsia="Arial" w:hAnsi="Arial"/>
                <w:sz w:val="18"/>
                <w:szCs w:val="18"/>
                <w:color w:val="auto"/>
              </w:rPr>
              <w:t>59</w:t>
            </w:r>
          </w:p>
        </w:tc>
        <w:tc>
          <w:tcPr>
            <w:tcW w:w="1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324"/>
        </w:trPr>
        <w:tc>
          <w:tcPr>
            <w:tcW w:w="166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gridSpan w:val="9"/>
          </w:tcPr>
          <w:p>
            <w:pPr>
              <w:ind w:left="160"/>
              <w:spacing w:after="0"/>
              <w:rPr>
                <w:sz w:val="20"/>
                <w:szCs w:val="20"/>
                <w:color w:val="auto"/>
              </w:rPr>
            </w:pPr>
            <w:r>
              <w:rPr>
                <w:rFonts w:ascii="Arial" w:cs="Arial" w:eastAsia="Arial" w:hAnsi="Arial"/>
                <w:sz w:val="18"/>
                <w:szCs w:val="18"/>
                <w:b w:val="1"/>
                <w:bCs w:val="1"/>
                <w:color w:val="auto"/>
              </w:rPr>
              <w:t>EXHIBIT INDEX</w:t>
            </w:r>
          </w:p>
        </w:tc>
      </w:tr>
      <w:tr>
        <w:trPr>
          <w:trHeight w:val="648"/>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580" w:type="dxa"/>
            <w:vAlign w:val="bottom"/>
            <w:gridSpan w:val="15"/>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auto"/>
            </w:tcBorders>
            <w:gridSpan w:val="14"/>
          </w:tcPr>
          <w:p>
            <w:pPr>
              <w:spacing w:after="0" w:line="169"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Amended and Restated Certificate of Incorporation, as currently in effect (filed as Exhibit 3.1 to the Registrant’s Quarterly Report</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on Form 10-Q filed with the Securities and Exchange Commission on November 14, 2013).</w:t>
              </w:r>
            </w:hyperlink>
          </w:p>
        </w:tc>
        <w:tc>
          <w:tcPr>
            <w:tcW w:w="274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400" w:type="dxa"/>
            <w:vAlign w:val="bottom"/>
            <w:tcBorders>
              <w:bottom w:val="single" w:sz="8" w:color="0000EE"/>
            </w:tcBorders>
            <w:gridSpan w:val="12"/>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Amended and Restated Bylaws, as currently in effect (filed as Exhibit 3.2 to the Registrant’s Quarterly Report on Form 10-Q filed</w:t>
              </w:r>
            </w:hyperlink>
          </w:p>
        </w:tc>
        <w:tc>
          <w:tcPr>
            <w:tcW w:w="18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with the Securities and Exchange Commission on November 14, 2013).</w:t>
              </w:r>
            </w:hyperlink>
          </w:p>
        </w:tc>
        <w:tc>
          <w:tcPr>
            <w:tcW w:w="4400" w:type="dxa"/>
            <w:vAlign w:val="bottom"/>
            <w:gridSpan w:val="8"/>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8900" w:type="dxa"/>
            <w:vAlign w:val="bottom"/>
            <w:tcBorders>
              <w:bottom w:val="single" w:sz="8" w:color="0000EE"/>
            </w:tcBorders>
            <w:gridSpan w:val="9"/>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Common Stock Specimen (filed as Exhibit 4.1 to the Registrant’s Current Report on Form 8-K filed with the Securities and</w:t>
              </w:r>
            </w:hyperlink>
          </w:p>
        </w:tc>
        <w:tc>
          <w:tcPr>
            <w:tcW w:w="68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5"/>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Exchange Commission on July 15, 2015).</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Indenture, dated as of March 5, 2019 between Applied Optoelectronics, Inc. and Wells Fargo Bank, National Association, as trustee,</w:t>
              </w:r>
            </w:hyperlink>
          </w:p>
        </w:tc>
        <w:tc>
          <w:tcPr>
            <w:tcW w:w="4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paying agent, and conversion agent (filed as Exhibit 4.1 to the Registrant’s Current Report on Form 8-K filed with the Securities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5"/>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Exchange Commission on March 5, 2019).</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9580" w:type="dxa"/>
            <w:vAlign w:val="bottom"/>
            <w:gridSpan w:val="15"/>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Form of Note representing the Company’s 5.00% Convertible Senior Notes due 2024 (included as Exhibit A to the Indenture filed as</w:t>
              </w:r>
            </w:hyperlink>
          </w:p>
        </w:tc>
      </w:tr>
      <w:tr>
        <w:trPr>
          <w:trHeight w:val="236"/>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Borders>
              <w:top w:val="single" w:sz="8" w:color="0000EE"/>
            </w:tcBorders>
            <w:gridSpan w:val="14"/>
          </w:tcPr>
          <w:p>
            <w:pPr>
              <w:spacing w:after="0"/>
              <w:rPr>
                <w:rFonts w:ascii="Arial" w:cs="Arial" w:eastAsia="Arial" w:hAnsi="Arial"/>
                <w:sz w:val="18"/>
                <w:szCs w:val="18"/>
                <w:u w:val="single" w:color="auto"/>
                <w:color w:val="0000EE"/>
                <w:w w:val="92"/>
              </w:rPr>
            </w:pPr>
            <w:hyperlink r:id="rId76">
              <w:r>
                <w:rPr>
                  <w:rFonts w:ascii="Arial" w:cs="Arial" w:eastAsia="Arial" w:hAnsi="Arial"/>
                  <w:sz w:val="18"/>
                  <w:szCs w:val="18"/>
                  <w:u w:val="single" w:color="auto"/>
                  <w:color w:val="0000EE"/>
                  <w:w w:val="92"/>
                </w:rPr>
                <w:t>Exhibit 4.1 to the Registrant’s Current Report on Form 8-K filed with the Securities and Exchange Commission on March 5, 2019).</w:t>
              </w:r>
            </w:hyperlink>
          </w:p>
        </w:tc>
        <w:tc>
          <w:tcPr>
            <w:tcW w:w="20" w:type="dxa"/>
            <w:vAlign w:val="bottom"/>
          </w:tcPr>
          <w:p>
            <w:pPr>
              <w:spacing w:after="0"/>
              <w:rPr>
                <w:sz w:val="20"/>
                <w:szCs w:val="20"/>
                <w:color w:val="auto"/>
              </w:rPr>
            </w:pPr>
          </w:p>
        </w:tc>
      </w:tr>
      <w:tr>
        <w:trPr>
          <w:trHeight w:val="392"/>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9580" w:type="dxa"/>
            <w:vAlign w:val="bottom"/>
            <w:gridSpan w:val="15"/>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Paycheck Protection Program Loan Promissory Note, dated April 17, 2020, executed by Applied Optoelectronics, Inc.(included as</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4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gridSpan w:val="15"/>
          </w:tcPr>
          <w:p>
            <w:pPr>
              <w:spacing w:after="0"/>
              <w:rPr>
                <w:rFonts w:ascii="Arial" w:cs="Arial" w:eastAsia="Arial" w:hAnsi="Arial"/>
                <w:sz w:val="18"/>
                <w:szCs w:val="18"/>
                <w:u w:val="single" w:color="auto"/>
                <w:color w:val="0000EE"/>
                <w:w w:val="92"/>
              </w:rPr>
            </w:pPr>
            <w:hyperlink r:id="rId77">
              <w:r>
                <w:rPr>
                  <w:rFonts w:ascii="Arial" w:cs="Arial" w:eastAsia="Arial" w:hAnsi="Arial"/>
                  <w:sz w:val="18"/>
                  <w:szCs w:val="18"/>
                  <w:u w:val="single" w:color="auto"/>
                  <w:color w:val="0000EE"/>
                  <w:w w:val="92"/>
                </w:rPr>
                <w:t>Exhibit 10.1 to the Registrant’s Current Report on Form 8-K filed with the Securities and Exchange Commission on April 22, 2020).</w:t>
              </w:r>
            </w:hyperlink>
          </w:p>
        </w:tc>
      </w:tr>
      <w:tr>
        <w:trPr>
          <w:trHeight w:val="391"/>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3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Certification of Chief Executive Officer pursuant to Exchange Act Rule, 13a-14(a) and 15d-14(a), as adopted pursuant to Section</w:t>
              </w:r>
            </w:hyperlink>
          </w:p>
        </w:tc>
        <w:tc>
          <w:tcPr>
            <w:tcW w:w="26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302 of the Sarbanes-Oxley Act of 2002.</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52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5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Certification of Chief Financial Officer pursuant to Exchange Act Rule, 13a-14(a) and 15d-14(a), as adopted pursuant to Section 302</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of the Sarbanes-Oxley Act of 2002.</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4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pursuant to 18 U.S.C. 1350, adopted pursuant to Section 906 of the Sarbanes-Oxley Act of 2002, by Chief Executive</w:t>
              </w:r>
            </w:hyperlink>
          </w:p>
        </w:tc>
        <w:tc>
          <w:tcPr>
            <w:tcW w:w="18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Officer and Chief Financial Officer.</w:t>
              </w:r>
            </w:hyperlink>
          </w:p>
        </w:tc>
      </w:tr>
      <w:tr>
        <w:trPr>
          <w:trHeight w:val="20"/>
        </w:trPr>
        <w:tc>
          <w:tcPr>
            <w:tcW w:w="1660" w:type="dxa"/>
            <w:vAlign w:val="bottom"/>
            <w:gridSpan w:val="2"/>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r>
      <w:tr>
        <w:trPr>
          <w:trHeight w:val="438"/>
        </w:trPr>
        <w:tc>
          <w:tcPr>
            <w:tcW w:w="16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580" w:type="dxa"/>
            <w:vAlign w:val="bottom"/>
            <w:gridSpan w:val="15"/>
          </w:tcPr>
          <w:p>
            <w:pPr>
              <w:spacing w:after="0"/>
              <w:rPr>
                <w:sz w:val="20"/>
                <w:szCs w:val="20"/>
                <w:color w:val="auto"/>
              </w:rPr>
            </w:pPr>
            <w:r>
              <w:rPr>
                <w:rFonts w:ascii="Arial" w:cs="Arial" w:eastAsia="Arial" w:hAnsi="Arial"/>
                <w:sz w:val="18"/>
                <w:szCs w:val="18"/>
                <w:color w:val="auto"/>
                <w:w w:val="93"/>
              </w:rPr>
              <w:t>Inline XBRL Instance – the instance document does not appear in the Interactive Data File because its XBRL tags are embedded</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gridSpan w:val="15"/>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-5297170</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-5305425</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222" w:lineRule="exact"/>
        <w:rPr>
          <w:sz w:val="20"/>
          <w:szCs w:val="20"/>
          <w:color w:val="auto"/>
        </w:rPr>
      </w:pPr>
    </w:p>
    <w:p>
      <w:pPr>
        <w:sectPr>
          <w:pgSz w:w="11900" w:h="16838" w:orient="portrait"/>
          <w:cols w:equalWidth="0" w:num="2">
            <w:col w:w="940" w:space="720"/>
            <w:col w:w="9580"/>
          </w:cols>
          <w:pgMar w:left="320" w:top="125" w:right="3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211" w:lineRule="exact"/>
        <w:rPr>
          <w:sz w:val="20"/>
          <w:szCs w:val="20"/>
          <w:color w:val="auto"/>
        </w:rPr>
      </w:pPr>
    </w:p>
    <w:p>
      <w:pPr>
        <w:sectPr>
          <w:pgSz w:w="11900" w:h="16838" w:orient="portrait"/>
          <w:cols w:equalWidth="0" w:num="2">
            <w:col w:w="940" w:space="720"/>
            <w:col w:w="9580"/>
          </w:cols>
          <w:pgMar w:left="320" w:top="125"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22" w:lineRule="exact"/>
        <w:rPr>
          <w:sz w:val="20"/>
          <w:szCs w:val="20"/>
          <w:color w:val="auto"/>
        </w:rPr>
      </w:pPr>
    </w:p>
    <w:p>
      <w:pPr>
        <w:sectPr>
          <w:pgSz w:w="11900" w:h="16838" w:orient="portrait"/>
          <w:cols w:equalWidth="0" w:num="2">
            <w:col w:w="940" w:space="720"/>
            <w:col w:w="958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11" w:lineRule="exact"/>
        <w:rPr>
          <w:sz w:val="20"/>
          <w:szCs w:val="20"/>
          <w:color w:val="auto"/>
        </w:rPr>
      </w:pPr>
    </w:p>
    <w:p>
      <w:pPr>
        <w:sectPr>
          <w:pgSz w:w="11900" w:h="16838" w:orient="portrait"/>
          <w:cols w:equalWidth="0" w:num="2">
            <w:col w:w="940" w:space="720"/>
            <w:col w:w="9580"/>
          </w:cols>
          <w:pgMar w:left="320" w:top="125"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cover page from the Company’s Quarterly Report on Form 10-Q for the quarter ended June 30, 2020,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48895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940" w:space="720"/>
            <w:col w:w="9580"/>
          </w:cols>
          <w:pgMar w:left="320" w:top="125" w:right="339" w:bottom="1440" w:gutter="0" w:footer="0" w:header="0"/>
          <w:type w:val="continuous"/>
        </w:sectPr>
      </w:pPr>
    </w:p>
    <w:p>
      <w:pPr>
        <w:ind w:right="6700" w:firstLine="8"/>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700" w:type="dxa"/>
            <w:vAlign w:val="bottom"/>
            <w:gridSpan w:val="2"/>
          </w:tcPr>
          <w:p>
            <w:pPr>
              <w:ind w:left="4100"/>
              <w:spacing w:after="0"/>
              <w:rPr>
                <w:sz w:val="20"/>
                <w:szCs w:val="20"/>
                <w:color w:val="auto"/>
              </w:rPr>
            </w:pPr>
            <w:r>
              <w:rPr>
                <w:rFonts w:ascii="Arial" w:cs="Arial" w:eastAsia="Arial" w:hAnsi="Arial"/>
                <w:sz w:val="18"/>
                <w:szCs w:val="18"/>
                <w:b w:val="1"/>
                <w:bCs w:val="1"/>
                <w:color w:val="auto"/>
              </w:rPr>
              <w:t>APPLIED OPTOELECTRONICS, INC.</w:t>
            </w:r>
          </w:p>
        </w:tc>
        <w:tc>
          <w:tcPr>
            <w:tcW w:w="0" w:type="dxa"/>
            <w:vAlign w:val="bottom"/>
          </w:tcPr>
          <w:p>
            <w:pPr>
              <w:spacing w:after="0"/>
              <w:rPr>
                <w:sz w:val="1"/>
                <w:szCs w:val="1"/>
                <w:color w:val="auto"/>
              </w:rPr>
            </w:pPr>
          </w:p>
        </w:tc>
      </w:tr>
      <w:tr>
        <w:trPr>
          <w:trHeight w:val="216"/>
        </w:trPr>
        <w:tc>
          <w:tcPr>
            <w:tcW w:w="440" w:type="dxa"/>
            <w:vAlign w:val="bottom"/>
            <w:vMerge w:val="restart"/>
          </w:tcPr>
          <w:p>
            <w:pPr>
              <w:spacing w:after="0"/>
              <w:rPr>
                <w:sz w:val="20"/>
                <w:szCs w:val="20"/>
                <w:color w:val="auto"/>
              </w:rPr>
            </w:pPr>
            <w:r>
              <w:rPr>
                <w:rFonts w:ascii="Arial" w:cs="Arial" w:eastAsia="Arial" w:hAnsi="Arial"/>
                <w:sz w:val="18"/>
                <w:szCs w:val="18"/>
                <w:color w:val="auto"/>
                <w:w w:val="97"/>
              </w:rPr>
              <w:t>Date:</w:t>
            </w:r>
          </w:p>
        </w:tc>
        <w:tc>
          <w:tcPr>
            <w:tcW w:w="1100" w:type="dxa"/>
            <w:vAlign w:val="bottom"/>
          </w:tcPr>
          <w:p>
            <w:pPr>
              <w:spacing w:after="0"/>
              <w:rPr>
                <w:sz w:val="18"/>
                <w:szCs w:val="18"/>
                <w:color w:val="auto"/>
              </w:rPr>
            </w:pPr>
          </w:p>
        </w:tc>
        <w:tc>
          <w:tcPr>
            <w:tcW w:w="9700" w:type="dxa"/>
            <w:vAlign w:val="bottom"/>
            <w:gridSpan w:val="2"/>
            <w:vMerge w:val="restart"/>
          </w:tcPr>
          <w:p>
            <w:pPr>
              <w:ind w:left="4100"/>
              <w:spacing w:after="0"/>
              <w:rPr>
                <w:sz w:val="20"/>
                <w:szCs w:val="20"/>
                <w:color w:val="auto"/>
              </w:rPr>
            </w:pPr>
            <w:r>
              <w:rPr>
                <w:rFonts w:ascii="Arial" w:cs="Arial" w:eastAsia="Arial" w:hAnsi="Arial"/>
                <w:sz w:val="18"/>
                <w:szCs w:val="18"/>
                <w:color w:val="auto"/>
              </w:rPr>
              <w:t>By:  /s/ STEFAN J. MURRY</w:t>
            </w:r>
          </w:p>
        </w:tc>
        <w:tc>
          <w:tcPr>
            <w:tcW w:w="0" w:type="dxa"/>
            <w:vAlign w:val="bottom"/>
          </w:tcPr>
          <w:p>
            <w:pPr>
              <w:spacing w:after="0"/>
              <w:rPr>
                <w:sz w:val="1"/>
                <w:szCs w:val="1"/>
                <w:color w:val="auto"/>
              </w:rPr>
            </w:pPr>
          </w:p>
        </w:tc>
      </w:tr>
      <w:tr>
        <w:trPr>
          <w:trHeight w:val="203"/>
        </w:trPr>
        <w:tc>
          <w:tcPr>
            <w:tcW w:w="440" w:type="dxa"/>
            <w:vAlign w:val="bottom"/>
            <w:vMerge w:val="continue"/>
          </w:tcPr>
          <w:p>
            <w:pPr>
              <w:spacing w:after="0"/>
              <w:rPr>
                <w:sz w:val="17"/>
                <w:szCs w:val="17"/>
                <w:color w:val="auto"/>
              </w:rPr>
            </w:pPr>
          </w:p>
        </w:tc>
        <w:tc>
          <w:tcPr>
            <w:tcW w:w="1100" w:type="dxa"/>
            <w:vAlign w:val="bottom"/>
            <w:shd w:val="clear" w:color="auto" w:fill="F1C40F"/>
          </w:tcPr>
          <w:p>
            <w:pPr>
              <w:spacing w:after="0" w:line="202" w:lineRule="exact"/>
              <w:rPr>
                <w:sz w:val="20"/>
                <w:szCs w:val="20"/>
                <w:color w:val="auto"/>
              </w:rPr>
            </w:pPr>
            <w:r>
              <w:rPr>
                <w:rFonts w:ascii="Arial" w:cs="Arial" w:eastAsia="Arial" w:hAnsi="Arial"/>
                <w:sz w:val="18"/>
                <w:szCs w:val="18"/>
                <w:color w:val="auto"/>
                <w:w w:val="89"/>
                <w:shd w:val="clear" w:color="auto" w:fill="F1C40F"/>
              </w:rPr>
              <w:t>August 6, 2020</w:t>
            </w:r>
          </w:p>
        </w:tc>
        <w:tc>
          <w:tcPr>
            <w:tcW w:w="9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5200" w:type="dxa"/>
            <w:vAlign w:val="bottom"/>
          </w:tcPr>
          <w:p>
            <w:pPr>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0" w:type="dxa"/>
            <w:vAlign w:val="bottom"/>
          </w:tcPr>
          <w:p>
            <w:pPr>
              <w:spacing w:after="0"/>
              <w:rPr>
                <w:sz w:val="1"/>
                <w:szCs w:val="1"/>
                <w:color w:val="auto"/>
              </w:rPr>
            </w:pPr>
          </w:p>
        </w:tc>
      </w:tr>
      <w:tr>
        <w:trPr>
          <w:trHeight w:val="661"/>
        </w:trPr>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tcPr>
          <w:p>
            <w:pPr>
              <w:jc w:val="right"/>
              <w:ind w:right="230"/>
              <w:spacing w:after="0"/>
              <w:rPr>
                <w:sz w:val="20"/>
                <w:szCs w:val="20"/>
                <w:color w:val="auto"/>
              </w:rPr>
            </w:pPr>
            <w:r>
              <w:rPr>
                <w:rFonts w:ascii="Arial" w:cs="Arial" w:eastAsia="Arial" w:hAnsi="Arial"/>
                <w:sz w:val="18"/>
                <w:szCs w:val="18"/>
                <w:color w:val="auto"/>
              </w:rPr>
              <w:t>61</w:t>
            </w: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2" w:name="page53"/>
    <w:bookmarkEnd w:id="52"/>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3" w:name="page54"/>
    <w:bookmarkEnd w:id="53"/>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7"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2020, to which this Certification is attached as Exhibit 32.1 (the “Quarterly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6th day of August, 2020.</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715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454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21" w:right="339" w:bottom="1440" w:gutter="0" w:footer="0" w:header="0"/>
          <w:type w:val="continuous"/>
        </w:sectPr>
      </w:pP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8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Roman"/>
      <w:start w:val="3"/>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73" Type="http://schemas.openxmlformats.org/officeDocument/2006/relationships/hyperlink" Target="http://www.sec.gov/Archives/edgar/data/1158114/000101968713004306/aaoi_10q-ex0301.htm" TargetMode="External"/><Relationship Id="rId74" Type="http://schemas.openxmlformats.org/officeDocument/2006/relationships/hyperlink" Target="http://www.sec.gov/Archives/edgar/data/1158114/000101968713004306/aaoi_10q-ex0302.htm" TargetMode="External"/><Relationship Id="rId75" Type="http://schemas.openxmlformats.org/officeDocument/2006/relationships/hyperlink" Target="http://www.sec.gov/Archives/edgar/data/1158114/000110465915051289/a15-15715_1ex4d1.htm" TargetMode="External"/><Relationship Id="rId76" Type="http://schemas.openxmlformats.org/officeDocument/2006/relationships/hyperlink" Target="http://www.sec.gov/Archives/edgar/data/1158114/000110465919012900/a19-4821_4ex4d1.htm" TargetMode="External"/><Relationship Id="rId77" Type="http://schemas.openxmlformats.org/officeDocument/2006/relationships/hyperlink" Target="http://www.sec.gov/Archives/edgar/data/1158114/000168316820001257/appliedopto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2020-08-06T16:26:30Z</dcterms:created>
  <dcterms:modified xsi:type="dcterms:W3CDTF">2020-08-06T16:26:30Z</dcterms:modified>
</cp:coreProperties>
</file>