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pliedopto_8k.htm"/>
      <w:bookmarkStart w:id="1" w:name="ksappliedopto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5031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March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4_edei--EntityRegistrantName_c2025"/>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1925"/>
        <w:gridCol w:w="2210"/>
        <w:gridCol w:w="2915"/>
      </w:tblGrid>
      <w:tr>
        <w:trPr/>
        <w:tc>
          <w:tcPr>
            <w:tcW w:w="19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50313"/>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76-0533927</w:t>
            </w:r>
          </w:p>
        </w:tc>
      </w:tr>
      <w:tr>
        <w:trPr/>
        <w:tc>
          <w:tcPr>
            <w:tcW w:w="1925" w:type="dxa"/>
            <w:tcBorders/>
            <w:vAlign w:val="center"/>
          </w:tcPr>
          <w:p>
            <w:pPr>
              <w:pStyle w:val="TableContents"/>
              <w:bidi w:val="0"/>
              <w:spacing w:before="0" w:after="283"/>
              <w:jc w:val="center"/>
              <w:rPr>
                <w:sz w:val="20"/>
              </w:rPr>
            </w:pPr>
            <w:r>
              <w:rPr>
                <w:sz w:val="20"/>
              </w:rPr>
              <w:t>(State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13139 Jess Pirtle Blvd.</w:t>
        <w:br/>
      </w:r>
      <w:bookmarkStart w:id="9" w:name="xdx_90D_edei--EntityAddressCityOrTown_c2"/>
      <w:bookmarkEnd w:id="9"/>
      <w:r>
        <w:rPr>
          <w:rFonts w:ascii="Times New Roman;Times;Serif" w:hAnsi="Times New Roman;Times;Serif"/>
          <w:b/>
          <w:i w:val="false"/>
          <w:caps w:val="false"/>
          <w:smallCaps w:val="false"/>
          <w:sz w:val="20"/>
        </w:rPr>
        <w:t xml:space="preserve">Sugar Land, </w:t>
      </w:r>
      <w:bookmarkStart w:id="10" w:name="xdx_90B_edei--EntityAddressStateOrProvin"/>
      <w:bookmarkEnd w:id="10"/>
      <w:r>
        <w:rPr>
          <w:rFonts w:ascii="Times New Roman;Times;Serif" w:hAnsi="Times New Roman;Times;Serif"/>
          <w:b/>
          <w:i w:val="false"/>
          <w:caps w:val="false"/>
          <w:smallCaps w:val="false"/>
          <w:sz w:val="20"/>
        </w:rPr>
        <w:t xml:space="preserve">Texas </w:t>
      </w:r>
      <w:bookmarkStart w:id="11" w:name="xdx_900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50313__20"/>
      <w:bookmarkEnd w:id="12"/>
      <w:r>
        <w:rPr>
          <w:rFonts w:ascii="Times New Roman;Times;Serif" w:hAnsi="Times New Roman;Times;Serif"/>
          <w:b/>
          <w:i w:val="false"/>
          <w:caps w:val="false"/>
          <w:smallCaps w:val="false"/>
          <w:sz w:val="20"/>
        </w:rPr>
        <w:t xml:space="preserve">281) </w:t>
      </w:r>
      <w:bookmarkStart w:id="13" w:name="xdx_90D_edei--LocalPhoneNumber_c20250313"/>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SolicitingMaterial_c202503"/>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2855"/>
        <w:gridCol w:w="1535"/>
        <w:gridCol w:w="4280"/>
      </w:tblGrid>
      <w:tr>
        <w:trPr/>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Name of each exchange on which registered</w:t>
            </w:r>
          </w:p>
        </w:tc>
      </w:tr>
      <w:tr>
        <w:trPr/>
        <w:tc>
          <w:tcPr>
            <w:tcW w:w="285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8_edei--Security12bTitle_c20250313"/>
            <w:bookmarkEnd w:id="18"/>
            <w:r>
              <w:rPr>
                <w:rFonts w:ascii="Times New Roman;Times;Serif" w:hAnsi="Times New Roman;Times;Serif"/>
                <w:b/>
                <w:i w:val="false"/>
                <w:caps w:val="false"/>
                <w:smallCaps w:val="false"/>
                <w:sz w:val="20"/>
              </w:rPr>
              <w:t>Common Stock, Par value $0.001</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A_edei--TradingSymbol_c20250313__2"/>
            <w:bookmarkEnd w:id="19"/>
            <w:r>
              <w:rPr>
                <w:rFonts w:ascii="Times New Roman;Times;Serif" w:hAnsi="Times New Roman;Times;Serif"/>
                <w:b/>
                <w:i w:val="false"/>
                <w:caps w:val="false"/>
                <w:smallCaps w:val="false"/>
                <w:sz w:val="20"/>
              </w:rPr>
              <w:t>AAOI</w:t>
            </w:r>
          </w:p>
        </w:tc>
        <w:tc>
          <w:tcPr>
            <w:tcW w:w="428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8_edei--SecurityExchangeName_c2025"/>
            <w:bookmarkEnd w:id="20"/>
            <w:r>
              <w:rPr>
                <w:rFonts w:ascii="Times New Roman;Times;Serif" w:hAnsi="Times New Roman;Times;Serif"/>
                <w:b/>
                <w:i w:val="false"/>
                <w:caps w:val="false"/>
                <w:smallCaps w:val="false"/>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815"/>
        <w:gridCol w:w="3740"/>
      </w:tblGrid>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under Item 3.02 of this Current Report on Form 8-K with respect to the execution of the Transaction Agreement (as defined in Item 3.02 hereof) between Applied Optoelectronics, Inc. (the “Company”) and Amazon.com, Inc. (“Parent”), including the issuance of the Warrant (as referenced in Item 3.02 hereof) to a wholly-owned subsidiary of Parent (“Warrantholder”), is incorporated by reference into this Item 1.01.</w:t>
      </w:r>
    </w:p>
    <w:p>
      <w:pPr>
        <w:pStyle w:val="TextBody"/>
        <w:bidi w:val="0"/>
        <w:spacing w:before="0" w:after="0"/>
        <w:ind w:left="1440" w:right="0" w:hanging="144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815"/>
        <w:gridCol w:w="3350"/>
      </w:tblGrid>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b/>
                <w:sz w:val="20"/>
              </w:rPr>
            </w:pPr>
            <w:r>
              <w:rPr>
                <w:b/>
                <w:sz w:val="20"/>
              </w:rPr>
              <w:t>Item 3.02</w:t>
            </w:r>
          </w:p>
        </w:tc>
        <w:tc>
          <w:tcPr>
            <w:tcW w:w="3350" w:type="dxa"/>
            <w:tcBorders/>
            <w:vAlign w:val="center"/>
          </w:tcPr>
          <w:p>
            <w:pPr>
              <w:pStyle w:val="TableContents"/>
              <w:bidi w:val="0"/>
              <w:spacing w:before="0" w:after="283"/>
              <w:jc w:val="left"/>
              <w:rPr>
                <w:b/>
                <w:sz w:val="20"/>
              </w:rPr>
            </w:pPr>
            <w:r>
              <w:rPr>
                <w:b/>
                <w:sz w:val="20"/>
              </w:rPr>
              <w:t>Unregistered Sales of Equity Securities.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2025, the Company entered into a Transaction Agreement with Parent (the “Transaction Agreement”), under which, among other things, the Company issued to Warrantholder a warrant (the “Warrant”) to purchase up to an aggregate of 7,945,399 shares (the “Warrant Shares”) of common stock, par value $0.001 per share of the Company (the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1,324,233 Warrant Shares vested on the date of issuance, with the balance vesting over time based on discretionary purchases by or on behalf of Amazon and its affiliates, up to a total of $4 billion. Subject to vesting and certain conditions set forth therein, the Warrant may be exercised, in whole or in part, at any time before 5:00 p.m., Seattle time, on March 13, 2035 at an exercise price of $23.6954 per share. The exercise price and the number of Warrant Shares are subject to customary anti-dilution adjustments, and under the Transaction Agreement, the Company has granted customary registration rights with respect to the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and the Warrant Shares have not been registered under the Securities Act of 1933 (as amended, the “Securities Act”) or under any state securities law and were offered and issued, as applicable, in reliance upon the exemption from registration requirements of the Securities Act set forth in Section 4(a)(2) of the Securities Act. The Company did not engage in a general solicitation or advertising regarding the issuance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3.02 contains only a brief description of the material terms of the Transaction Agreement and the Warrant and does not purport to be a complete description of the rights and obligations of the parties thereunder, and such descriptions are qualified in their entirety by reference to the full text of the Transaction Agreement and Warrant, which are attached hereto as Exhibit 10.1 and Exhibit 4.1, respectively.</w:t>
      </w:r>
    </w:p>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815"/>
        <w:gridCol w:w="2960"/>
      </w:tblGrid>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4"/>
        <w:gridCol w:w="60"/>
        <w:gridCol w:w="9171"/>
      </w:tblGrid>
      <w:tr>
        <w:trPr/>
        <w:tc>
          <w:tcPr>
            <w:tcW w:w="974"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71"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974" w:type="dxa"/>
            <w:tcBorders/>
            <w:tcMar>
              <w:bottom w:w="0" w:type="dxa"/>
            </w:tcMar>
            <w:vAlign w:val="center"/>
          </w:tcPr>
          <w:p>
            <w:pPr>
              <w:pStyle w:val="TableContents"/>
              <w:bidi w:val="0"/>
              <w:spacing w:before="0" w:after="283"/>
              <w:jc w:val="left"/>
              <w:rPr/>
            </w:pPr>
            <w:r>
              <w:rPr/>
              <w:t>4.1*</w:t>
            </w:r>
          </w:p>
        </w:tc>
        <w:tc>
          <w:tcPr>
            <w:tcW w:w="60" w:type="dxa"/>
            <w:tcBorders/>
            <w:tcMar>
              <w:bottom w:w="0" w:type="dxa"/>
            </w:tcMar>
            <w:vAlign w:val="center"/>
          </w:tcPr>
          <w:p>
            <w:pPr>
              <w:pStyle w:val="TableContents"/>
              <w:bidi w:val="0"/>
              <w:spacing w:before="0" w:after="283"/>
              <w:jc w:val="left"/>
              <w:rPr/>
            </w:pPr>
            <w:r>
              <w:rPr/>
              <w:t> </w:t>
            </w:r>
          </w:p>
        </w:tc>
        <w:tc>
          <w:tcPr>
            <w:tcW w:w="9171" w:type="dxa"/>
            <w:tcBorders/>
            <w:tcMar>
              <w:bottom w:w="0" w:type="dxa"/>
            </w:tcMar>
            <w:vAlign w:val="center"/>
          </w:tcPr>
          <w:p>
            <w:pPr>
              <w:pStyle w:val="TableContents"/>
              <w:bidi w:val="0"/>
              <w:spacing w:before="0" w:after="283"/>
              <w:jc w:val="both"/>
              <w:rPr/>
            </w:pPr>
            <w:hyperlink w:anchor="appliedopto_ex0401.htm">
              <w:r>
                <w:rPr>
                  <w:rStyle w:val="InternetLink"/>
                </w:rPr>
                <w:t>Warrant to Purchase Common Stock of Applied Optoelectronics, Inc. by and between Applied Optoelectronics, Inc. and Amazon.com NV Investment Holdings LLC, dated as of March 13, 2025</w:t>
              </w:r>
            </w:hyperlink>
          </w:p>
        </w:tc>
      </w:tr>
      <w:tr>
        <w:trPr/>
        <w:tc>
          <w:tcPr>
            <w:tcW w:w="974"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171" w:type="dxa"/>
            <w:tcBorders/>
            <w:tcMar>
              <w:bottom w:w="0" w:type="dxa"/>
            </w:tcMar>
            <w:vAlign w:val="center"/>
          </w:tcPr>
          <w:p>
            <w:pPr>
              <w:pStyle w:val="TableContents"/>
              <w:bidi w:val="0"/>
              <w:spacing w:before="0" w:after="283"/>
              <w:jc w:val="both"/>
              <w:rPr/>
            </w:pPr>
            <w:hyperlink w:anchor="appliedopto_ex1001.htm">
              <w:r>
                <w:rPr>
                  <w:rStyle w:val="InternetLink"/>
                </w:rPr>
                <w:t>Transaction Agreement, by and between Applied Optoelectronics, Inc. and Amazon.com, Inc., dated as of March 13, 2025</w:t>
              </w:r>
            </w:hyperlink>
          </w:p>
        </w:tc>
      </w:tr>
      <w:tr>
        <w:trPr/>
        <w:tc>
          <w:tcPr>
            <w:tcW w:w="974"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171" w:type="dxa"/>
            <w:tcBorders/>
            <w:tcMar>
              <w:bottom w:w="0" w:type="dxa"/>
            </w:tcMar>
            <w:vAlign w:val="center"/>
          </w:tcPr>
          <w:p>
            <w:pPr>
              <w:pStyle w:val="TableContents"/>
              <w:bidi w:val="0"/>
              <w:spacing w:before="0" w:after="283"/>
              <w:jc w:val="left"/>
              <w:rPr/>
            </w:pPr>
            <w:r>
              <w:rPr/>
              <w:t>Cover Page Interactive Data File (embedded with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pPr>
            <w:r>
              <w:rPr/>
              <w:t>Certain portions of this document that constitute confidential information have been redacted in accordance with Item 601(b)(10) of Regulation 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44" w:type="dxa"/>
        <w:jc w:val="left"/>
        <w:tblInd w:w="0" w:type="dxa"/>
        <w:tblLayout w:type="fixed"/>
        <w:tblCellMar>
          <w:top w:w="0" w:type="dxa"/>
          <w:left w:w="0" w:type="dxa"/>
          <w:bottom w:w="0" w:type="dxa"/>
          <w:right w:w="0" w:type="dxa"/>
        </w:tblCellMar>
      </w:tblPr>
      <w:tblGrid>
        <w:gridCol w:w="2120"/>
        <w:gridCol w:w="1573"/>
        <w:gridCol w:w="2676"/>
        <w:gridCol w:w="75"/>
      </w:tblGrid>
      <w:tr>
        <w:trPr/>
        <w:tc>
          <w:tcPr>
            <w:tcW w:w="212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b/>
              </w:rPr>
            </w:pPr>
            <w:r>
              <w:rPr>
                <w:b/>
              </w:rPr>
              <w:t>APPLIED OPTOELECTRONICS, INC.</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left"/>
              <w:rPr/>
            </w:pPr>
            <w:r>
              <w:rPr/>
              <w:t> </w:t>
            </w:r>
          </w:p>
        </w:tc>
        <w:tc>
          <w:tcPr>
            <w:tcW w:w="26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left"/>
              <w:rPr/>
            </w:pPr>
            <w:r>
              <w:rPr/>
              <w:t> </w:t>
            </w:r>
          </w:p>
        </w:tc>
        <w:tc>
          <w:tcPr>
            <w:tcW w:w="26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left"/>
              <w:rPr/>
            </w:pPr>
            <w:r>
              <w:rPr/>
              <w:t>By:</w:t>
            </w:r>
          </w:p>
        </w:tc>
        <w:tc>
          <w:tcPr>
            <w:tcW w:w="2676" w:type="dxa"/>
            <w:tcBorders>
              <w:bottom w:val="single" w:sz="8" w:space="0" w:color="000000"/>
            </w:tcBorders>
            <w:tcMar>
              <w:bottom w:w="28" w:type="dxa"/>
            </w:tcMar>
            <w:vAlign w:val="center"/>
          </w:tcPr>
          <w:p>
            <w:pPr>
              <w:pStyle w:val="TableContents"/>
              <w:bidi w:val="0"/>
              <w:spacing w:before="0" w:after="283"/>
              <w:jc w:val="left"/>
              <w:rPr>
                <w:i/>
              </w:rPr>
            </w:pPr>
            <w:r>
              <w:rPr>
                <w:i/>
              </w:rPr>
              <w:t xml:space="preserve">/s/ </w:t>
            </w:r>
            <w:r>
              <w:rPr>
                <w:i/>
                <w:caps/>
              </w:rPr>
              <w:t>DAVID C. KUO</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left"/>
              <w:rPr/>
            </w:pPr>
            <w:r>
              <w:rPr/>
              <w:t>Name</w:t>
            </w:r>
          </w:p>
        </w:tc>
        <w:tc>
          <w:tcPr>
            <w:tcW w:w="26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C. Kuo</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left"/>
              <w:rPr/>
            </w:pPr>
            <w:r>
              <w:rPr/>
              <w:t>Title:</w:t>
            </w:r>
          </w:p>
        </w:tc>
        <w:tc>
          <w:tcPr>
            <w:tcW w:w="2676" w:type="dxa"/>
            <w:tcBorders/>
            <w:vAlign w:val="center"/>
          </w:tcPr>
          <w:p>
            <w:pPr>
              <w:pStyle w:val="TableContents"/>
              <w:bidi w:val="0"/>
              <w:spacing w:before="0" w:after="283"/>
              <w:jc w:val="left"/>
              <w:rPr/>
            </w:pPr>
            <w:r>
              <w:rPr/>
              <w:t>Chief Legal Officer</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left"/>
              <w:rPr/>
            </w:pPr>
            <w:r>
              <w:rPr/>
              <w:t> </w:t>
            </w:r>
          </w:p>
        </w:tc>
        <w:tc>
          <w:tcPr>
            <w:tcW w:w="26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Date: March 13, 2025</w:t>
            </w:r>
          </w:p>
        </w:tc>
        <w:tc>
          <w:tcPr>
            <w:tcW w:w="1573" w:type="dxa"/>
            <w:tcBorders/>
            <w:vAlign w:val="center"/>
          </w:tcPr>
          <w:p>
            <w:pPr>
              <w:pStyle w:val="TableContents"/>
              <w:bidi w:val="0"/>
              <w:spacing w:before="0" w:after="283"/>
              <w:jc w:val="left"/>
              <w:rPr/>
            </w:pPr>
            <w:r>
              <w:rPr/>
              <w:t> </w:t>
            </w:r>
          </w:p>
        </w:tc>
        <w:tc>
          <w:tcPr>
            <w:tcW w:w="26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appliedopto_ex0401.htm"/>
      <w:bookmarkStart w:id="23" w:name="ksappliedopto_ex0401"/>
      <w:bookmarkEnd w:id="22"/>
      <w:bookmarkEnd w:id="23"/>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THIS EXHIBIT BECAUSE IT IS BOTH (I) NOT MATERIAL AND (II) THE TYPE OF INFORMATION THAT THE REGISTRANT TREATS AS PRIVATE OR CONFIDENTIAL AND HAS BEEN MARKED WITH “[***]” TO INDICATE WHERE OMISSIONS HAVE BEEN MADE.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WARRANT TO PURCHASE COMMON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INSTRUMENT HAVE NOT BEEN REGISTERED UNDER THE SECURITIES ACT OF 1933, AS AMENDED, OR THE SECURITIES LAWS OF ANY STATE AND MAY NOT BE TRANSFERRED, SOLD, OR OTHERWISE DISPOSED OF EXCEPT IN CONNECTION WITH AN EFFECTIVE REGISTRATION STATEMENT UNDER SUCH ACT AND APPLICABLE STATE SECURITIES LAWS OR UNDER AN EXEMPTION FROM REGISTRATION UNDER SUCH ACT OR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IS ISSUED IN CONNECTION WITH AND SUBJECT TO THE RESTRICTIONS ON TRANSFER AND OTHER PROVISIONS OF A TRANSACTION AGREEMENT, DATED AS OF MARCH 13, 2025, BY AND BETWEEN THE ISSUER OF THESE SECURITIES AND AMAZON.COM, INC., A DELAWARE CORPORATION, A COPY OF WHICH IS ON FILE WITH THE ISSUER. THE SECURITIES REPRESENTED BY THIS INSTRUMENT MAY NOT BE SOLD OR OTHERWISE TRANSFERRED EXCEPT IN COMPLIANCE WITH SAID AGREEMENT. ANY SALE OR OTHER TRANSFER NOT IN COMPLIANCE WITH SAID AGREEMENT WILL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br/>
        <w:t>to purchase</w:t>
        <w:br/>
        <w:t>7,945,399</w:t>
        <w:br/>
        <w:t>Shares of Common Stock of</w:t>
        <w:br/>
        <w:t>APPLIED OPTOELECTRONICS, INC.</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March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Number of Warrant Shares; Exercise Price</w:t>
      </w:r>
      <w:r>
        <w:rPr>
          <w:rFonts w:ascii="Times New Roman;Times;Serif" w:hAnsi="Times New Roman;Times;Serif"/>
          <w:b w:val="false"/>
          <w:i w:val="false"/>
          <w:caps w:val="false"/>
          <w:smallCaps w:val="false"/>
          <w:sz w:val="20"/>
        </w:rPr>
        <w:t>. This certifies that, for value received, the Warrantholder or its permitted assigns or transferees is entitled, upon the terms hereinafter set forth, to acquire from the Company, in whole or in part, up to a maximum aggregate of 7,945,399 fully paid and nonassessable shares of Common Stock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at a purchase price per share of Common Stock equal to $23.6954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Warrant Shares and Exercise Price are subject to adjustment and/or may be supplemented by or converted into other Equity Securities as provided herein, and all references to “Common Stock,” “Warrant Shares,” and “Exercise Price” herein shall be deemed to include any such adjustment, supplement, and/or conversion or series of adjustments, supplements, or conversions.</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of Warrant; Term; Other Agreements; Book Entry; Cancelation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following the end of each calendar quarter during which a Vesting Event has occurred (or promptly after a written request by Amazon for a Notice of Vesting Event as of a certain day), the Company shall deliver to the Warrantholder a Notice of Vesting Event in the form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the delivery, nor the failure of the Company to deliver, such Notice of Vesting Event shall affect or impair the Warrantholder’s rights or the Company’s obligations 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(B) compliance with the Antitrust Laws (including with respect to any Warrant Shares issuable from exercise of this Warrant upon a Vesting Event or otherwise), as may be applicable, the right to purchase Warrant Shares represented by this Warrant is exercisable, in whole or in part by the Warrantholder, at any time or from time to time, from and after the applicable Vesting Event, but in no event later than 5:00 p.m., Seattle time, on March 13, 2035 (subject to extension in accordance with </w:t>
      </w:r>
      <w:r>
        <w:rPr>
          <w:rFonts w:ascii="Times New Roman;Times;Serif" w:hAnsi="Times New Roman;Times;Serif"/>
          <w:b w:val="false"/>
          <w:i w:val="false"/>
          <w:caps w:val="false"/>
          <w:smallCaps w:val="false"/>
          <w:sz w:val="20"/>
          <w:u w:val="single"/>
        </w:rPr>
        <w:t>Section 2(iii)</w:t>
      </w:r>
      <w:r>
        <w:rPr>
          <w:rFonts w:ascii="Times New Roman;Times;Serif" w:hAnsi="Times New Roman;Times;Serif"/>
          <w:b w:val="false"/>
          <w:i w:val="false"/>
          <w:caps w:val="false"/>
          <w:smallCaps w:val="false"/>
          <w:sz w:val="20"/>
        </w:rPr>
        <w:t>, such time as extended if applicable, the “</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and such period from and after the applicable Vesting Event through the Expiration Time, the “</w:t>
      </w:r>
      <w:r>
        <w:rPr>
          <w:rFonts w:ascii="Times New Roman;Times;Serif" w:hAnsi="Times New Roman;Times;Serif"/>
          <w:b w:val="false"/>
          <w:i w:val="false"/>
          <w:caps w:val="false"/>
          <w:smallCaps w:val="false"/>
          <w:sz w:val="20"/>
          <w:u w:val="single"/>
        </w:rPr>
        <w:t>Exercise Period</w:t>
      </w:r>
      <w:r>
        <w:rPr>
          <w:rFonts w:ascii="Times New Roman;Times;Serif" w:hAnsi="Times New Roman;Times;Serif"/>
          <w:b w:val="false"/>
          <w:i w:val="false"/>
          <w:caps w:val="false"/>
          <w:smallCaps w:val="false"/>
          <w:sz w:val="20"/>
        </w:rPr>
        <w:t xml:space="preserve">”), by (a) the delivery of the Notice of Exercise, to the Company in accordance with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(or such other office or agency of the Company in the United States as it may designate by notice to the Warrantholder in accordance with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hereof (the “</w:t>
      </w:r>
      <w:r>
        <w:rPr>
          <w:rFonts w:ascii="Times New Roman;Times;Serif" w:hAnsi="Times New Roman;Times;Serif"/>
          <w:b w:val="false"/>
          <w:i w:val="false"/>
          <w:caps w:val="false"/>
          <w:smallCaps w:val="false"/>
          <w:sz w:val="20"/>
          <w:u w:val="single"/>
        </w:rPr>
        <w:t>Designated Company Office</w:t>
      </w:r>
      <w:r>
        <w:rPr>
          <w:rFonts w:ascii="Times New Roman;Times;Serif" w:hAnsi="Times New Roman;Times;Serif"/>
          <w:b w:val="false"/>
          <w:i w:val="false"/>
          <w:caps w:val="false"/>
          <w:smallCaps w:val="false"/>
          <w:sz w:val="20"/>
        </w:rPr>
        <w:t>”)) and (b) payment of the Exercise Price for the Warrant Shares thereby purchased by, at the sole election of the Warrantholder, either: (i) by wire transfer of immediately available funds to an account designated by the Company (such manner of exercise,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or (ii) without payment of cash, by reducing the number of Warrant Shares obtainable upon the exercise of this Warrant (either in full or in part, as applicable) and payment of the Exercise Price in cash so as to yield a number of Warrant Shares obtainable upon the exercise of this Warrant (either in full or in two or more parts, as applicable) equal to the product of (x) the number of Warrant Shares issuable upon the exercise of this Warrant (either in full or in two or more parts, as applicable) (if payment of the Exercise Price were being made in cash) and (y) the Cashless Exercise Ratio (such manner of exercise,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product shall be rounded to the nearest whole Warrant Share. Notwithstanding any other provision hereof, if an exercise of any portion of this Warrant is to be made in connection with a public offering or an Acquisition Transaction, such exercise may at the election of the Warrantholder be conditioned upon the consummation of such transaction, in which case such exercise shall be inclusive of any vesting that would occur upon the consummation of or immediately prior to such transaction but not be deemed to be effective until immediately prior to the consummation of such transaction. If such transaction is not consummated, such exercise shall be deemed void if so requested by Warrantholder in a Notice of Exercise.</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if at any time during the Exercise Period the Warrantholder has not exercised this Warrant in full as a result of (I) there being insufficient Warrant Shares available for issuance, (II) the lack of any required regulatory, corporate or other approval (including, for the avoidance of doubt, any approval required under the Antitrust Laws (including the Initial Antitrust Clearance), if so applicable), or (III) the Company has not been current with its Exchange Act public reporting requirements at any time in the previous 30 days (collectively, the “</w:t>
      </w:r>
      <w:r>
        <w:rPr>
          <w:rFonts w:ascii="Times New Roman;Times;Serif" w:hAnsi="Times New Roman;Times;Serif"/>
          <w:b w:val="false"/>
          <w:i w:val="false"/>
          <w:caps w:val="false"/>
          <w:smallCaps w:val="false"/>
          <w:sz w:val="20"/>
          <w:u w:val="single"/>
        </w:rPr>
        <w:t>Exercise Conditions</w:t>
      </w:r>
      <w:r>
        <w:rPr>
          <w:rFonts w:ascii="Times New Roman;Times;Serif" w:hAnsi="Times New Roman;Times;Serif"/>
          <w:b w:val="false"/>
          <w:i w:val="false"/>
          <w:caps w:val="false"/>
          <w:smallCaps w:val="false"/>
          <w:sz w:val="20"/>
        </w:rPr>
        <w:t>”), the Expiration Time shall be extended until 60 days after such date as the Warrantholder is able to acquire all of the vested Warrant Shares without violating any Exercise Conditions, (b) if at the Expiration Time, or any time prior to the Expiration Time, the Company is or has been party to a definitive agreement for an Acquisition Transaction that has not closed, the Expiration Time shall be extended until five (5) Business Days after the closing of such Acquisition Transaction, or twenty (20) Business Days after the date on which the definitive agreement for such Acquisition Transaction has been terminated, as the case may be, or (c) if at any time prior to the Expiration Time, a third party has publicly filed, or announced its intention to file, a tender offer for the Company which if consummated would result in an Acquisition Transaction, and without a definitive agreement for an Acquisition Transaction with respect to such tender offer having been executed by the Company, then the Expiration Time shall be extended until the later of (I) five (5) Business Days after the expiration time of the tender offer, or (II) if no tender offer is launched, twenty-five (25) Business Days after the public announcement of such third party’s intention to launch such tender offer, but if a tender offer is launched during such period, then five (5) Business Days after the expiration time of the tender offer.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Warrantholder has not exercised this Warrant in its entirety, following each exercise the Warrantholder shall be entitled to receive from the Company, upon request, a new warrant of like tenor in substantially identical form for the purchase of that number of Warrant Shares equal to the difference between the maximum aggregate number of Warrant Shares and the number of Warrant Shares as to which this Warrant is or has been so exercised.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either (a) maintain itself, or (b) cause its transfer agent to maintain, in each case, books for the original issuance and the transfer and exercise of the Warrant issuable in connection therewith, in each case in accordance with the terms hereof in book-entry form. If the Company maintains books for the Warrant, then (I) the Company agrees that it will accept instructions from the Warrantholder for the transfer and exercise of the Warrants, to the extent permitted in accordance with the terms of the Warrant and the Transaction Agreement, and (II) the Company shall not require the delivery of the Warrant, which at all times shall be in book-entry form, in connection with the transfer or exercise thereof. The Company shall be responsible for all fees and expenses with respect to maintaining the Warrant in book-entry form. In no event shall Warrantholder be required to post any bond or incur any other financial cost related to the book entry existence of this Warrant.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Warrant, including with respect to its cancelation, is subject to the terms and conditions of the Transaction Agreement. Without affecting in any manner any prior exercise of this Warrant (or any Warrant Shares previously issued hereunder), if (a) the Transaction Agreement is terminated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thereof or (b) the Warrantholder delivers to the Company a written, irrevocable commitment not to exercise this Warrant, then the Company shall have no obligation to issue, and the Warrantholder shall have no right to acquire, the unvested portion of any Warrant Shares under this Warrant.</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Warrant Shares; Authorization; Listing</w:t>
      </w:r>
      <w:r>
        <w:rPr>
          <w:rFonts w:ascii="Times New Roman;Times;Serif" w:hAnsi="Times New Roman;Times;Serif"/>
          <w:b w:val="false"/>
          <w:i w:val="false"/>
          <w:caps w:val="false"/>
          <w:smallCaps w:val="false"/>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 notice of exercise for part or all of this Warrant, the Company shall comply with the Delivery Covenants.</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to issue and deliver Warrant Shares in accordance with the terms and subject to the conditions hereof are absolute and unconditional, irrespective of any action or inaction by the Warrantholder to enforce the same, any waiver or consent with respect to any provision hereof, the recovery of any judgment against any Person or any action to enforce the same, or any setoff, counterclaim, recoupment, limitation, or termination; provided, however, that the Company shall not be required to deliver Warrant Shares with respect to an exercise prior to the Warrantholder’s delivery of the associated Exercise Price (or notice of Cashless Exercise).</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 Shares so issued shall be deemed for all purposes to have been issued to the Warrantholder as of the close of business on the date on which this Warrant and payment of the Exercise Price (or notice of Cashless Exercise) are delivered to the Company in accordance with the terms of this Warrant, notwithstanding that the stock transfer books of the Company may then be closed or book-entries representing such Warrant Shares may not be actually delivered on such date or credited to the Warrantholder’s DTC account, as the case may be. The Company shall at all times reserve and keep available, out of its authorized but unissued Common Stock, the Warrant Shares, solely for the purpose of providing for the exercise of this Warrant, the aggregate Warrant Shares then issuable upon exercise of this Warrant in full (disregarding whether or not this Warrant is exercisable by its terms at any such time).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at its sole expense, procure, subject to issuance or notice of issuance, the listing of any Warrant Shares issuable upon exercise of this Warrant on the Principal Trading Market on which such same class of Equity Securities are then listed or traded, promptly after such Warrant Shares are eligible for listing thereon. .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other Equity Securities or scrip representing fractional Warrant Shares or other Equity Securities shall be issued upon any exercise of this Warrant. In lieu of any fractional share to which a Warrantholder would otherwise be entitled, the fractional Warrant Shares or other Equity Securities shall be rounded up to the next whole Warrant Share or other Equity Securities, and the Warrantholder shall be entitled to receive such rounded-up number of Warrant Shares or other Equity Securities.</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Rights as Shareholders; Transfer Books</w:t>
      </w:r>
      <w:r>
        <w:rPr>
          <w:rFonts w:ascii="Times New Roman;Times;Serif" w:hAnsi="Times New Roman;Times;Serif"/>
          <w:b w:val="false"/>
          <w:i w:val="false"/>
          <w:caps w:val="false"/>
          <w:smallCaps w:val="false"/>
          <w:sz w:val="20"/>
        </w:rPr>
        <w:t>. Without limiting in any respect the provisions of the Transaction Agreement and except as otherwise provided by the terms of this Warrant, this Warrant does not entitle the Warrantholder to (i) consent to any action of the shareholders of the Company, (ii) receive notice of or vote at any meeting of the shareholders, (iii) receive notice of any other proceedings of the Company, or (iv) exercise any other rights whatsoever, in any such case, as a stockholder of the Company prior to the date of exercise of this Warrant.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Issuance of this Warrant and issuance of certificates or book entries for Warrant Shares to the Warrantholder upon the exercise of this Warrant shall be made without charge to the Warrantholder for any issue, registration or transfer tax, assessment or similar governmental charge (other than any such taxes, assessments or charges in respect of any transfer occurring contemporaneously therewith) or other incidental expense in respect of such issuance, all of which taxes, assessments, charges, and expenses shall be paid by the Company, other than the costs and expenses of counsel for Warrantholder or its Affiliates.</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Transfer/Assignment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Warrant may be transferred only in accordance with the terms of the Transaction Agreement. Subject to compliance with the first sentence of this </w:t>
      </w:r>
      <w:r>
        <w:rPr>
          <w:rFonts w:ascii="Times New Roman;Times;Serif" w:hAnsi="Times New Roman;Times;Serif"/>
          <w:b w:val="false"/>
          <w:i w:val="false"/>
          <w:caps w:val="false"/>
          <w:smallCaps w:val="false"/>
          <w:sz w:val="20"/>
          <w:u w:val="single"/>
        </w:rPr>
        <w:t>Section 7(i)</w:t>
      </w:r>
      <w:r>
        <w:rPr>
          <w:rFonts w:ascii="Times New Roman;Times;Serif" w:hAnsi="Times New Roman;Times;Serif"/>
          <w:b w:val="false"/>
          <w:i w:val="false"/>
          <w:caps w:val="false"/>
          <w:smallCaps w:val="false"/>
          <w:sz w:val="20"/>
        </w:rPr>
        <w:t xml:space="preserve">, the legend as set forth on the cover page of this Warrant and the terms of the Transaction Agreement, this Warrant and all rights hereunder are transferable, in whole or in part, upon the books of the Company by the registered holder hereof in person or by a duly authorized attorney, and a new Warrant shall be made and delivered by the Company, of the same tenor and date as this Warrant but registered in the name of one or more transferees. If the transferring holder does not transfer the entirety of its rights to purchase all Warrant Shares hereunder, such holder shall be 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 in accordance with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paid by the Company.</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for so long as required by the Transaction Agreement, any Warrant book entry issued hereunder shall contain a legend as set forth in Section 4.2 of the Transaction Agreement.</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Adjustments and Other Rights</w:t>
      </w:r>
      <w:r>
        <w:rPr>
          <w:rFonts w:ascii="Times New Roman;Times;Serif" w:hAnsi="Times New Roman;Times;Serif"/>
          <w:b w:val="false"/>
          <w:i w:val="false"/>
          <w:caps w:val="false"/>
          <w:smallCaps w:val="false"/>
          <w:sz w:val="20"/>
        </w:rPr>
        <w:t xml:space="preserve">. The Exercise Price and Warrant Shares issuable upon exercise of this Warrant shall be subject to adjustment from time to time as follows;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more than one subsection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is applicable to a single event, the subsection shall be applied that produces the largest adjustment, and no single event shall cause an adjustment under more than one subsection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so as to result in duplication.</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Splits, Subdivisions, Reclassifications, or Combinations</w:t>
      </w:r>
      <w:r>
        <w:rPr>
          <w:rFonts w:ascii="Times New Roman;Times;Serif" w:hAnsi="Times New Roman;Times;Serif"/>
          <w:b w:val="false"/>
          <w:i w:val="false"/>
          <w:caps w:val="false"/>
          <w:smallCaps w:val="false"/>
          <w:sz w:val="20"/>
        </w:rPr>
        <w:t>. If the Company shall at any time or from time to time (a) declare, order, pay, or make a dividend or make a distribution on its Common Stock in additional shares of Common Stock, (b) split, subdivide, or reclassify the outstanding shares of Common Stock into a greater number of shares, or (c) combine or reclassify the outstanding shares of Common Stock into a smaller number of shares, the number of Warrant Shares issuable upon exercise of this Warrant at the time of the record date for such dividend or distribution or the effective date of such split, subdivision, combination, or reclassification shall be proportionately adjusted so that the Warrantholder immediately after such record date or effective date, as the case may be, shall be entitled to purchase the number of shares of Common Stock which such holder would have owned or been entitled to receive in respect of the shares of Common Stock subject to this Warrant after such date had this Warrant been exercised in full immediately prior to such record date or effective date, as the case may be (disregarding whether or not this Warrant had been exercisable by its terms at such time). In the event of such adjustment, the Exercise Price in effect at the time of the record date for such dividend or distribution or the effective date of such split, subdivision, combination, or reclassification shall be immediately adjusted to the number obtained by dividing (x) the product of (1) the number of Warrant Shares issuable upon the exercise of this Warrant in full before the adjustment determined in accordance with the immediately preceding sentence (disregarding whether or not this Warrant was exercisable by its terms at such time) and (2) the Exercise Price in effect immediately prior to the record or effective date, as the case may be, for the dividend, distribution, split, subdivision, combination, or reclassification giving rise to such adjustment by (y) the new number of Warrant Shares issuable upon exercise of the Warrant in full determined in accordance with the immediately preceding sentence (disregarding whether or not this Warrant is exercisable by its terms at such time).</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Issuances of Common Stock or Convertible Securities</w:t>
      </w:r>
      <w:r>
        <w:rPr>
          <w:rFonts w:ascii="Times New Roman;Times;Serif" w:hAnsi="Times New Roman;Times;Serif"/>
          <w:b w:val="false"/>
          <w:i w:val="false"/>
          <w:caps w:val="false"/>
          <w:smallCaps w:val="false"/>
          <w:sz w:val="20"/>
        </w:rPr>
        <w:t>. If the Company shall at any time following the Specified Date or from time to time thereafter issue shares of Common Stock (or rights or warrants or any other securities or rights exercisable or convertible into or exchangeable for shares of Common Stock, including through distributions on outstanding securities (collectively, “</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xml:space="preserve">”)) (other than transactions to which the adjustments set forth in </w:t>
      </w:r>
      <w:r>
        <w:rPr>
          <w:rFonts w:ascii="Times New Roman;Times;Serif" w:hAnsi="Times New Roman;Times;Serif"/>
          <w:b w:val="false"/>
          <w:i w:val="false"/>
          <w:caps w:val="false"/>
          <w:smallCaps w:val="false"/>
          <w:sz w:val="20"/>
          <w:u w:val="single"/>
        </w:rPr>
        <w:t>Section 8(i)</w:t>
      </w:r>
      <w:r>
        <w:rPr>
          <w:rFonts w:ascii="Times New Roman;Times;Serif" w:hAnsi="Times New Roman;Times;Serif"/>
          <w:b w:val="false"/>
          <w:i w:val="false"/>
          <w:caps w:val="false"/>
          <w:smallCaps w:val="false"/>
          <w:sz w:val="20"/>
        </w:rPr>
        <w:t xml:space="preserve"> are applicable), (1) without consideration or (2) at a consideration per share (or having a conversion price per share) that is less than the Exercise Price (the date of such issuance, the “</w:t>
      </w:r>
      <w:r>
        <w:rPr>
          <w:rFonts w:ascii="Times New Roman;Times;Serif" w:hAnsi="Times New Roman;Times;Serif"/>
          <w:b w:val="false"/>
          <w:i w:val="false"/>
          <w:caps w:val="false"/>
          <w:smallCaps w:val="false"/>
          <w:sz w:val="20"/>
          <w:u w:val="single"/>
        </w:rPr>
        <w:t>Pricing Date</w:t>
      </w:r>
      <w:r>
        <w:rPr>
          <w:rFonts w:ascii="Times New Roman;Times;Serif" w:hAnsi="Times New Roman;Times;Serif"/>
          <w:b w:val="false"/>
          <w:i w:val="false"/>
          <w:caps w:val="false"/>
          <w:smallCaps w:val="false"/>
          <w:sz w:val="20"/>
        </w:rPr>
        <w:t>”) then, in such event:</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90" w:right="0" w:firstLine="20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issuable upon the exercise of this Warrant held by the Warrantholder on the Pricing Date (the “</w:t>
      </w:r>
      <w:r>
        <w:rPr>
          <w:rFonts w:ascii="Times New Roman;Times;Serif" w:hAnsi="Times New Roman;Times;Serif"/>
          <w:b w:val="false"/>
          <w:i w:val="false"/>
          <w:caps w:val="false"/>
          <w:smallCaps w:val="false"/>
          <w:sz w:val="20"/>
          <w:u w:val="single"/>
        </w:rPr>
        <w:t>Initial Number</w:t>
      </w:r>
      <w:r>
        <w:rPr>
          <w:rFonts w:ascii="Times New Roman;Times;Serif" w:hAnsi="Times New Roman;Times;Serif"/>
          <w:b w:val="false"/>
          <w:i w:val="false"/>
          <w:caps w:val="false"/>
          <w:smallCaps w:val="false"/>
          <w:sz w:val="20"/>
        </w:rPr>
        <w:t>”) shall be increased to the number obtained by multiplying the Initial Number by a fraction (I) the numerator of which shall be the sum of (x) the number of shares of Common Stock outstanding immediately prior to the Pricing Date and (y) the number of additional shares of Common Stock issued (or into which Convertible Securities may be converted) on the Pricing Date and (II) the denominator of which shall be the sum of (x) the number of shares of Common Stock outstanding immediately prior to the Pricing Date and (y) the number of shares of Common Stock (rounded to the nearest whole share) which the Aggregate Consideration in respect of such issuance of shares of Common Stock (or Convertible Securities) would purchase at the Market Price of Common Stock on the Trading Day immediately prior to the Pricing Date; and</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90" w:right="0" w:firstLine="2070"/>
        <w:jc w:val="left"/>
        <w:rPr>
          <w:caps w:val="false"/>
          <w:smallCaps w:val="false"/>
        </w:rPr>
      </w:pPr>
      <w:r>
        <w:rPr>
          <w:caps w:val="false"/>
          <w:smallCaps w:val="false"/>
        </w:rPr>
        <w:t> </w:t>
      </w:r>
    </w:p>
    <w:p>
      <w:pPr>
        <w:pStyle w:val="TextBody"/>
        <w:bidi w:val="0"/>
        <w:spacing w:before="0" w:after="0"/>
        <w:ind w:left="90" w:right="0" w:firstLine="2070"/>
        <w:jc w:val="left"/>
        <w:rPr>
          <w:caps w:val="false"/>
          <w:smallCaps w:val="false"/>
        </w:rPr>
      </w:pPr>
      <w:r>
        <w:rPr>
          <w:caps w:val="false"/>
          <w:smallCaps w:val="false"/>
        </w:rPr>
        <w:t> </w:t>
      </w:r>
    </w:p>
    <w:p>
      <w:pPr>
        <w:pStyle w:val="TextBody"/>
        <w:bidi w:val="0"/>
        <w:spacing w:before="0" w:after="0"/>
        <w:ind w:left="90" w:right="0" w:firstLine="207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90" w:right="0" w:firstLine="2070"/>
        <w:jc w:val="left"/>
        <w:rPr>
          <w:caps w:val="false"/>
          <w:smallCaps w:val="false"/>
        </w:rPr>
      </w:pPr>
      <w:r>
        <w:rPr>
          <w:caps w:val="false"/>
          <w:smallCaps w:val="false"/>
        </w:rPr>
        <w:t> </w:t>
      </w:r>
    </w:p>
    <w:p>
      <w:pPr>
        <w:pStyle w:val="TextBody"/>
        <w:bidi w:val="0"/>
        <w:spacing w:before="0" w:after="0"/>
        <w:ind w:left="90" w:right="0" w:firstLine="20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upon exercise of this Warrant held by the Warrantholder on the Pricing Date shall be adjusted by multiplying such Exercise Price in effect immediately prior to the Pricing Date by a fraction, the numerator of which shall be the number of shares of Common Stock issuable upon exercise of this Warrant in full immediately prior to the adjustment in accordance with clause (A) above (disregarding whether or not this Warrant was exercisable by its terms at such time), and the denominator of which shall be the number of shares of Common Stock issuable upon exercise of this Warrant in full immediately after the adjustment in accordance with clause (A) above (disregarding whether or not this Warrant is exercisable by its terms at such time).</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90" w:right="0" w:firstLine="207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foregoing, (1) in the case of the issuance of such shares of Common Stock or Convertible Securities for, in whole or in part, any noncash property (or in the case of any noncash property payable upon conversion of any such Convertible Securities), the consideration represented by such noncash property shall be deemed to be the Market Price (in the case of securities) and/or Fair Market Value (in all other cases), as applicable, of such noncash property as of the Trading Day immediately prior to the Pricing Date (before deduction of any related expenses payable to third parties, including discounts and commissions); and (2) if the Exercise Price and the number of Warrant Shares issuable upon exercise of this Warrant shall have been adjusted upon the issuance of any Convertible Securities in accordance with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solely to the extent the Exercise Price and the number of Warrant Shares has been properly reflected for the actual issuance of shares of Common Stock upon the actual conversion of such Convertible Securities, no further adjustment of the Exercise Price and the number of Warrant Shares issuable upon exercise of this Warrant shall be made for the actual issuance of shares of Common Stock upon the actual conversion of such Convertible Securities in accordance with their terms. Any adjustment made under this </w:t>
      </w:r>
      <w:r>
        <w:rPr>
          <w:rFonts w:ascii="Times New Roman;Times;Serif" w:hAnsi="Times New Roman;Times;Serif"/>
          <w:b w:val="false"/>
          <w:i w:val="false"/>
          <w:caps w:val="false"/>
          <w:smallCaps w:val="false"/>
          <w:sz w:val="20"/>
          <w:u w:val="single"/>
        </w:rPr>
        <w:t>Section 8(ii)</w:t>
      </w:r>
      <w:r>
        <w:rPr>
          <w:rFonts w:ascii="Times New Roman;Times;Serif" w:hAnsi="Times New Roman;Times;Serif"/>
          <w:b w:val="false"/>
          <w:i w:val="false"/>
          <w:caps w:val="false"/>
          <w:smallCaps w:val="false"/>
          <w:sz w:val="20"/>
        </w:rPr>
        <w:t xml:space="preserve"> shall become effective immediately upon the date of such issuance. For the avoidance of doubt, no increase to the Exercise Price or decrease in the number of Warrant Shares issuable upon exercise of this Warrant shall be made in accordance with this </w:t>
      </w:r>
      <w:r>
        <w:rPr>
          <w:rFonts w:ascii="Times New Roman;Times;Serif" w:hAnsi="Times New Roman;Times;Serif"/>
          <w:b w:val="false"/>
          <w:i w:val="false"/>
          <w:caps w:val="false"/>
          <w:smallCaps w:val="false"/>
          <w:sz w:val="20"/>
          <w:u w:val="single"/>
        </w:rPr>
        <w:t>Section 8(ii)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xml:space="preserve">. If the Company, at any time while this Warrant is outstanding, declares or makes any dividend or distributes to holders of shares of Common Stock (and not to the Warrantholder) evidence of its indebtedness or assets (including cash and cash dividends or property) or rights or warrants to subscribe for or purchase any security (including, without limitation, any distribution of cash, stock, or other securities, property, or options by way of a dividend, spin-off, reclassification, corporate rearrangement, scheme of arrangement, or other similar transaction other than dividends or distributions under </w:t>
      </w:r>
      <w:r>
        <w:rPr>
          <w:rFonts w:ascii="Times New Roman;Times;Serif" w:hAnsi="Times New Roman;Times;Serif"/>
          <w:b w:val="false"/>
          <w:i w:val="false"/>
          <w:caps w:val="false"/>
          <w:smallCaps w:val="false"/>
          <w:sz w:val="20"/>
          <w:u w:val="single"/>
        </w:rPr>
        <w:t>Section 8(i)</w:t>
      </w:r>
      <w:r>
        <w:rPr>
          <w:rFonts w:ascii="Times New Roman;Times;Serif" w:hAnsi="Times New Roman;Times;Serif"/>
          <w:b w:val="false"/>
          <w:i w:val="false"/>
          <w:caps w:val="false"/>
          <w:smallCaps w:val="false"/>
          <w:sz w:val="20"/>
        </w:rPr>
        <w:t>) (collectively,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then the Warrantholder will be entitled to participate in such Distribution and be deemed to have exercised, and be the holder of, all Warrant Shares, whether vested or not, subject to this Warrant before the record date of such Distribution.</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Acquisition Transactions</w:t>
      </w:r>
      <w:r>
        <w:rPr>
          <w:rFonts w:ascii="Times New Roman;Times;Serif" w:hAnsi="Times New Roman;Times;Serif"/>
          <w:b w:val="false"/>
          <w:i w:val="false"/>
          <w:caps w:val="false"/>
          <w:smallCaps w:val="false"/>
          <w:sz w:val="20"/>
        </w:rPr>
        <w:t xml:space="preserve">. In case of any Acquisition Transaction or reclassification of Common Stock (other than a reclassification of Common Stock subject to adjustment under </w:t>
      </w:r>
      <w:r>
        <w:rPr>
          <w:rFonts w:ascii="Times New Roman;Times;Serif" w:hAnsi="Times New Roman;Times;Serif"/>
          <w:b w:val="false"/>
          <w:i w:val="false"/>
          <w:caps w:val="false"/>
          <w:smallCaps w:val="false"/>
          <w:sz w:val="20"/>
          <w:u w:val="single"/>
        </w:rPr>
        <w:t>Section 8(i)</w:t>
      </w:r>
      <w:r>
        <w:rPr>
          <w:rFonts w:ascii="Times New Roman;Times;Serif" w:hAnsi="Times New Roman;Times;Serif"/>
          <w:b w:val="false"/>
          <w:i w:val="false"/>
          <w:caps w:val="false"/>
          <w:smallCaps w:val="false"/>
          <w:sz w:val="20"/>
        </w:rPr>
        <w:t>), notwithstanding anything to the contrary contained herein, (a) the Company shall notify the Warrantholder in writing of such Acquisition Transaction or reclassification as promptly as practicable (but in no event later than twenty (20) Business Days prior to the effectiveness thereof), which notice shall specify the expected date on which such Acquisition Transaction is to take place and set forth the facts with respect thereto as shall be reasonably necessary to indicate the amount and type of consideration to each outstanding share of Common Stock, (b) the unvested portion of the Warrant Shares shall vest and become nonforfeitable and exercisable immediately prior to the consummation of such Acquisition Transaction or reclassification, and (c) in the event of the consummation prior to the Expiration Time of an Acquisition Transaction where the consideration in such transaction is not solely cash consideration, the Warrantholder’s right to receive Warrant Shares upon exercise of this Warrant shall, at the option of the Warrantholder and to the fullest extent legally possible under applicable Laws, be converted, effective upon the occurrence of such Acquisition Transaction or reclassification, into (I) the right to exercise this Warrant to acquire the number of shares of stock or other securities or property (including cash) that the shares of Common Stock issuable (at the time of such Acquisition Transaction or reclassification) upon exercise of this Warrant immediately prior to such Acquisition Transaction or reclassification would have been entitled to receive upon consummation of such Acquisition Transaction or reclassification or, (II) if any exemption, authorization, consent, notice, or approval under Applicable Law is required or advisable from a Governmental Entity in connection with such Acquisition Transaction or reclassification, upon Amazon’s election in its sole discretion, cash in an amount equal to the shares of Common Stock issuable (at the time of such Acquisition Transaction or reclassification) upon exercise of this Warrant immediately prior to such Acquisition Transaction or reclassification that the Warrantholder would have been entitled to receive upon consummation of such Acquisition Transaction or reclassification based on the Fair Market Value of such consideration (or in case of a tender offer, at the price in cash offered by the offeror to the other shareholders). In determining the kind and amount of stock, securities, or property receivable upon exercise of this Warrant upon and following adjustment under this paragraph, if the holders of Common Stock have the right to elect the kind or amount of consideration receivable upon consummation of such Acquisition Transaction, then the Warrantholder shall have the right to make the same election upon exercise of this Warrant with respect to the number of shares of stock or other securities or property which the Warrantholder shall receive upon exercise of this Warrant. The Company, or the Person or Persons formed by the applicable Acquisition Transaction or reclassification, or that acquire(s) the applicable shares of Common Stock, as the case may be, shall make lawful provisions to establish such rights and to provide for such adjustments that, for events from and after such Acquisition Transaction or reclassification, shall be as nearly equivalent as possible to the rights and adjustments provided for herein, and the Company shall not be a party to or permit any such Acquisition Transaction or reclassification to occur unless such provisions are made or not precluded, as the case may be, as a part of the terms thereof.</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Rounding of Calculations; Minimum Adjustments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be made to the nearest one-tenth (1/10th) of a cent or to the nearest one-hundredth (1/100th) of a share, as the case may be. Notwithstanding any provision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to the contrary,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 share of Common Stock, or more.</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Timing of Issuance of Additional Securities Upon Certain Adjustments</w:t>
      </w:r>
      <w:r>
        <w:rPr>
          <w:rFonts w:ascii="Times New Roman;Times;Serif" w:hAnsi="Times New Roman;Times;Serif"/>
          <w:b w:val="false"/>
          <w:i w:val="false"/>
          <w:caps w:val="false"/>
          <w:smallCaps w:val="false"/>
          <w:sz w:val="20"/>
        </w:rPr>
        <w:t xml:space="preserve">. In any event in which (a)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require that an adjustment (the “</w:t>
      </w:r>
      <w:r>
        <w:rPr>
          <w:rFonts w:ascii="Times New Roman;Times;Serif" w:hAnsi="Times New Roman;Times;Serif"/>
          <w:b w:val="false"/>
          <w:i w:val="false"/>
          <w:caps w:val="false"/>
          <w:smallCaps w:val="false"/>
          <w:sz w:val="20"/>
          <w:u w:val="single"/>
        </w:rPr>
        <w:t>Subject Adjustment</w:t>
      </w:r>
      <w:r>
        <w:rPr>
          <w:rFonts w:ascii="Times New Roman;Times;Serif" w:hAnsi="Times New Roman;Times;Serif"/>
          <w:b w:val="false"/>
          <w:i w:val="false"/>
          <w:caps w:val="false"/>
          <w:smallCaps w:val="false"/>
          <w:sz w:val="20"/>
        </w:rPr>
        <w:t>”) shall become effective immediately after a record date (the “</w:t>
      </w:r>
      <w:r>
        <w:rPr>
          <w:rFonts w:ascii="Times New Roman;Times;Serif" w:hAnsi="Times New Roman;Times;Serif"/>
          <w:b w:val="false"/>
          <w:i w:val="false"/>
          <w:caps w:val="false"/>
          <w:smallCaps w:val="false"/>
          <w:sz w:val="20"/>
          <w:u w:val="single"/>
        </w:rPr>
        <w:t>Subject Record Date</w:t>
      </w:r>
      <w:r>
        <w:rPr>
          <w:rFonts w:ascii="Times New Roman;Times;Serif" w:hAnsi="Times New Roman;Times;Serif"/>
          <w:b w:val="false"/>
          <w:i w:val="false"/>
          <w:caps w:val="false"/>
          <w:smallCaps w:val="false"/>
          <w:sz w:val="20"/>
        </w:rPr>
        <w:t xml:space="preserve">”) for an event and (b) the Warrantholder exercises this Warrant after the Subject Record Date and before the consummation of such event, the Company may defer until the consummation of such event issuing to such Warrantholder the incrementally additional shares of Common Stock or other property issuable upon such exercise by reason of the Subject Adjustment;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upon request shall promptly deliver to such Warrantholder a due bill or other appropriate instrument evidencing such Warrantholder’s right to receive such additional shares (or other property, as applicable) upon the consummation of such event.</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Statement Regarding Adjustments</w:t>
      </w:r>
      <w:r>
        <w:rPr>
          <w:rFonts w:ascii="Times New Roman;Times;Serif" w:hAnsi="Times New Roman;Times;Serif"/>
          <w:b w:val="false"/>
          <w:i w:val="false"/>
          <w:caps w:val="false"/>
          <w:smallCaps w:val="false"/>
          <w:sz w:val="20"/>
        </w:rPr>
        <w:t xml:space="preserve">. Whenever the Exercise Price or the Warrant Shares into which this Warrant is exercisable shall be adjusted as provided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the Company shall promptly prepare a statement showing in reasonable detail the facts requiring such adjustment and the Exercise Price that shall be in effect and the Warrant Shares into which this Warrant shall be exercisable after such adjustment, and cause a copy of such statement to be delivered to the Warrantholder as promptly as practicable after the event giving rise to the adjustment.</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Adjustment Event</w:t>
      </w:r>
      <w:r>
        <w:rPr>
          <w:rFonts w:ascii="Times New Roman;Times;Serif" w:hAnsi="Times New Roman;Times;Serif"/>
          <w:b w:val="false"/>
          <w:i w:val="false"/>
          <w:caps w:val="false"/>
          <w:smallCaps w:val="false"/>
          <w:sz w:val="20"/>
        </w:rPr>
        <w:t xml:space="preserve">. In the event that the Company shall propose to take any action of the type described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(but only if the action of the type described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would result in an adjustment in the Exercise Price or the Warrant Shares into which this Warrant is exercisable or a change in the type of securities or property to be delivered upon exercise of this Warrant), the Company shall provide as promptly as practicable written notice to the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ten days prior to the date so fixed. In case of all other actions, such notice shall be given at least ten days prior to the taking of such proposed action unless the Company reasonably determines in good faith that, given the nature of such action, the provision of such notice at least ten days in advance is not reasonably practicable from a timing perspective, in which case such notice shall be given as far in advance prior to the taking of such proposed action as is reasonably practicable from a timing perspective.</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 Rules</w:t>
      </w:r>
      <w:r>
        <w:rPr>
          <w:rFonts w:ascii="Times New Roman;Times;Serif" w:hAnsi="Times New Roman;Times;Serif"/>
          <w:b w:val="false"/>
          <w:i w:val="false"/>
          <w:caps w:val="false"/>
          <w:smallCaps w:val="false"/>
          <w:sz w:val="20"/>
        </w:rPr>
        <w:t xml:space="preserve">. Any adjustments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be made successively whenever an event referred to herein shall occur. If an adjustment in the Exercise Price made hereunder would reduce the Exercise Price to an amount below par value of the Common Stock, then such adjustment in the Exercise Price made hereunder shall reduce the Exercise Price to the par value of the Common Stock.</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Impairment</w:t>
      </w:r>
      <w:r>
        <w:rPr>
          <w:rFonts w:ascii="Times New Roman;Times;Serif" w:hAnsi="Times New Roman;Times;Serif"/>
          <w:b w:val="false"/>
          <w:i w:val="false"/>
          <w:caps w:val="false"/>
          <w:smallCaps w:val="false"/>
          <w:sz w:val="20"/>
        </w:rPr>
        <w:t xml:space="preserve">.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that would (a) increase the par value of any shares of Common Stock receivable upon the exercise of this Warrant above the Exercise Price then in effect or (b) entitle the Warrantholder to an adjustment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if the total number of shares of Common Stock issuable after such action upon exercise of this Warrant in full (disregarding whether or not this Warrant is exercisable by its terms at such time), together with all shares of Common Stock then outstanding and all shares of Common Stock then issuable upon the exercise in full of any and all outstanding Equity Securities (disregarding whether or not any such Equity Securities are exercisable by their terms at such time) would exceed the total number of shares of Common Stock then authorized by its certificate of incorporation.</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Proceedings Prior to Any Action Requiring Adjustment</w:t>
      </w:r>
      <w:r>
        <w:rPr>
          <w:rFonts w:ascii="Times New Roman;Times;Serif" w:hAnsi="Times New Roman;Times;Serif"/>
          <w:b w:val="false"/>
          <w:i w:val="false"/>
          <w:caps w:val="false"/>
          <w:smallCaps w:val="false"/>
          <w:sz w:val="20"/>
        </w:rPr>
        <w:t xml:space="preserve">. As a condition precedent to the taking of any action which would require an adjustment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the Company shall promptly take any and all action which may be necessary, including obtaining approvals of regulatory or other governmental bodies, the Principal Trading Market, or other applicable securities exchange, corporate, or shareholder approvals or exemptions, so that the Company may thereafter validly and legally issue as fully paid and nonassessable all shares of Common Stock, or all other securities or other property, that the Warrantholder is entitled to receive upon exercise of this Warrant in accordance with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Adjustment for Permitted Transactions</w:t>
      </w:r>
      <w:r>
        <w:rPr>
          <w:rFonts w:ascii="Times New Roman;Times;Serif" w:hAnsi="Times New Roman;Times;Serif"/>
          <w:b w:val="false"/>
          <w:i w:val="false"/>
          <w:caps w:val="false"/>
          <w:smallCaps w:val="false"/>
          <w:sz w:val="20"/>
        </w:rPr>
        <w:t xml:space="preserve">. Notwithstanding anything in this Warrant to the contrary, no adjustment shall be made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in connection with any Permitted Transaction.</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Warrant to the contrary, the Company shall not honor any exercise of this Warrant, and a Warrantholder shall not have the right to exercise any portion of this Warrant, to the extent that, after giving effect to an attempted exercise set forth on an applicable Notice of Exercise, such Warrantholder (together with such Warrantholder’s Affiliates, and any other Person whose beneficial ownership of Common Stock would be aggregated with the Warrantholder’s for purposes of Section 13(d) or Section 16 of the Exchange Act, and any other applicable regulations of the Commission, including any Group of which the Warrantholder is a member (the foregoing,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a number of shares of Common Stock in excess of the Beneficial Ownership Limitation. For purposes of the foregoing sentence, the number of shares of Common Stock beneficially owned by such Warrantholder and its Attribution Parties shall include the number of Warrant Shares issuable under the Notice of Exercise with respect to which such determination is being made, but shall exclude the number of shares of Common Stock which are issuable upon (a) exercise of the remaining, unexercised portion of any Warrant beneficially owned by such Warrantholder or any of its Attribution Parties and (b) exercise or conversion of the unexercised or unconverted portion of any other securities of the Company (including any warrants) beneficially owned by such Warrantholder or any of its Attribution Parties that are subject to a limitation on conversion or exercise similar to the limitation contained herein. For purposes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beneficial ownership shall be calculated in accordance with Section 13(d) of the Exchange Act and any other applicable regulations of the Commission. For purposes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in determining the number of outstanding shares of Common Stock, a Warrantholder may rely on the number of outstanding shares of Common Stock as stated in the most recent of the following: (X) the Company’s most recent periodic or annual filing with the Commission, as the case may be, (Y) a more recent public announcement by the Company that is filed with the Commission, or (Z) a more recent notice by the Company or the Company’s transfer agent to the Warrantholder setting forth the number of shares of Common Stock then outstanding. Upon the written request of a Warrantholder, the Company shall, within three Trading Days thereof, confirm in writing to such Warrantholder the number of shares of Common Stock then outstanding. In any case, the number of outstanding shares of Common Stock shall be determined after giving effect to any actual conversion or exercise of securities of the Company, including the exercise of this Warrant, by such Warrantholder or its Attribution Parties since the date as of which such number of outstanding shares of Common Stock was last publicly reported or confirmed to the Warrantholder. The Company shall be entitled to rely on representations made to it by the Warrantholder in any Notice of Exercise regarding its Beneficial Ownership Limitation. The Warrantholder acknowledges that the Warrantholder is solely responsible for any schedules or statements required to be filed by it in accordance with Section 13(d) or Section 16(a) of the Exchange Act.</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initially be 4.999% of the number of shares of the Common Stock outstanding immediately after giving effect to the issuance of Warrant Shares pursuant to such Notice of Exercise (to the extent permitted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by written notice to the Company, which will not be effective until the 61st day after such notice is given by the Warrantholder to the Company, the Warrantholder may waive or amend the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to change the Beneficial Ownership Limitation to any other number, and the provisions of this </w:t>
      </w:r>
      <w:r>
        <w:rPr>
          <w:rFonts w:ascii="Times New Roman;Times;Serif" w:hAnsi="Times New Roman;Times;Serif"/>
          <w:b w:val="false"/>
          <w:i w:val="false"/>
          <w:caps w:val="false"/>
          <w:smallCaps w:val="false"/>
          <w:sz w:val="20"/>
          <w:u w:val="single"/>
        </w:rPr>
        <w:t xml:space="preserve">Section 9 </w:t>
      </w:r>
      <w:r>
        <w:rPr>
          <w:rFonts w:ascii="Times New Roman;Times;Serif" w:hAnsi="Times New Roman;Times;Serif"/>
          <w:b w:val="false"/>
          <w:i w:val="false"/>
          <w:caps w:val="false"/>
          <w:smallCaps w:val="false"/>
          <w:sz w:val="20"/>
        </w:rPr>
        <w:t>shall continue to apply. Upon any such waiver or amendment to the Beneficial Ownership Limitation, the Beneficial Ownership Limitation may not be further waived or amended by the Warrantholder without first providing the minimum written notice required by the immediately preceding sentence. Notwithstanding the foregoing, at any time following notice of an Acquisition Transaction under </w:t>
      </w:r>
      <w:r>
        <w:rPr>
          <w:rFonts w:ascii="Times New Roman;Times;Serif" w:hAnsi="Times New Roman;Times;Serif"/>
          <w:b w:val="false"/>
          <w:i w:val="false"/>
          <w:caps w:val="false"/>
          <w:smallCaps w:val="false"/>
          <w:sz w:val="20"/>
          <w:u w:val="single"/>
        </w:rPr>
        <w:t>Section 8(iv)</w:t>
      </w:r>
      <w:r>
        <w:rPr>
          <w:rFonts w:ascii="Times New Roman;Times;Serif" w:hAnsi="Times New Roman;Times;Serif"/>
          <w:b w:val="false"/>
          <w:i w:val="false"/>
          <w:caps w:val="false"/>
          <w:smallCaps w:val="false"/>
          <w:sz w:val="20"/>
        </w:rPr>
        <w:t> with respect to an Acquisition Transaction that is pursuant to any tender offer or exchange offer (by the Company or another Person (other than the Warrantholder or any Affiliate of the Warrantholder)), the Warrantholder may waive or amend the Beneficial Ownership Limitation effective immediately upon written notice to the Company and may reinstitute a Beneficial Ownership Limitation at any time thereafter effective immediately upon written notice to the Company.</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none of the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restrict in any way the number of shares of Common Stock which the Warrantholder may receive or beneficially own in order to determine the amount of securities or other consideration that the Warrantholder may receive in the event of an Acquisition Transaction as contemplated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of this Warrant.</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and Jurisdiction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Warrant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 submits to the personal jurisdiction and venue of the Chancery Court of Delaware, or if such court is unavailable, the United States District Court for Delaware (the “</w:t>
      </w:r>
      <w:r>
        <w:rPr>
          <w:rFonts w:ascii="Times New Roman;Times;Serif" w:hAnsi="Times New Roman;Times;Serif"/>
          <w:b/>
          <w:i w:val="false"/>
          <w:caps w:val="false"/>
          <w:smallCaps w:val="false"/>
          <w:sz w:val="20"/>
          <w:u w:val="single"/>
        </w:rPr>
        <w:t>Chosen Courts</w:t>
      </w:r>
      <w:r>
        <w:rPr>
          <w:rFonts w:ascii="Times New Roman;Times;Serif" w:hAnsi="Times New Roman;Times;Serif"/>
          <w:b/>
          <w:i w:val="false"/>
          <w:caps w:val="false"/>
          <w:smallCaps w:val="false"/>
          <w:sz w:val="20"/>
        </w:rPr>
        <w:t xml:space="preserve">”), in the event any dispute (whether in contract, tort, or otherwise) arises out of this Warrant or the transactions contemplated hereby, (b) agrees that it shall not attempt to deny or defeat such personal jurisdiction by motion or other request for leave from any such court and waives any claim of lack of personal jurisdiction, improper venue and any claims that such courts are an inconvenient forum, and (c) agrees that it shall not bring any claim, action, or proceeding relating to this Warrant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Warrant. EACH PARTY HEREBY WAIVES TO THE FULLEST EXTENT PERMITTED BY APPLICABLE LAW ANY RIGHT IT MAY HAVE TO A TRIAL BY JURY IN RESPECT OF ANY CLAIM, ACTION, OR PROCEEDING DIRECTLY OR INDIRECTLY ARISING OUT OF, UNDER, OR IN CONNECTION WITH THIS WARRANT OR THE TRANSACTIONS CONTEMPLATED HEREBY.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WARRANT BY, AMONG OTHER THINGS, THE MUTUAL WAIVERS AND CERTIFICATIONS IN THIS </w:t>
      </w:r>
      <w:r>
        <w:rPr>
          <w:rFonts w:ascii="Times New Roman;Times;Serif" w:hAnsi="Times New Roman;Times;Serif"/>
          <w:b/>
          <w:i w:val="false"/>
          <w:caps w:val="false"/>
          <w:smallCaps w:val="false"/>
          <w:sz w:val="20"/>
          <w:u w:val="single"/>
        </w:rPr>
        <w:t>SECTION 10</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Warrant shall be binding upon any successors or assigns of the Company.</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Warrant may be amended and the observance of any term of this Warrant may be waived only with the written consent of the Company and the Warrantholder.</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instruction or other document to be given hereunder by any party to the other shall be in writing and shall be deemed to have been duly given if (a) sent by the U.S. Postal Service (registered, return receipt service required), United Parcel Service or FedEx, in each case on an overnight basis, signature receipt required, one (1) Business Day after mailing, or (b) if otherwise personally delivered, when delivered with signature receipt required. No notice, request, or instruction may be deemed given through e-mail, and the e-mail addresses provided in this section are simply for courtesy purposes but in no event shall constitute notice under this Warrant. All notices hereunder shall be delivered as set forth below, or in accordance with such other instructions as may be designated in writing by the party to receive such notice.</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860"/>
        <w:gridCol w:w="4310"/>
      </w:tblGrid>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If to the Company, to:</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Name:</w:t>
            </w:r>
          </w:p>
        </w:tc>
        <w:tc>
          <w:tcPr>
            <w:tcW w:w="4310" w:type="dxa"/>
            <w:tcBorders/>
            <w:vAlign w:val="center"/>
          </w:tcPr>
          <w:p>
            <w:pPr>
              <w:pStyle w:val="TableContents"/>
              <w:bidi w:val="0"/>
              <w:spacing w:before="0" w:after="283"/>
              <w:jc w:val="left"/>
              <w:rPr/>
            </w:pPr>
            <w:r>
              <w:rPr/>
              <w:t>Applied Optoelectronics, Inc.</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4310" w:type="dxa"/>
            <w:tcBorders/>
            <w:vAlign w:val="center"/>
          </w:tcPr>
          <w:p>
            <w:pPr>
              <w:pStyle w:val="TableContents"/>
              <w:bidi w:val="0"/>
              <w:spacing w:before="0" w:after="283"/>
              <w:jc w:val="left"/>
              <w:rPr/>
            </w:pPr>
            <w:r>
              <w:rPr/>
              <w:t>13139 Jess Pirtle Blvd.</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Sugar Land, Texas 77478</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Attn:</w:t>
            </w:r>
          </w:p>
        </w:tc>
        <w:tc>
          <w:tcPr>
            <w:tcW w:w="4310" w:type="dxa"/>
            <w:tcBorders/>
            <w:vAlign w:val="center"/>
          </w:tcPr>
          <w:p>
            <w:pPr>
              <w:pStyle w:val="TableContents"/>
              <w:bidi w:val="0"/>
              <w:spacing w:before="0" w:after="283"/>
              <w:jc w:val="left"/>
              <w:rPr/>
            </w:pPr>
            <w:r>
              <w:rPr/>
              <w:t>David C. Kuo, Sr. VP &amp; Chief Legal Officer</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4310" w:type="dxa"/>
            <w:tcBorders/>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54" w:type="dxa"/>
        <w:jc w:val="left"/>
        <w:tblInd w:w="0" w:type="dxa"/>
        <w:tblLayout w:type="fixed"/>
        <w:tblCellMar>
          <w:top w:w="0" w:type="dxa"/>
          <w:left w:w="0" w:type="dxa"/>
          <w:bottom w:w="0" w:type="dxa"/>
          <w:right w:w="0" w:type="dxa"/>
        </w:tblCellMar>
      </w:tblPr>
      <w:tblGrid>
        <w:gridCol w:w="75"/>
        <w:gridCol w:w="1271"/>
        <w:gridCol w:w="4508"/>
      </w:tblGrid>
      <w:tr>
        <w:trPr/>
        <w:tc>
          <w:tcPr>
            <w:tcW w:w="75" w:type="dxa"/>
            <w:tcBorders/>
            <w:vAlign w:val="center"/>
          </w:tcPr>
          <w:p>
            <w:pPr>
              <w:pStyle w:val="TableContents"/>
              <w:bidi w:val="0"/>
              <w:spacing w:before="0" w:after="283"/>
              <w:jc w:val="left"/>
              <w:rPr/>
            </w:pPr>
            <w:r>
              <w:rPr/>
              <w:t> </w:t>
            </w:r>
          </w:p>
        </w:tc>
        <w:tc>
          <w:tcPr>
            <w:tcW w:w="5779" w:type="dxa"/>
            <w:gridSpan w:val="2"/>
            <w:tcBorders/>
            <w:vAlign w:val="center"/>
          </w:tcPr>
          <w:p>
            <w:pPr>
              <w:pStyle w:val="TableContents"/>
              <w:bidi w:val="0"/>
              <w:spacing w:before="0" w:after="283"/>
              <w:jc w:val="left"/>
              <w:rPr/>
            </w:pPr>
            <w:r>
              <w:rPr/>
              <w:t>with a copy to (which copy alone shall not constitute notice):</w:t>
            </w:r>
          </w:p>
        </w:tc>
      </w:tr>
      <w:tr>
        <w:trPr/>
        <w:tc>
          <w:tcPr>
            <w:tcW w:w="75" w:type="dxa"/>
            <w:tcBorders/>
            <w:vAlign w:val="center"/>
          </w:tcPr>
          <w:p>
            <w:pPr>
              <w:pStyle w:val="TableContents"/>
              <w:bidi w:val="0"/>
              <w:spacing w:before="0" w:after="283"/>
              <w:jc w:val="left"/>
              <w:rPr/>
            </w:pPr>
            <w:r>
              <w:rPr/>
              <w:t> </w:t>
            </w:r>
          </w:p>
        </w:tc>
        <w:tc>
          <w:tcPr>
            <w:tcW w:w="57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Name:</w:t>
            </w:r>
          </w:p>
        </w:tc>
        <w:tc>
          <w:tcPr>
            <w:tcW w:w="4508" w:type="dxa"/>
            <w:tcBorders/>
            <w:vAlign w:val="center"/>
          </w:tcPr>
          <w:p>
            <w:pPr>
              <w:pStyle w:val="TableContents"/>
              <w:bidi w:val="0"/>
              <w:spacing w:before="0" w:after="283"/>
              <w:jc w:val="left"/>
              <w:rPr/>
            </w:pPr>
            <w:r>
              <w:rPr/>
              <w:t>Norton Rose Fulbright US LLP</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Address:</w:t>
            </w:r>
          </w:p>
        </w:tc>
        <w:tc>
          <w:tcPr>
            <w:tcW w:w="4508" w:type="dxa"/>
            <w:tcBorders/>
            <w:vAlign w:val="center"/>
          </w:tcPr>
          <w:p>
            <w:pPr>
              <w:pStyle w:val="TableContents"/>
              <w:bidi w:val="0"/>
              <w:spacing w:before="0" w:after="283"/>
              <w:jc w:val="left"/>
              <w:rPr/>
            </w:pPr>
            <w:r>
              <w:rPr/>
              <w:t>1550 Lamar Street, Suite 2000</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 </w:t>
            </w:r>
          </w:p>
        </w:tc>
        <w:tc>
          <w:tcPr>
            <w:tcW w:w="4508" w:type="dxa"/>
            <w:tcBorders/>
            <w:vAlign w:val="center"/>
          </w:tcPr>
          <w:p>
            <w:pPr>
              <w:pStyle w:val="TableContents"/>
              <w:bidi w:val="0"/>
              <w:spacing w:before="0" w:after="283"/>
              <w:jc w:val="left"/>
              <w:rPr/>
            </w:pPr>
            <w:r>
              <w:rPr/>
              <w:t>Houston, Texas 77010</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Attn:</w:t>
            </w:r>
          </w:p>
        </w:tc>
        <w:tc>
          <w:tcPr>
            <w:tcW w:w="4508" w:type="dxa"/>
            <w:tcBorders/>
            <w:vAlign w:val="center"/>
          </w:tcPr>
          <w:p>
            <w:pPr>
              <w:pStyle w:val="TableContents"/>
              <w:bidi w:val="0"/>
              <w:spacing w:before="0" w:after="283"/>
              <w:jc w:val="left"/>
              <w:rPr/>
            </w:pPr>
            <w:r>
              <w:rPr/>
              <w:t>Amelia Zhang</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 </w:t>
            </w:r>
          </w:p>
        </w:tc>
        <w:tc>
          <w:tcPr>
            <w:tcW w:w="4508" w:type="dxa"/>
            <w:tcBorders/>
            <w:vAlign w:val="center"/>
          </w:tcPr>
          <w:p>
            <w:pPr>
              <w:pStyle w:val="TableContents"/>
              <w:bidi w:val="0"/>
              <w:spacing w:before="0" w:after="283"/>
              <w:jc w:val="left"/>
              <w:rPr/>
            </w:pPr>
            <w:r>
              <w:rPr/>
              <w:t>Charles D. Powell</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Email:</w:t>
            </w:r>
          </w:p>
        </w:tc>
        <w:tc>
          <w:tcPr>
            <w:tcW w:w="4508" w:type="dxa"/>
            <w:tcBorders/>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5215" w:type="dxa"/>
        <w:jc w:val="left"/>
        <w:tblInd w:w="0" w:type="dxa"/>
        <w:tblLayout w:type="fixed"/>
        <w:tblCellMar>
          <w:top w:w="0" w:type="dxa"/>
          <w:left w:w="0" w:type="dxa"/>
          <w:bottom w:w="0" w:type="dxa"/>
          <w:right w:w="0" w:type="dxa"/>
        </w:tblCellMar>
      </w:tblPr>
      <w:tblGrid>
        <w:gridCol w:w="75"/>
        <w:gridCol w:w="860"/>
        <w:gridCol w:w="428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pPr>
            <w:r>
              <w:rPr/>
              <w:t>If to Amazon.com NV Investment Holdings LLC, to:</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Name:</w:t>
            </w:r>
          </w:p>
        </w:tc>
        <w:tc>
          <w:tcPr>
            <w:tcW w:w="4280" w:type="dxa"/>
            <w:tcBorders/>
            <w:vAlign w:val="center"/>
          </w:tcPr>
          <w:p>
            <w:pPr>
              <w:pStyle w:val="TableContents"/>
              <w:bidi w:val="0"/>
              <w:spacing w:before="0" w:after="283"/>
              <w:jc w:val="left"/>
              <w:rPr/>
            </w:pPr>
            <w:r>
              <w:rPr/>
              <w:t>Amazon.com NV Investment Holdings LLC</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c/o Amazon.com, Inc.</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4280" w:type="dxa"/>
            <w:tcBorders/>
            <w:vAlign w:val="center"/>
          </w:tcPr>
          <w:p>
            <w:pPr>
              <w:pStyle w:val="TableContents"/>
              <w:bidi w:val="0"/>
              <w:spacing w:before="0" w:after="283"/>
              <w:jc w:val="left"/>
              <w:rPr/>
            </w:pPr>
            <w:r>
              <w:rPr/>
              <w:t>410 Terry Avenue North</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Seattle, Washington 98109-5210</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Attn:</w:t>
            </w:r>
          </w:p>
        </w:tc>
        <w:tc>
          <w:tcPr>
            <w:tcW w:w="4280" w:type="dxa"/>
            <w:tcBorders/>
            <w:vAlign w:val="center"/>
          </w:tcPr>
          <w:p>
            <w:pPr>
              <w:pStyle w:val="TableContents"/>
              <w:bidi w:val="0"/>
              <w:spacing w:before="0" w:after="283"/>
              <w:jc w:val="left"/>
              <w:rPr/>
            </w:pPr>
            <w:r>
              <w:rPr/>
              <w:t>General Counsel</w:t>
            </w:r>
          </w:p>
        </w:tc>
      </w:tr>
    </w:tbl>
    <w:p>
      <w:pPr>
        <w:pStyle w:val="TextBody"/>
        <w:bidi w:val="0"/>
        <w:spacing w:before="0" w:after="283"/>
        <w:jc w:val="left"/>
        <w:rPr/>
      </w:pPr>
      <w:r>
        <w:rPr/>
        <w:t> </w:t>
      </w:r>
    </w:p>
    <w:tbl>
      <w:tblPr>
        <w:tblW w:w="5854" w:type="dxa"/>
        <w:jc w:val="left"/>
        <w:tblInd w:w="0" w:type="dxa"/>
        <w:tblLayout w:type="fixed"/>
        <w:tblCellMar>
          <w:top w:w="0" w:type="dxa"/>
          <w:left w:w="0" w:type="dxa"/>
          <w:bottom w:w="0" w:type="dxa"/>
          <w:right w:w="0" w:type="dxa"/>
        </w:tblCellMar>
      </w:tblPr>
      <w:tblGrid>
        <w:gridCol w:w="75"/>
        <w:gridCol w:w="1286"/>
        <w:gridCol w:w="4493"/>
      </w:tblGrid>
      <w:tr>
        <w:trPr/>
        <w:tc>
          <w:tcPr>
            <w:tcW w:w="75" w:type="dxa"/>
            <w:tcBorders/>
            <w:vAlign w:val="center"/>
          </w:tcPr>
          <w:p>
            <w:pPr>
              <w:pStyle w:val="TableContents"/>
              <w:bidi w:val="0"/>
              <w:spacing w:before="0" w:after="283"/>
              <w:jc w:val="left"/>
              <w:rPr/>
            </w:pPr>
            <w:r>
              <w:rPr/>
              <w:t> </w:t>
            </w:r>
          </w:p>
        </w:tc>
        <w:tc>
          <w:tcPr>
            <w:tcW w:w="5779" w:type="dxa"/>
            <w:gridSpan w:val="2"/>
            <w:tcBorders/>
            <w:vAlign w:val="center"/>
          </w:tcPr>
          <w:p>
            <w:pPr>
              <w:pStyle w:val="TableContents"/>
              <w:bidi w:val="0"/>
              <w:spacing w:before="0" w:after="283"/>
              <w:jc w:val="left"/>
              <w:rPr/>
            </w:pPr>
            <w:r>
              <w:rPr/>
              <w:t>with a copy to (which copy alone shall not constitute notice):</w:t>
            </w:r>
          </w:p>
        </w:tc>
      </w:tr>
      <w:tr>
        <w:trPr/>
        <w:tc>
          <w:tcPr>
            <w:tcW w:w="75" w:type="dxa"/>
            <w:tcBorders/>
            <w:vAlign w:val="center"/>
          </w:tcPr>
          <w:p>
            <w:pPr>
              <w:pStyle w:val="TableContents"/>
              <w:bidi w:val="0"/>
              <w:spacing w:before="0" w:after="283"/>
              <w:jc w:val="left"/>
              <w:rPr/>
            </w:pPr>
            <w:r>
              <w:rPr/>
              <w:t> </w:t>
            </w:r>
          </w:p>
        </w:tc>
        <w:tc>
          <w:tcPr>
            <w:tcW w:w="57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Name:</w:t>
            </w:r>
          </w:p>
        </w:tc>
        <w:tc>
          <w:tcPr>
            <w:tcW w:w="4493" w:type="dxa"/>
            <w:tcBorders/>
            <w:vAlign w:val="center"/>
          </w:tcPr>
          <w:p>
            <w:pPr>
              <w:pStyle w:val="TableContents"/>
              <w:bidi w:val="0"/>
              <w:spacing w:before="0" w:after="283"/>
              <w:jc w:val="left"/>
              <w:rPr/>
            </w:pPr>
            <w:r>
              <w:rPr/>
              <w:t>Gibson, Dunn &amp; Crutcher LLP</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Address:</w:t>
            </w:r>
          </w:p>
        </w:tc>
        <w:tc>
          <w:tcPr>
            <w:tcW w:w="4493" w:type="dxa"/>
            <w:tcBorders/>
            <w:vAlign w:val="center"/>
          </w:tcPr>
          <w:p>
            <w:pPr>
              <w:pStyle w:val="TableContents"/>
              <w:bidi w:val="0"/>
              <w:spacing w:before="0" w:after="283"/>
              <w:jc w:val="left"/>
              <w:rPr/>
            </w:pPr>
            <w:r>
              <w:rPr/>
              <w:t>310 University Avenue</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4493" w:type="dxa"/>
            <w:tcBorders/>
            <w:vAlign w:val="center"/>
          </w:tcPr>
          <w:p>
            <w:pPr>
              <w:pStyle w:val="TableContents"/>
              <w:bidi w:val="0"/>
              <w:spacing w:before="0" w:after="283"/>
              <w:jc w:val="left"/>
              <w:rPr/>
            </w:pPr>
            <w:r>
              <w:rPr/>
              <w:t>Palo Alto, California 94301</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Attn:</w:t>
            </w:r>
          </w:p>
        </w:tc>
        <w:tc>
          <w:tcPr>
            <w:tcW w:w="4493" w:type="dxa"/>
            <w:tcBorders/>
            <w:vAlign w:val="center"/>
          </w:tcPr>
          <w:p>
            <w:pPr>
              <w:pStyle w:val="TableContents"/>
              <w:bidi w:val="0"/>
              <w:spacing w:before="0" w:after="283"/>
              <w:jc w:val="left"/>
              <w:rPr/>
            </w:pPr>
            <w:r>
              <w:rPr/>
              <w:t>Ed Batts, Esq.</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4493" w:type="dxa"/>
            <w:tcBorders/>
            <w:vAlign w:val="center"/>
          </w:tcPr>
          <w:p>
            <w:pPr>
              <w:pStyle w:val="TableContents"/>
              <w:bidi w:val="0"/>
              <w:spacing w:before="0" w:after="283"/>
              <w:jc w:val="left"/>
              <w:rPr/>
            </w:pPr>
            <w:r>
              <w:rPr/>
              <w:t>Chris Trester, Esq.</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Email:</w:t>
            </w:r>
          </w:p>
        </w:tc>
        <w:tc>
          <w:tcPr>
            <w:tcW w:w="4493" w:type="dxa"/>
            <w:tcBorders/>
            <w:vAlign w:val="center"/>
          </w:tcPr>
          <w:p>
            <w:pPr>
              <w:pStyle w:val="TableContents"/>
              <w:bidi w:val="0"/>
              <w:spacing w:before="0" w:after="283"/>
              <w:jc w:val="left"/>
              <w:rPr/>
            </w:pPr>
            <w:r>
              <w:rPr/>
              <w:t>ebatts@gibsondunn.com</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4493" w:type="dxa"/>
            <w:tcBorders/>
            <w:vAlign w:val="center"/>
          </w:tcPr>
          <w:p>
            <w:pPr>
              <w:pStyle w:val="TableContents"/>
              <w:bidi w:val="0"/>
              <w:spacing w:before="0" w:after="283"/>
              <w:jc w:val="left"/>
              <w:rPr/>
            </w:pPr>
            <w:r>
              <w:rPr/>
              <w:t>ctrester@gibsondunn.com</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and the Confidentiality Agreement constitute the entire agreement and supersede all other prior agreements, understandings, representations, and warranties, both written and oral, between the parties, with respect to the subject matter hereof.</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agree that the failure of any party to perform its agreements and covenants under this Warrant, including a party’s failure to take all actions as are necessary on such party’s part in accordance with the terms and conditions of this Warrant to consummate the transactions contemplated by this Warrant,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rights and remedies provided in this Warrant are cumulative and are not exclusive of, and are in addition to, and not in substitution for, any other rights or remedies available at law, in equity or otherwise.</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of this Warrant, in the absence of any affirmative action by the Warrantholder to exercise this Warrant to purchase Warrant Shares, and no enumeration herein of the rights or privileges of Warrantholder, shall give rise to any liability of the Warrantholder for the purchase price of any Warrant Shares or as a shareholder of the Company, whether such liability is asserted by the Company or by creditors of the Company. The sole liability of the Warrantholder under this Warrant shall be the applicable aggregate Exercise Price if and when this Warrant is exercised in part or in whole.</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xml:space="preserve">. Unless otherwise specified in this Warrant or the context otherwise requires: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18.</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a reference is made in this Warrant to “Sections” or “Annexes” such reference shall be to a Section of, or Annex to, this Warrant unless otherwise indicated;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references to “parties” refer to the parties to this Warrant;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headings contained in this Warrant are for reference purposes only and are not part of this Warrant;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 wholly owned subsidiary of a Person shall mean such subsidiary is directly or indirectly wholly owned by such Person;</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the singular have a comparable meaning when used in the plural and vice versa;</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term is defined as one part of speech (such as a noun), it shall have a corresponding meaning when used as another part of speech (such as a verb);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defined in the singular shall have a comparable meaning when used in the plural and vice versa;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importing the masculine gender shall include the feminine and neutral genders and vice versa;</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references to “hereto,” “herein,” “hereby,” “hereof,” “hereunder,” and the like refer to this Warrant as a whole and not to any particular section or provision, unless the context requires otherwise;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 “extent” in the phrase “to the extent” shall mean the degree to which a subject or other thing extends and such phrase shall not mean simply “if;”</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words “include,” “includes,” or “including” are used in this Warrant, they shall be deemed followed by the words “without limitation;”</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rule known as the </w:t>
      </w:r>
      <w:r>
        <w:rPr>
          <w:rFonts w:ascii="Times New Roman;Times;Serif" w:hAnsi="Times New Roman;Times;Serif"/>
          <w:b w:val="false"/>
          <w:i/>
          <w:caps w:val="false"/>
          <w:smallCaps w:val="false"/>
          <w:sz w:val="20"/>
        </w:rPr>
        <w:t>ejusdem generis</w:t>
      </w:r>
      <w:r>
        <w:rPr>
          <w:rFonts w:ascii="Times New Roman;Times;Serif" w:hAnsi="Times New Roman;Times;Serif"/>
          <w:b w:val="false"/>
          <w:i w:val="false"/>
          <w:caps w:val="false"/>
          <w:smallCaps w:val="false"/>
          <w:sz w:val="20"/>
        </w:rPr>
        <w:t xml:space="preserve"> rule shall not apply, and accordingly, general words introduced by the word “other” shall not be given a restrictive meaning by reason of the fact that they are preceded by words indicating a particular class of acts, matters or things;</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rule of construction against the draftsperson shall be applied in connection with the interpretation or enforcement of this Warrant. The parties have jointly negotiated and drafted this Warrant, and if an ambiguity or a question of intent or interpretation arises, this Warrant shall be construed as if drafted jointly by the parties, and no presumption or burden of proof shall arise favoring or disfavoring any party by virtue of the authorship of any provision of this Warrant;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forms of agreements attached to this Warrant as exhibits shall be subject only to such ministerial additions, deletions, and modifications as necessary to complete any missing terms contemplated by the form to be completed by the parties or to correct any scrivener’s errors in the form;</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“dollars” and the symbol “$” mean U.S. Dollars and all amounts in this Warrant shall be paid in U.S. Dollars, and if any amounts, costs, fees or expenses incurred by any party in connection with this Warrant are denominated in a currency other than U.S. Dollars, to the extent applicable, the U.S. Dollar equivalent for such costs, fees and expenses shall be determined by converting such other currency to U.S. Dollars at the foreign exchange rates published in the Wall Street Journal or, if not reported thereby, another authoritative source reasonably determined by Warrantholder, in effect at the time such amount, cost, fee or expense is incurred, and if the resulting conversion yields a number that extends beyond two decimal points, rounded to the nearest penny;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stated in this Warrant,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period of time within which, or following which, any action is to be taken under this Warrant,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references to a number of days shall refer to calendar days unless Business Days are specified.</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the context otherwise requires, when used herein, the following terms shall have the meanings indicated.</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19.</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30-Day VWAP</w:t>
      </w:r>
      <w:r>
        <w:rPr>
          <w:rFonts w:ascii="Times New Roman;Times;Serif" w:hAnsi="Times New Roman;Times;Serif"/>
          <w:b w:val="false"/>
          <w:i w:val="false"/>
          <w:caps w:val="false"/>
          <w:smallCaps w:val="false"/>
          <w:sz w:val="20"/>
        </w:rPr>
        <w:t>” means, as of any date, the volume-weighted average price per share of the Common Stock, or any successor security thereto (rounded to the nearest second decimal place) on the Principal Trading Market (as reported by Bloomberg L.P. (or its successor) or if not available, by Dow Jones &amp; Company Inc., or if neither is available, by another authoritative source mutually agreed by the Company and the Warrantholder) from and including the Trading Day that is 30 Trading Days preceding such date to and including the last Trading Day immediately preceding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Transaction</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Consideration</w:t>
      </w:r>
      <w:r>
        <w:rPr>
          <w:rFonts w:ascii="Times New Roman;Times;Serif" w:hAnsi="Times New Roman;Times;Serif"/>
          <w:b w:val="false"/>
          <w:i w:val="false"/>
          <w:caps w:val="false"/>
          <w:smallCaps w:val="false"/>
          <w:sz w:val="20"/>
        </w:rPr>
        <w:t xml:space="preserve">” means, in respect of an issuance of shares of Common Stock (or Convertible Securities) as set forth in </w:t>
      </w:r>
      <w:r>
        <w:rPr>
          <w:rFonts w:ascii="Times New Roman;Times;Serif" w:hAnsi="Times New Roman;Times;Serif"/>
          <w:b w:val="false"/>
          <w:i w:val="false"/>
          <w:caps w:val="false"/>
          <w:smallCaps w:val="false"/>
          <w:sz w:val="20"/>
          <w:u w:val="single"/>
        </w:rPr>
        <w:t>Section 8(ii)</w:t>
      </w:r>
      <w:r>
        <w:rPr>
          <w:rFonts w:ascii="Times New Roman;Times;Serif" w:hAnsi="Times New Roman;Times;Serif"/>
          <w:b w:val="false"/>
          <w:i w:val="false"/>
          <w:caps w:val="false"/>
          <w:smallCaps w:val="false"/>
          <w:sz w:val="20"/>
        </w:rPr>
        <w:t>, an amount equal to the sum of the gross offering price (before deduction of any related expenses payable to third parties, including discounts and commissions) of all such shares of Common Stock and Convertible Securities, plus the aggregate amount, if any, payable upon conversion of any such Convertible Securities (assuming conversion in accordance with their terms immediately following their issuance (and further assuming for this purpose that such Convertible Securities are convertible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Amazon</w:t>
      </w:r>
      <w:r>
        <w:rPr>
          <w:rFonts w:ascii="Times New Roman;Times;Serif" w:hAnsi="Times New Roman;Times;Serif"/>
          <w:b w:val="false"/>
          <w:i w:val="false"/>
          <w:caps w:val="false"/>
          <w:smallCaps w:val="false"/>
          <w:sz w:val="20"/>
        </w:rPr>
        <w:t>” means Amazon.com, Inc., a Delaware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Appraisal Procedure</w:t>
      </w:r>
      <w:r>
        <w:rPr>
          <w:rFonts w:ascii="Times New Roman;Times;Serif" w:hAnsi="Times New Roman;Times;Serif"/>
          <w:b w:val="false"/>
          <w:i w:val="false"/>
          <w:caps w:val="false"/>
          <w:smallCaps w:val="false"/>
          <w:sz w:val="20"/>
        </w:rPr>
        <w:t>” means a procedure in accordance with the American Institute of Certified Public Accountants, Inc. (“</w:t>
      </w:r>
      <w:r>
        <w:rPr>
          <w:rFonts w:ascii="Times New Roman;Times;Serif" w:hAnsi="Times New Roman;Times;Serif"/>
          <w:b w:val="false"/>
          <w:i w:val="false"/>
          <w:caps w:val="false"/>
          <w:smallCaps w:val="false"/>
          <w:sz w:val="20"/>
          <w:u w:val="single"/>
        </w:rPr>
        <w:t>AICPA</w:t>
      </w:r>
      <w:r>
        <w:rPr>
          <w:rFonts w:ascii="Times New Roman;Times;Serif" w:hAnsi="Times New Roman;Times;Serif"/>
          <w:b w:val="false"/>
          <w:i w:val="false"/>
          <w:caps w:val="false"/>
          <w:smallCaps w:val="false"/>
          <w:sz w:val="20"/>
        </w:rPr>
        <w:t>”) “VS Section 100 - Valuation of a Business, Business Ownership Interest, Security or Intangible Asset” and such other associated AICPA guidance as is reasonable and applicable whereby two independent appraisers, each employed by a firm nationally recognized for its valuation expertise and each reasonably experienced in appraising the market value of securities of size in value and characteristics of the Warrant (each a “</w:t>
      </w:r>
      <w:r>
        <w:rPr>
          <w:rFonts w:ascii="Times New Roman;Times;Serif" w:hAnsi="Times New Roman;Times;Serif"/>
          <w:b w:val="false"/>
          <w:i w:val="false"/>
          <w:caps w:val="false"/>
          <w:smallCaps w:val="false"/>
          <w:sz w:val="20"/>
          <w:u w:val="single"/>
        </w:rPr>
        <w:t>Qualified Appraiser</w:t>
      </w:r>
      <w:r>
        <w:rPr>
          <w:rFonts w:ascii="Times New Roman;Times;Serif" w:hAnsi="Times New Roman;Times;Serif"/>
          <w:b w:val="false"/>
          <w:i w:val="false"/>
          <w:caps w:val="false"/>
          <w:smallCaps w:val="false"/>
          <w:sz w:val="20"/>
        </w:rPr>
        <w:t>”), one chosen by the Company and one chosen by the Warrantholder, shall mutually agree upon the determinations then the subject of appraisal. Each party shall deliver a notice to the other party appointing its Qualified Appraiser within 15 days after the date that the Appraisal Procedure is invoked. If within 30 days after receipt by each party of the other party’s notice appointing its Qualified Appraiser, such appraisers are unable to agree upon the amount in question, a third Qualified Appraiser shall be chosen within ten days after the end of such 30-day period: (i) by the mutual consent of such first two Qualified Appraisers; or (ii) if such two first Qualified Appraisers fail to agree upon the appointment of a third appraiser, such appointment shall be made by the American Arbitration Association, or any organization successor thereto, from a panel of Qualified Appraisers on the application of either of the first two Qualified Appraisers. If any Qualified Appraiser initially appointed shall, for any reason, be unable to serve, a successor Qualified Appraiser shall be appointed in accordance with the procedures under which the predecessor Qualified Appraiser was appointed. In the event a third Qualified Appraiser is appointed, the decision of such third Qualified Appraiser shall be given within 30 days after such Qualified Appraiser’s appointment. If three Qualified Appraisers are appointed and the determination of one appraiser is disparate from the middle determination by more than twice the amount by which the other determination is disparate from the middle determination, then (a) the determination of such appraiser shall be excluded, (b) the remaining two determinations shall be averaged, and (c) such average shall be binding and conclusive upon the Company and the Warrantholder; otherwise, the average of all three determinations shall be binding and conclusive upon the Company and the Warrantholder. The costs of conducting any Appraisal Procedure shall be borne 50% by the Company and 50% by the Warrantholder. The Qualified Appraisers shall act as experts and not arbitrators.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Cashless Exercise Ratio</w:t>
      </w:r>
      <w:r>
        <w:rPr>
          <w:rFonts w:ascii="Times New Roman;Times;Serif" w:hAnsi="Times New Roman;Times;Serif"/>
          <w:b w:val="false"/>
          <w:i w:val="false"/>
          <w:caps w:val="false"/>
          <w:smallCaps w:val="false"/>
          <w:sz w:val="20"/>
        </w:rPr>
        <w:t>” with respect to any exercise of this Warrant means a fraction (i) the numerator of which is the excess of (x) the 30-Day VWAP as of the exercise date over (y) the Exercise Price, and (ii) the denominator of which is the 30-Day VWAP as of the exercise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Commercial Agreement</w:t>
      </w:r>
      <w:r>
        <w:rPr>
          <w:rFonts w:ascii="Times New Roman;Times;Serif" w:hAnsi="Times New Roman;Times;Serif"/>
          <w:b w:val="false"/>
          <w:i w:val="false"/>
          <w:caps w:val="false"/>
          <w:smallCaps w:val="false"/>
          <w:sz w:val="20"/>
        </w:rPr>
        <w:t>” means that certain Manufacturing and Development Services Agreement, by and between Amazon Data Services, Inc. and the Company and its affiliates, as it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$0.001 par value per share,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Applied Optoelectronics, Inc.</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Delivery Covenants</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Company Office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Conditions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with respect to any security or other property, the fair market value of such security or other property as determined by the Board, acting reasonably, in good faith and evidenced by a written notice delivered promptly to the Warrantholder (which written notice shall include certified resolutions of the Board in respect thereof). If the Warrantholder objects in writing to the Board’s calculation of fair market value within ten (10) Business Days after receipt of written notice thereof, and the Warrantholder and the Company are unable to agree on the fair market value during the ten-day period following the delivery of the Warrantholder’s objection, the Appraisal Procedure may be invoked by either the Company or the Warrantholder to determine the fair market value of such security or other property by delivering written notification thereof not later than the 30th day after delivery of the Warrantholder objection. For the avoidance of doubt, the Fair Market Value of cash shall be the amount of such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Antitrust Clearance</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Number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means, with respect to the Common Stock or any other security, on any given day, the last sale price, regular way, or, in case no such sale takes place on such day, the average of the closing bid and asked prices, regular way, of the Common Stock or of such other security, as applicable, on the Principal Trading Market on such day (as reported by Bloomberg L.P. (or its successor) or if not available, by Dow Jones &amp; Company Inc., or if neither is available, by another authoritative source mutually agreed by the Company and the Warrantholder). If the Common Stock or such other security, as applicable, is not listed on the Principal Trading Market as of any date of determination, the Market Price of the Common Stock or such other security, as applicable, on such date of determination means the closing sale price on such date as reported in the composite transactions for the principal U.S. national or regional securities exchange on which the Common Stock or such other security, as applicable, is so listed or quoted or, if no closing sale price is reported, the last reported sale price on such date on the principal U.S. national or regional securities exchange on which the Common Stock or such other security, as applicable, is so listed or quoted, or if the Common Stock or such other security, as applicable, is not so listed or quoted on a U.S. national or regional securities exchange, the last quoted bid price on such date for the Common Stock or such other security, as applicable, in the over-the-counter market as reported by OTC Markets Group Inc. or a similar organization, or if that bid price is not available, the Market Price of the Common Stock or such other security, as applicable, on that date shall mean the Fair Market Value per share as of such date of the Common Stock or such other security (as reported by Bloomberg L.P. (or its successor) or if not available, by Dow Jones &amp; Company Inc., or if neither is available, by another authoritative source mutually agreed by the Company and the Warrantholder). To determine the Market Price of the Common Stock or any such other security, as applicable, on the Trading Day preceding, on, or following the occurrence of an event, (a) that Trading Day shall be deemed to commence immediately after the regularly scheduled closing time of trading on the applicable exchange, market or organization, or if trading is closed at an earlier time, such earlier time and (b) that Trading Day shall end at the next regularly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(New York City time), and the specified event occurs at 5:00 p.m. (New York City time) on that day, the Market Price would be determined by reference to such 4:00 p.m. (New York City time) closing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means a duly completed notice of exercise in substantially the form attached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 and executed by Warrantholder.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Vesting Event</w:t>
      </w:r>
      <w:r>
        <w:rPr>
          <w:rFonts w:ascii="Times New Roman;Times;Serif" w:hAnsi="Times New Roman;Times;Serif"/>
          <w:b w:val="false"/>
          <w:i w:val="false"/>
          <w:caps w:val="false"/>
          <w:smallCaps w:val="false"/>
          <w:sz w:val="20"/>
        </w:rPr>
        <w:t xml:space="preserve">” means a duly completed notice of Vesting Event in substantially the form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and executed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Transactions</w:t>
      </w:r>
      <w:r>
        <w:rPr>
          <w:rFonts w:ascii="Times New Roman;Times;Serif" w:hAnsi="Times New Roman;Times;Serif"/>
          <w:b w:val="false"/>
          <w:i w:val="false"/>
          <w:caps w:val="false"/>
          <w:smallCaps w:val="false"/>
          <w:sz w:val="20"/>
        </w:rPr>
        <w:t>” means (a) issuances of shares of Common Stock (including upon exercise of options, granting of restricted stock awards, or settlement of restricted stock units, performance stock units or as matching contributions under a 401(k) plan) to directors, advisors, employees, or consultants of the Company in accordance with a stock option plan, employee stock purchase plan, restricted stock plan, other employee benefit plan, or other similar compensatory agreement or arrangement approved by the Board, whether existing currently or in the future, (b) issuances of shares of Common Stock issuable upon exercise of this Warrant, (c) issuances of shares of Common Stock upon conversion of the Company’s convertible notes outstanding as of the date hereof, (d) issuances of shares of Common Stock or convertible securities in a financing for capital raising purposes at a consideration per share or having a conversion price per share at or above the Market Price of the Common Stock as of the last Business Day prior to the earliest of (i) the pricing of the transaction, or (ii) the public announcement of a proposed sale (or in the case of an underwritten public offering (including sales of convertible securities pursuant to Rule 144A), at or above 95% of the Market Price of the Common Stock as of the Business Day prior to the public announcement of the launch of such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Section 3(a)(9)</w:t>
      </w:r>
      <w:r>
        <w:rPr>
          <w:rFonts w:ascii="Times New Roman;Times;Serif" w:hAnsi="Times New Roman;Times;Serif"/>
          <w:b w:val="false"/>
          <w:i w:val="false"/>
          <w:caps w:val="false"/>
          <w:smallCaps w:val="false"/>
          <w:sz w:val="20"/>
        </w:rPr>
        <w:t xml:space="preserve"> of the Exchange Act and as used in </w:t>
      </w:r>
      <w:r>
        <w:rPr>
          <w:rFonts w:ascii="Times New Roman;Times;Serif" w:hAnsi="Times New Roman;Times;Serif"/>
          <w:b w:val="false"/>
          <w:i w:val="false"/>
          <w:caps w:val="false"/>
          <w:smallCaps w:val="false"/>
          <w:sz w:val="20"/>
          <w:u w:val="single"/>
        </w:rPr>
        <w:t>Sections 13(d)(3)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14(d)(2)</w:t>
      </w:r>
      <w:r>
        <w:rPr>
          <w:rFonts w:ascii="Times New Roman;Times;Serif" w:hAnsi="Times New Roman;Times;Serif"/>
          <w:b w:val="false"/>
          <w:i w:val="false"/>
          <w:caps w:val="false"/>
          <w:smallCaps w:val="false"/>
          <w:sz w:val="20"/>
        </w:rPr>
        <w:t xml:space="preserve">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Trading Market</w:t>
      </w:r>
      <w:r>
        <w:rPr>
          <w:rFonts w:ascii="Times New Roman;Times;Serif" w:hAnsi="Times New Roman;Times;Serif"/>
          <w:b w:val="false"/>
          <w:i w:val="false"/>
          <w:caps w:val="false"/>
          <w:smallCaps w:val="false"/>
          <w:sz w:val="20"/>
        </w:rPr>
        <w:t>” means the trading market on which the Common Stock, or any successor security thereto, is primarily listed and quoted for trading, and which, as of the Issue Date is The Nasdaq Stock Market LLC.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Appraiser</w:t>
      </w:r>
      <w:r>
        <w:rPr>
          <w:rFonts w:ascii="Times New Roman;Times;Serif" w:hAnsi="Times New Roman;Times;Serif"/>
          <w:b w:val="false"/>
          <w:i w:val="false"/>
          <w:caps w:val="false"/>
          <w:smallCaps w:val="false"/>
          <w:sz w:val="20"/>
        </w:rPr>
        <w:t>” has the meaning set forth in the definition of “</w:t>
      </w:r>
      <w:r>
        <w:rPr>
          <w:rFonts w:ascii="Times New Roman;Times;Serif" w:hAnsi="Times New Roman;Times;Serif"/>
          <w:b w:val="false"/>
          <w:i w:val="false"/>
          <w:caps w:val="false"/>
          <w:smallCaps w:val="false"/>
          <w:sz w:val="20"/>
          <w:u w:val="single"/>
        </w:rPr>
        <w:t>Appraisal 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or any successor statute,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Date</w:t>
      </w:r>
      <w:r>
        <w:rPr>
          <w:rFonts w:ascii="Times New Roman;Times;Serif" w:hAnsi="Times New Roman;Times;Serif"/>
          <w:b w:val="false"/>
          <w:i w:val="false"/>
          <w:caps w:val="false"/>
          <w:smallCaps w:val="false"/>
          <w:sz w:val="20"/>
        </w:rPr>
        <w:t>” shall mean the date that is six months following the execution of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Subject Adjustment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8(vi)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Subject Record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8(vi)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Agreement</w:t>
      </w:r>
      <w:r>
        <w:rPr>
          <w:rFonts w:ascii="Times New Roman;Times;Serif" w:hAnsi="Times New Roman;Times;Serif"/>
          <w:b w:val="false"/>
          <w:i w:val="false"/>
          <w:caps w:val="false"/>
          <w:smallCaps w:val="false"/>
          <w:sz w:val="20"/>
        </w:rPr>
        <w:t>” means the Transaction Agreement, dated as of the date hereof, as it may be amended from time to time, by and between the Company and Amazon, including all annexes, schedules, and exhibits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has the meaning ascribed to it in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Vesting Event</w:t>
      </w:r>
      <w:r>
        <w:rPr>
          <w:rFonts w:ascii="Times New Roman;Times;Serif" w:hAnsi="Times New Roman;Times;Serif"/>
          <w:b w:val="false"/>
          <w:i w:val="false"/>
          <w:caps w:val="false"/>
          <w:smallCaps w:val="false"/>
          <w:sz w:val="20"/>
        </w:rPr>
        <w:t>” means (a) with respect to 1,324,233 Warrant Shares, the execution of the Warrant, and (b) with respect to [***] Warrant Shares, [***] increments of [***] Warrant Shares and [***] increments of [***] Warrant Shares, each time at which the Company and/or any of its Affiliates have collectively received aggregate gross payments under the Commercial Agreement or otherwise totaling $[***] from or on behalf of Amazon and/or any of its Affiliates (including by third parties) until such time as the Company and/or any of its Affiliates have collectively received $4,000,000,000 from or on behalf of Amazon and/or any of its Affiliates (including by third parties). For the avoidance of doubt, (i) Vesting Events shall stop occurring once the maximum aggregate number of Warrant Shares specified under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have vested in accordance with such Vesting Events, (ii) if a given Vesting Event would cause the number of shares vested to exceed the number of Warrant Shares specified under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then only the number of shares up to and including the maximum aggregate number of Warrant Shares specified under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(subject to applicable adjustment or supplementation under this Warrant) shall vest during the final such Vesting Event, and (iii) the number of Warrant Shares that will vest in connection with a Vesting Event is subject to adjustments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means this Warrant, issued in connection with the 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Warrantholder</w:t>
      </w:r>
      <w:r>
        <w:rPr>
          <w:rFonts w:ascii="Times New Roman;Times;Serif" w:hAnsi="Times New Roman;Times;Serif"/>
          <w:b w:val="false"/>
          <w:i w:val="false"/>
          <w:caps w:val="false"/>
          <w:smallCaps w:val="false"/>
          <w:sz w:val="20"/>
        </w:rPr>
        <w:t>” means, in relation to this Warrant, the Person who is the holder of this Warrant. The Warrantholder shall initially be Amazon.com NV Investment Holdings LLC, a Nevada limited liability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duly executed by a duly authorized officer as of the Issue Date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619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ind w:left="432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65"/>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3665" w:type="dxa"/>
            <w:tcBorders/>
            <w:vAlign w:val="center"/>
          </w:tcPr>
          <w:p>
            <w:pPr>
              <w:pStyle w:val="TableContents"/>
              <w:bidi w:val="0"/>
              <w:spacing w:before="0" w:after="283"/>
              <w:jc w:val="left"/>
              <w:rPr/>
            </w:pPr>
            <w:r>
              <w:rPr>
                <w:u w:val="single"/>
              </w:rPr>
              <w:t>/s/ Stefan Murry                                   </w:t>
            </w:r>
            <w:r>
              <w:rPr/>
              <w:br/>
              <w:t>Name: Stefan Murry</w:t>
              <w:br/>
              <w:t>Title: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61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619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AMAZON.COM NV INVESTMENT HOLDINGS LLC</w:t>
      </w:r>
    </w:p>
    <w:p>
      <w:pPr>
        <w:pStyle w:val="TextBody"/>
        <w:bidi w:val="0"/>
        <w:spacing w:before="0" w:after="0"/>
        <w:ind w:left="432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365"/>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3695" w:type="dxa"/>
            <w:tcBorders/>
            <w:vAlign w:val="center"/>
          </w:tcPr>
          <w:p>
            <w:pPr>
              <w:pStyle w:val="TableContents"/>
              <w:bidi w:val="0"/>
              <w:spacing w:before="0" w:after="283"/>
              <w:jc w:val="left"/>
              <w:rPr/>
            </w:pPr>
            <w:r>
              <w:rPr>
                <w:u w:val="single"/>
              </w:rPr>
              <w:t>/s/ Michael Phillips                               </w:t>
              <w:br/>
            </w:r>
            <w:r>
              <w:rPr/>
              <w:t>Name: Michael Phillips</w:t>
              <w:br/>
              <w:t>Title: Authorized Signatory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Warrant]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Vesting Event]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Amazon.com, Inc.</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TO:</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Vesting Event</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RE:</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Warrant to Purchase Common Stock, dated as of March 13, 2025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issued to Amazon.com NV Investment Holdings LLC representing a warrant to purchase 7,945,399 shares of common stock of Applied Optoelectronics,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herein without definition are used as defined in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delivers notice to you that a Vesting Event has occurred under the terms of the Warrant.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27"/>
        <w:gridCol w:w="9831"/>
      </w:tblGrid>
      <w:tr>
        <w:trPr/>
        <w:tc>
          <w:tcPr>
            <w:tcW w:w="4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A.</w:t>
            </w:r>
          </w:p>
        </w:tc>
        <w:tc>
          <w:tcPr>
            <w:tcW w:w="9831" w:type="dxa"/>
            <w:tcBorders/>
            <w:vAlign w:val="center"/>
          </w:tcPr>
          <w:p>
            <w:pPr>
              <w:pStyle w:val="TableContents"/>
              <w:bidi w:val="0"/>
              <w:spacing w:before="0" w:after="283"/>
              <w:jc w:val="left"/>
              <w:rPr/>
            </w:pPr>
            <w:r>
              <w:rPr>
                <w:u w:val="single"/>
              </w:rPr>
              <w:t>Vesting Event</w:t>
            </w:r>
            <w:r>
              <w:rPr/>
              <w:t>. The following Vesting Event has occurred on or around [●], 20__.</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980"/>
        <w:gridCol w:w="113"/>
      </w:tblGrid>
      <w:tr>
        <w:trPr/>
        <w:tc>
          <w:tcPr>
            <w:tcW w:w="112" w:type="dxa"/>
            <w:tcBorders/>
            <w:vAlign w:val="center"/>
          </w:tcPr>
          <w:p>
            <w:pPr>
              <w:pStyle w:val="TableContents"/>
              <w:bidi w:val="0"/>
              <w:spacing w:before="0" w:after="283"/>
              <w:jc w:val="left"/>
              <w:rPr>
                <w:sz w:val="4"/>
                <w:szCs w:val="4"/>
              </w:rPr>
            </w:pPr>
            <w:r>
              <w:rPr>
                <w:sz w:val="4"/>
                <w:szCs w:val="4"/>
              </w:rPr>
            </w:r>
          </w:p>
        </w:tc>
        <w:tc>
          <w:tcPr>
            <w:tcW w:w="9980" w:type="dxa"/>
            <w:tcBorders/>
            <w:vAlign w:val="center"/>
          </w:tcPr>
          <w:p>
            <w:pPr>
              <w:pStyle w:val="TableContents"/>
              <w:bidi w:val="0"/>
              <w:spacing w:before="0" w:after="283"/>
              <w:jc w:val="left"/>
              <w:rPr/>
            </w:pPr>
            <w:r>
              <w:rPr/>
              <w:t>____________________________</w:t>
            </w:r>
          </w:p>
        </w:tc>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u w:val="single"/>
              </w:rPr>
              <w:t>Vested Warrant Shares</w:t>
            </w:r>
            <w:r>
              <w:rPr/>
              <w:t>. After giving effect to the Vesting Event referenced in Paragraph A above, the aggregate number of Warrant Shares issuable upon exercise of the Warrant that have vested under the terms of the Warrant 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980"/>
        <w:gridCol w:w="113"/>
      </w:tblGrid>
      <w:tr>
        <w:trPr/>
        <w:tc>
          <w:tcPr>
            <w:tcW w:w="112" w:type="dxa"/>
            <w:tcBorders/>
            <w:vAlign w:val="center"/>
          </w:tcPr>
          <w:p>
            <w:pPr>
              <w:pStyle w:val="TableContents"/>
              <w:bidi w:val="0"/>
              <w:spacing w:before="0" w:after="283"/>
              <w:jc w:val="left"/>
              <w:rPr>
                <w:sz w:val="4"/>
                <w:szCs w:val="4"/>
              </w:rPr>
            </w:pPr>
            <w:r>
              <w:rPr>
                <w:sz w:val="4"/>
                <w:szCs w:val="4"/>
              </w:rPr>
            </w:r>
          </w:p>
        </w:tc>
        <w:tc>
          <w:tcPr>
            <w:tcW w:w="9980" w:type="dxa"/>
            <w:tcBorders/>
            <w:vAlign w:val="center"/>
          </w:tcPr>
          <w:p>
            <w:pPr>
              <w:pStyle w:val="TableContents"/>
              <w:bidi w:val="0"/>
              <w:spacing w:before="0" w:after="283"/>
              <w:jc w:val="left"/>
              <w:rPr/>
            </w:pPr>
            <w:r>
              <w:rPr/>
              <w:t>____________________________</w:t>
            </w:r>
          </w:p>
        </w:tc>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left"/>
              <w:rPr/>
            </w:pPr>
            <w:r>
              <w:rPr>
                <w:u w:val="single"/>
              </w:rPr>
              <w:t>Exercised Warrant Shares</w:t>
            </w:r>
            <w:r>
              <w:rPr/>
              <w:t>. The aggregate number of Warrant Shares issuable upon exercise of the Warrant that have been exercised as of the date hereof 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980"/>
        <w:gridCol w:w="113"/>
      </w:tblGrid>
      <w:tr>
        <w:trPr/>
        <w:tc>
          <w:tcPr>
            <w:tcW w:w="112" w:type="dxa"/>
            <w:tcBorders/>
            <w:vAlign w:val="center"/>
          </w:tcPr>
          <w:p>
            <w:pPr>
              <w:pStyle w:val="TableContents"/>
              <w:bidi w:val="0"/>
              <w:spacing w:before="0" w:after="283"/>
              <w:jc w:val="left"/>
              <w:rPr>
                <w:sz w:val="4"/>
                <w:szCs w:val="4"/>
              </w:rPr>
            </w:pPr>
            <w:r>
              <w:rPr>
                <w:sz w:val="4"/>
                <w:szCs w:val="4"/>
              </w:rPr>
            </w:r>
          </w:p>
        </w:tc>
        <w:tc>
          <w:tcPr>
            <w:tcW w:w="9980" w:type="dxa"/>
            <w:tcBorders/>
            <w:vAlign w:val="center"/>
          </w:tcPr>
          <w:p>
            <w:pPr>
              <w:pStyle w:val="TableContents"/>
              <w:bidi w:val="0"/>
              <w:spacing w:before="0" w:after="283"/>
              <w:jc w:val="left"/>
              <w:rPr/>
            </w:pPr>
            <w:r>
              <w:rPr/>
              <w:t>____________________________</w:t>
            </w:r>
          </w:p>
        </w:tc>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left"/>
              <w:rPr/>
            </w:pPr>
            <w:r>
              <w:rPr>
                <w:u w:val="single"/>
              </w:rPr>
              <w:t>Purchase Price of Exercised Warrant Shares</w:t>
            </w:r>
            <w:r>
              <w:rPr/>
              <w:t>. The aggregate purchase price of the Warrant Shares that have been exercised as of the date hereof 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980"/>
        <w:gridCol w:w="113"/>
      </w:tblGrid>
      <w:tr>
        <w:trPr/>
        <w:tc>
          <w:tcPr>
            <w:tcW w:w="112" w:type="dxa"/>
            <w:tcBorders/>
            <w:vAlign w:val="center"/>
          </w:tcPr>
          <w:p>
            <w:pPr>
              <w:pStyle w:val="TableContents"/>
              <w:bidi w:val="0"/>
              <w:spacing w:before="0" w:after="283"/>
              <w:jc w:val="left"/>
              <w:rPr>
                <w:sz w:val="4"/>
                <w:szCs w:val="4"/>
              </w:rPr>
            </w:pPr>
            <w:r>
              <w:rPr>
                <w:sz w:val="4"/>
                <w:szCs w:val="4"/>
              </w:rPr>
            </w:r>
          </w:p>
        </w:tc>
        <w:tc>
          <w:tcPr>
            <w:tcW w:w="9980" w:type="dxa"/>
            <w:tcBorders/>
            <w:vAlign w:val="center"/>
          </w:tcPr>
          <w:p>
            <w:pPr>
              <w:pStyle w:val="TableContents"/>
              <w:bidi w:val="0"/>
              <w:spacing w:before="0" w:after="283"/>
              <w:jc w:val="left"/>
              <w:rPr/>
            </w:pPr>
            <w:r>
              <w:rPr/>
              <w:t>____________________________</w:t>
            </w:r>
          </w:p>
        </w:tc>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left"/>
              <w:rPr/>
            </w:pPr>
            <w:r>
              <w:rPr>
                <w:u w:val="single"/>
              </w:rPr>
              <w:t>Unexercised Warrant Shares</w:t>
            </w:r>
            <w:r>
              <w:rPr/>
              <w:t>. After giving effect to the Vesting Event referenced in Paragraph A above, the aggregate number of Warrant Shares issuable upon exercise of the Warrant that have vested but remain unexercised under the Warrant 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980"/>
        <w:gridCol w:w="113"/>
      </w:tblGrid>
      <w:tr>
        <w:trPr/>
        <w:tc>
          <w:tcPr>
            <w:tcW w:w="112" w:type="dxa"/>
            <w:tcBorders/>
            <w:vAlign w:val="center"/>
          </w:tcPr>
          <w:p>
            <w:pPr>
              <w:pStyle w:val="TableContents"/>
              <w:bidi w:val="0"/>
              <w:spacing w:before="0" w:after="283"/>
              <w:jc w:val="left"/>
              <w:rPr>
                <w:sz w:val="4"/>
                <w:szCs w:val="4"/>
              </w:rPr>
            </w:pPr>
            <w:r>
              <w:rPr>
                <w:sz w:val="4"/>
                <w:szCs w:val="4"/>
              </w:rPr>
            </w:r>
          </w:p>
        </w:tc>
        <w:tc>
          <w:tcPr>
            <w:tcW w:w="9980" w:type="dxa"/>
            <w:tcBorders/>
            <w:vAlign w:val="center"/>
          </w:tcPr>
          <w:p>
            <w:pPr>
              <w:pStyle w:val="TableContents"/>
              <w:bidi w:val="0"/>
              <w:spacing w:before="0" w:after="283"/>
              <w:jc w:val="left"/>
              <w:rPr/>
            </w:pPr>
            <w:r>
              <w:rPr/>
              <w:t>____________________________</w:t>
            </w:r>
          </w:p>
        </w:tc>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9953" w:type="dxa"/>
            <w:tcBorders/>
            <w:vAlign w:val="center"/>
          </w:tcPr>
          <w:p>
            <w:pPr>
              <w:pStyle w:val="TableContents"/>
              <w:bidi w:val="0"/>
              <w:spacing w:before="0" w:after="283"/>
              <w:jc w:val="left"/>
              <w:rPr/>
            </w:pPr>
            <w:r>
              <w:rPr>
                <w:u w:val="single"/>
              </w:rPr>
              <w:t>Number of Shares Outstanding</w:t>
            </w:r>
            <w:r>
              <w:rPr/>
              <w:t>. The number of outstanding shares of Common Stock as of the date hereof 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980"/>
        <w:gridCol w:w="113"/>
      </w:tblGrid>
      <w:tr>
        <w:trPr/>
        <w:tc>
          <w:tcPr>
            <w:tcW w:w="112" w:type="dxa"/>
            <w:tcBorders/>
            <w:vAlign w:val="center"/>
          </w:tcPr>
          <w:p>
            <w:pPr>
              <w:pStyle w:val="TableContents"/>
              <w:bidi w:val="0"/>
              <w:spacing w:before="0" w:after="283"/>
              <w:jc w:val="left"/>
              <w:rPr>
                <w:sz w:val="4"/>
                <w:szCs w:val="4"/>
              </w:rPr>
            </w:pPr>
            <w:r>
              <w:rPr>
                <w:sz w:val="4"/>
                <w:szCs w:val="4"/>
              </w:rPr>
            </w:r>
          </w:p>
        </w:tc>
        <w:tc>
          <w:tcPr>
            <w:tcW w:w="9980" w:type="dxa"/>
            <w:tcBorders/>
            <w:vAlign w:val="center"/>
          </w:tcPr>
          <w:p>
            <w:pPr>
              <w:pStyle w:val="TableContents"/>
              <w:bidi w:val="0"/>
              <w:spacing w:before="0" w:after="283"/>
              <w:jc w:val="left"/>
              <w:rPr/>
            </w:pPr>
            <w:r>
              <w:rPr/>
              <w:t>____________________________</w:t>
            </w:r>
          </w:p>
        </w:tc>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2899" w:type="dxa"/>
        <w:jc w:val="left"/>
        <w:tblInd w:w="0" w:type="dxa"/>
        <w:tblLayout w:type="fixed"/>
        <w:tblCellMar>
          <w:top w:w="0" w:type="dxa"/>
          <w:left w:w="0" w:type="dxa"/>
          <w:bottom w:w="0" w:type="dxa"/>
          <w:right w:w="0" w:type="dxa"/>
        </w:tblCellMar>
      </w:tblPr>
      <w:tblGrid>
        <w:gridCol w:w="75"/>
        <w:gridCol w:w="2504"/>
        <w:gridCol w:w="320"/>
      </w:tblGrid>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pPr>
            <w:r>
              <w:rPr/>
              <w:t>Applied Optoelectronics, Inc.</w:t>
            </w:r>
          </w:p>
        </w:tc>
      </w:tr>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4" w:type="dxa"/>
            <w:tcBorders/>
            <w:vAlign w:val="center"/>
          </w:tcPr>
          <w:p>
            <w:pPr>
              <w:pStyle w:val="TableContents"/>
              <w:bidi w:val="0"/>
              <w:spacing w:before="0" w:after="283"/>
              <w:jc w:val="left"/>
              <w:rPr/>
            </w:pPr>
            <w:r>
              <w:rPr/>
              <w:t>By:</w:t>
            </w:r>
          </w:p>
        </w:tc>
        <w:tc>
          <w:tcPr>
            <w:tcW w:w="3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4" w:type="dxa"/>
            <w:tcBorders/>
            <w:vAlign w:val="center"/>
          </w:tcPr>
          <w:p>
            <w:pPr>
              <w:pStyle w:val="TableContents"/>
              <w:bidi w:val="0"/>
              <w:spacing w:before="0" w:after="283"/>
              <w:jc w:val="left"/>
              <w:rPr/>
            </w:pPr>
            <w:r>
              <w:rPr/>
              <w:t>Name:</w:t>
            </w:r>
          </w:p>
        </w:tc>
        <w:tc>
          <w:tcPr>
            <w:tcW w:w="3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4" w:type="dxa"/>
            <w:tcBorders/>
            <w:vAlign w:val="center"/>
          </w:tcPr>
          <w:p>
            <w:pPr>
              <w:pStyle w:val="TableContents"/>
              <w:bidi w:val="0"/>
              <w:spacing w:before="0" w:after="283"/>
              <w:jc w:val="left"/>
              <w:rPr/>
            </w:pPr>
            <w:r>
              <w:rPr/>
              <w:t>Title:</w:t>
            </w:r>
          </w:p>
        </w:tc>
        <w:tc>
          <w:tcPr>
            <w:tcW w:w="32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TO:</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to Purchase Shares of Warrant Shares</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RE:</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in accordance with the provisions set forth in the attached Warrant, hereby agrees to subscribe for and purchase the number of Warrant Shares set forth below covered by such Warrant. The undersigned,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Warrant, hereby agrees to pay the aggregate Exercise Price for such shares of Common Stock. A new warrant evidencing the remaining Warrant Shares covered by such Warrant, but not yet subscribed for and purchased, if any, should be issued in the name of the Warrantholder. Capitalized terms used herein without definition are used as defined in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Warrant Shares with respect to which the Warrant is being exercised (including shares to be withheld as payment of the Exercise Price in accordance with </w:t>
      </w:r>
      <w:r>
        <w:rPr>
          <w:rFonts w:ascii="Times New Roman;Times;Serif" w:hAnsi="Times New Roman;Times;Serif"/>
          <w:b w:val="false"/>
          <w:i w:val="false"/>
          <w:caps w:val="false"/>
          <w:smallCaps w:val="false"/>
          <w:sz w:val="20"/>
          <w:u w:val="single"/>
        </w:rPr>
        <w:t>Section 2(ii)</w:t>
      </w:r>
      <w:r>
        <w:rPr>
          <w:rFonts w:ascii="Times New Roman;Times;Serif" w:hAnsi="Times New Roman;Times;Serif"/>
          <w:b w:val="false"/>
          <w:i w:val="false"/>
          <w:caps w:val="false"/>
          <w:smallCaps w:val="false"/>
          <w:sz w:val="20"/>
        </w:rPr>
        <w:t xml:space="preserve"> of the Warrant, if any):</w:t>
        <w:br/>
        <w:t>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Method of Payment of Exercise Price (note if Cashless Exercise or Cash Exercise, in either case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Warrant):</w:t>
        <w:br/>
        <w:t>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Exercise Price: 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890" w:type="dxa"/>
        <w:jc w:val="left"/>
        <w:tblInd w:w="0" w:type="dxa"/>
        <w:tblLayout w:type="fixed"/>
        <w:tblCellMar>
          <w:top w:w="0" w:type="dxa"/>
          <w:left w:w="0" w:type="dxa"/>
          <w:bottom w:w="0" w:type="dxa"/>
          <w:right w:w="0" w:type="dxa"/>
        </w:tblCellMar>
      </w:tblPr>
      <w:tblGrid>
        <w:gridCol w:w="75"/>
        <w:gridCol w:w="740"/>
        <w:gridCol w:w="75"/>
      </w:tblGrid>
      <w:tr>
        <w:trPr/>
        <w:tc>
          <w:tcPr>
            <w:tcW w:w="7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Holder: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By: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4" w:name="appliedopto_ex1001.htm"/>
      <w:bookmarkStart w:id="25" w:name="ksappliedopto_ex1001"/>
      <w:bookmarkEnd w:id="24"/>
      <w:bookmarkEnd w:id="25"/>
      <w:r>
        <w:rPr>
          <w:b/>
        </w:rPr>
        <w:t>Exhibit 10.1</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IDENTIFIED INFORMATION HAS BEEN EXCLUDED FROM THIS EXHIBIT BECAUSE IT IS BOTH (I) NOT MATERIAL AND (II) THE TYPE OF INFORMATION THAT THE REGISTRANT TREATS AS PRIVATE OR CONFIDENTIAL AND HAS BEEN MARKED WITH “[***]” TO INDICATE WHERE OMISSIONS HAVE BEEN MADE.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March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APPLIED OPTOELECTRONICS,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AMAZON.COM,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5090"/>
        <w:gridCol w:w="275"/>
      </w:tblGrid>
      <w:tr>
        <w:trPr/>
        <w:tc>
          <w:tcPr>
            <w:tcW w:w="5365" w:type="dxa"/>
            <w:gridSpan w:val="2"/>
            <w:tcBorders/>
            <w:vAlign w:val="center"/>
          </w:tcPr>
          <w:p>
            <w:pPr>
              <w:pStyle w:val="TableContents"/>
              <w:bidi w:val="0"/>
              <w:jc w:val="center"/>
              <w:rPr/>
            </w:pPr>
            <w:r>
              <w:rPr/>
              <w:t>Article I</w:t>
            </w:r>
          </w:p>
          <w:p>
            <w:pPr>
              <w:pStyle w:val="TableContents"/>
              <w:bidi w:val="0"/>
              <w:jc w:val="center"/>
              <w:rPr/>
            </w:pPr>
            <w:r>
              <w:rPr/>
              <w:t>WARRANT ISSUANCE; CLOSING</w:t>
            </w:r>
          </w:p>
          <w:p>
            <w:pPr>
              <w:pStyle w:val="TableContents"/>
              <w:bidi w:val="0"/>
              <w:spacing w:before="0" w:after="283"/>
              <w:jc w:val="center"/>
              <w:rPr/>
            </w:pPr>
            <w:r>
              <w:rPr/>
              <w:t> </w:t>
            </w:r>
          </w:p>
        </w:tc>
      </w:tr>
      <w:tr>
        <w:trPr/>
        <w:tc>
          <w:tcPr>
            <w:tcW w:w="5090" w:type="dxa"/>
            <w:tcBorders/>
            <w:vAlign w:val="center"/>
          </w:tcPr>
          <w:p>
            <w:pPr>
              <w:pStyle w:val="TableContents"/>
              <w:bidi w:val="0"/>
              <w:spacing w:before="0" w:after="283"/>
              <w:jc w:val="left"/>
              <w:rPr/>
            </w:pPr>
            <w:r>
              <w:rPr/>
              <w:t>1.1   Warrant Issuance</w:t>
            </w:r>
          </w:p>
        </w:tc>
        <w:tc>
          <w:tcPr>
            <w:tcW w:w="275" w:type="dxa"/>
            <w:tcBorders/>
            <w:vAlign w:val="center"/>
          </w:tcPr>
          <w:p>
            <w:pPr>
              <w:pStyle w:val="TableContents"/>
              <w:bidi w:val="0"/>
              <w:spacing w:before="0" w:after="283"/>
              <w:jc w:val="right"/>
              <w:rPr/>
            </w:pPr>
            <w:r>
              <w:rPr/>
              <w:t>1</w:t>
            </w:r>
          </w:p>
        </w:tc>
      </w:tr>
      <w:tr>
        <w:trPr/>
        <w:tc>
          <w:tcPr>
            <w:tcW w:w="5090" w:type="dxa"/>
            <w:tcBorders/>
            <w:vAlign w:val="center"/>
          </w:tcPr>
          <w:p>
            <w:pPr>
              <w:pStyle w:val="TableContents"/>
              <w:bidi w:val="0"/>
              <w:spacing w:before="0" w:after="283"/>
              <w:jc w:val="left"/>
              <w:rPr/>
            </w:pPr>
            <w:r>
              <w:rPr/>
              <w:t>1.2   Closing</w:t>
            </w:r>
          </w:p>
        </w:tc>
        <w:tc>
          <w:tcPr>
            <w:tcW w:w="275" w:type="dxa"/>
            <w:tcBorders/>
            <w:vAlign w:val="center"/>
          </w:tcPr>
          <w:p>
            <w:pPr>
              <w:pStyle w:val="TableContents"/>
              <w:bidi w:val="0"/>
              <w:spacing w:before="0" w:after="283"/>
              <w:jc w:val="right"/>
              <w:rPr/>
            </w:pPr>
            <w:r>
              <w:rPr/>
              <w:t>1</w:t>
            </w:r>
          </w:p>
        </w:tc>
      </w:tr>
      <w:tr>
        <w:trPr/>
        <w:tc>
          <w:tcPr>
            <w:tcW w:w="5365" w:type="dxa"/>
            <w:gridSpan w:val="2"/>
            <w:tcBorders/>
            <w:vAlign w:val="center"/>
          </w:tcPr>
          <w:p>
            <w:pPr>
              <w:pStyle w:val="TableContents"/>
              <w:bidi w:val="0"/>
              <w:jc w:val="center"/>
              <w:rPr/>
            </w:pPr>
            <w:r>
              <w:rPr/>
              <w:t> </w:t>
            </w:r>
          </w:p>
          <w:p>
            <w:pPr>
              <w:pStyle w:val="TableContents"/>
              <w:bidi w:val="0"/>
              <w:jc w:val="center"/>
              <w:rPr/>
            </w:pPr>
            <w:r>
              <w:rPr/>
              <w:t>Article II</w:t>
            </w:r>
          </w:p>
          <w:p>
            <w:pPr>
              <w:pStyle w:val="TableContents"/>
              <w:bidi w:val="0"/>
              <w:jc w:val="center"/>
              <w:rPr/>
            </w:pPr>
            <w:r>
              <w:rPr/>
              <w:t>REPRESENTATIONS AND WARRANTIES</w:t>
            </w:r>
          </w:p>
          <w:p>
            <w:pPr>
              <w:pStyle w:val="TableContents"/>
              <w:bidi w:val="0"/>
              <w:spacing w:before="0" w:after="283"/>
              <w:jc w:val="center"/>
              <w:rPr/>
            </w:pPr>
            <w:r>
              <w:rPr/>
              <w:t> </w:t>
            </w:r>
          </w:p>
        </w:tc>
      </w:tr>
      <w:tr>
        <w:trPr/>
        <w:tc>
          <w:tcPr>
            <w:tcW w:w="5090" w:type="dxa"/>
            <w:tcBorders/>
            <w:vAlign w:val="center"/>
          </w:tcPr>
          <w:p>
            <w:pPr>
              <w:pStyle w:val="TableContents"/>
              <w:bidi w:val="0"/>
              <w:spacing w:before="0" w:after="283"/>
              <w:jc w:val="left"/>
              <w:rPr/>
            </w:pPr>
            <w:r>
              <w:rPr/>
              <w:t>2.1   Material Adverse Effect; Due Diligence.</w:t>
            </w:r>
          </w:p>
        </w:tc>
        <w:tc>
          <w:tcPr>
            <w:tcW w:w="275" w:type="dxa"/>
            <w:tcBorders/>
            <w:vAlign w:val="center"/>
          </w:tcPr>
          <w:p>
            <w:pPr>
              <w:pStyle w:val="TableContents"/>
              <w:bidi w:val="0"/>
              <w:spacing w:before="0" w:after="283"/>
              <w:jc w:val="right"/>
              <w:rPr/>
            </w:pPr>
            <w:r>
              <w:rPr/>
              <w:t>2</w:t>
            </w:r>
          </w:p>
        </w:tc>
      </w:tr>
      <w:tr>
        <w:trPr/>
        <w:tc>
          <w:tcPr>
            <w:tcW w:w="5090" w:type="dxa"/>
            <w:tcBorders/>
            <w:vAlign w:val="center"/>
          </w:tcPr>
          <w:p>
            <w:pPr>
              <w:pStyle w:val="TableContents"/>
              <w:bidi w:val="0"/>
              <w:spacing w:before="0" w:after="283"/>
              <w:jc w:val="left"/>
              <w:rPr/>
            </w:pPr>
            <w:r>
              <w:rPr/>
              <w:t>2.2   Representations and Warranties of the Company</w:t>
            </w:r>
          </w:p>
        </w:tc>
        <w:tc>
          <w:tcPr>
            <w:tcW w:w="275" w:type="dxa"/>
            <w:tcBorders/>
            <w:vAlign w:val="center"/>
          </w:tcPr>
          <w:p>
            <w:pPr>
              <w:pStyle w:val="TableContents"/>
              <w:bidi w:val="0"/>
              <w:spacing w:before="0" w:after="283"/>
              <w:jc w:val="right"/>
              <w:rPr/>
            </w:pPr>
            <w:r>
              <w:rPr/>
              <w:t>2</w:t>
            </w:r>
          </w:p>
        </w:tc>
      </w:tr>
      <w:tr>
        <w:trPr/>
        <w:tc>
          <w:tcPr>
            <w:tcW w:w="5090" w:type="dxa"/>
            <w:tcBorders/>
            <w:vAlign w:val="center"/>
          </w:tcPr>
          <w:p>
            <w:pPr>
              <w:pStyle w:val="TableContents"/>
              <w:bidi w:val="0"/>
              <w:spacing w:before="0" w:after="283"/>
              <w:jc w:val="left"/>
              <w:rPr/>
            </w:pPr>
            <w:r>
              <w:rPr/>
              <w:t>2.3   Representations and Warranties of Amazon</w:t>
            </w:r>
          </w:p>
        </w:tc>
        <w:tc>
          <w:tcPr>
            <w:tcW w:w="275" w:type="dxa"/>
            <w:tcBorders/>
            <w:vAlign w:val="center"/>
          </w:tcPr>
          <w:p>
            <w:pPr>
              <w:pStyle w:val="TableContents"/>
              <w:bidi w:val="0"/>
              <w:spacing w:before="0" w:after="283"/>
              <w:jc w:val="right"/>
              <w:rPr/>
            </w:pPr>
            <w:r>
              <w:rPr/>
              <w:t>6</w:t>
            </w:r>
          </w:p>
        </w:tc>
      </w:tr>
      <w:tr>
        <w:trPr/>
        <w:tc>
          <w:tcPr>
            <w:tcW w:w="5090" w:type="dxa"/>
            <w:tcBorders/>
            <w:vAlign w:val="center"/>
          </w:tcPr>
          <w:p>
            <w:pPr>
              <w:pStyle w:val="TableContents"/>
              <w:bidi w:val="0"/>
              <w:spacing w:before="0" w:after="283"/>
              <w:jc w:val="left"/>
              <w:rPr/>
            </w:pPr>
            <w:r>
              <w:rPr/>
              <w:t>2.4   Survival</w:t>
            </w:r>
          </w:p>
        </w:tc>
        <w:tc>
          <w:tcPr>
            <w:tcW w:w="275" w:type="dxa"/>
            <w:tcBorders/>
            <w:vAlign w:val="center"/>
          </w:tcPr>
          <w:p>
            <w:pPr>
              <w:pStyle w:val="TableContents"/>
              <w:bidi w:val="0"/>
              <w:spacing w:before="0" w:after="283"/>
              <w:jc w:val="right"/>
              <w:rPr/>
            </w:pPr>
            <w:r>
              <w:rPr/>
              <w:t>7</w:t>
            </w:r>
          </w:p>
        </w:tc>
      </w:tr>
      <w:tr>
        <w:trPr/>
        <w:tc>
          <w:tcPr>
            <w:tcW w:w="5365" w:type="dxa"/>
            <w:gridSpan w:val="2"/>
            <w:tcBorders/>
            <w:vAlign w:val="center"/>
          </w:tcPr>
          <w:p>
            <w:pPr>
              <w:pStyle w:val="TableContents"/>
              <w:bidi w:val="0"/>
              <w:jc w:val="center"/>
              <w:rPr/>
            </w:pPr>
            <w:r>
              <w:rPr/>
              <w:t> </w:t>
            </w:r>
          </w:p>
          <w:p>
            <w:pPr>
              <w:pStyle w:val="TableContents"/>
              <w:bidi w:val="0"/>
              <w:jc w:val="center"/>
              <w:rPr/>
            </w:pPr>
            <w:r>
              <w:rPr/>
              <w:t>Article III</w:t>
            </w:r>
          </w:p>
          <w:p>
            <w:pPr>
              <w:pStyle w:val="TableContents"/>
              <w:bidi w:val="0"/>
              <w:jc w:val="center"/>
              <w:rPr/>
            </w:pPr>
            <w:r>
              <w:rPr/>
              <w:t>COVENANTS</w:t>
            </w:r>
          </w:p>
          <w:p>
            <w:pPr>
              <w:pStyle w:val="TableContents"/>
              <w:bidi w:val="0"/>
              <w:spacing w:before="0" w:after="283"/>
              <w:jc w:val="center"/>
              <w:rPr/>
            </w:pPr>
            <w:r>
              <w:rPr/>
              <w:t> </w:t>
            </w:r>
          </w:p>
        </w:tc>
      </w:tr>
      <w:tr>
        <w:trPr/>
        <w:tc>
          <w:tcPr>
            <w:tcW w:w="5090" w:type="dxa"/>
            <w:tcBorders/>
            <w:vAlign w:val="center"/>
          </w:tcPr>
          <w:p>
            <w:pPr>
              <w:pStyle w:val="TableContents"/>
              <w:bidi w:val="0"/>
              <w:spacing w:before="0" w:after="283"/>
              <w:jc w:val="left"/>
              <w:rPr/>
            </w:pPr>
            <w:r>
              <w:rPr/>
              <w:t>3.1   Efforts</w:t>
            </w:r>
          </w:p>
        </w:tc>
        <w:tc>
          <w:tcPr>
            <w:tcW w:w="275" w:type="dxa"/>
            <w:tcBorders/>
            <w:vAlign w:val="center"/>
          </w:tcPr>
          <w:p>
            <w:pPr>
              <w:pStyle w:val="TableContents"/>
              <w:bidi w:val="0"/>
              <w:spacing w:before="0" w:after="283"/>
              <w:jc w:val="right"/>
              <w:rPr/>
            </w:pPr>
            <w:r>
              <w:rPr/>
              <w:t>7</w:t>
            </w:r>
          </w:p>
        </w:tc>
      </w:tr>
      <w:tr>
        <w:trPr/>
        <w:tc>
          <w:tcPr>
            <w:tcW w:w="5090" w:type="dxa"/>
            <w:tcBorders/>
            <w:vAlign w:val="center"/>
          </w:tcPr>
          <w:p>
            <w:pPr>
              <w:pStyle w:val="TableContents"/>
              <w:bidi w:val="0"/>
              <w:spacing w:before="0" w:after="283"/>
              <w:jc w:val="left"/>
              <w:rPr/>
            </w:pPr>
            <w:r>
              <w:rPr/>
              <w:t>3.2   Public Announcements</w:t>
            </w:r>
          </w:p>
        </w:tc>
        <w:tc>
          <w:tcPr>
            <w:tcW w:w="275" w:type="dxa"/>
            <w:tcBorders/>
            <w:vAlign w:val="center"/>
          </w:tcPr>
          <w:p>
            <w:pPr>
              <w:pStyle w:val="TableContents"/>
              <w:bidi w:val="0"/>
              <w:spacing w:before="0" w:after="283"/>
              <w:jc w:val="right"/>
              <w:rPr/>
            </w:pPr>
            <w:r>
              <w:rPr/>
              <w:t>10</w:t>
            </w:r>
          </w:p>
        </w:tc>
      </w:tr>
      <w:tr>
        <w:trPr/>
        <w:tc>
          <w:tcPr>
            <w:tcW w:w="5090" w:type="dxa"/>
            <w:tcBorders/>
            <w:vAlign w:val="center"/>
          </w:tcPr>
          <w:p>
            <w:pPr>
              <w:pStyle w:val="TableContents"/>
              <w:bidi w:val="0"/>
              <w:spacing w:before="0" w:after="283"/>
              <w:jc w:val="left"/>
              <w:rPr/>
            </w:pPr>
            <w:r>
              <w:rPr/>
              <w:t>3.3   Expenses</w:t>
            </w:r>
          </w:p>
        </w:tc>
        <w:tc>
          <w:tcPr>
            <w:tcW w:w="275" w:type="dxa"/>
            <w:tcBorders/>
            <w:vAlign w:val="center"/>
          </w:tcPr>
          <w:p>
            <w:pPr>
              <w:pStyle w:val="TableContents"/>
              <w:bidi w:val="0"/>
              <w:spacing w:before="0" w:after="283"/>
              <w:jc w:val="right"/>
              <w:rPr/>
            </w:pPr>
            <w:r>
              <w:rPr/>
              <w:t>11</w:t>
            </w:r>
          </w:p>
        </w:tc>
      </w:tr>
      <w:tr>
        <w:trPr/>
        <w:tc>
          <w:tcPr>
            <w:tcW w:w="5090" w:type="dxa"/>
            <w:tcBorders/>
            <w:vAlign w:val="center"/>
          </w:tcPr>
          <w:p>
            <w:pPr>
              <w:pStyle w:val="TableContents"/>
              <w:bidi w:val="0"/>
              <w:spacing w:before="0" w:after="283"/>
              <w:jc w:val="left"/>
              <w:rPr/>
            </w:pPr>
            <w:r>
              <w:rPr/>
              <w:t>3.4   Board Observer</w:t>
            </w:r>
          </w:p>
        </w:tc>
        <w:tc>
          <w:tcPr>
            <w:tcW w:w="275" w:type="dxa"/>
            <w:tcBorders/>
            <w:vAlign w:val="center"/>
          </w:tcPr>
          <w:p>
            <w:pPr>
              <w:pStyle w:val="TableContents"/>
              <w:bidi w:val="0"/>
              <w:spacing w:before="0" w:after="283"/>
              <w:jc w:val="right"/>
              <w:rPr/>
            </w:pPr>
            <w:r>
              <w:rPr/>
              <w:t>11</w:t>
            </w:r>
          </w:p>
        </w:tc>
      </w:tr>
      <w:tr>
        <w:trPr/>
        <w:tc>
          <w:tcPr>
            <w:tcW w:w="5090" w:type="dxa"/>
            <w:tcBorders/>
            <w:vAlign w:val="center"/>
          </w:tcPr>
          <w:p>
            <w:pPr>
              <w:pStyle w:val="TableContents"/>
              <w:bidi w:val="0"/>
              <w:spacing w:before="0" w:after="283"/>
              <w:jc w:val="left"/>
              <w:rPr/>
            </w:pPr>
            <w:r>
              <w:rPr/>
              <w:t>3.5   Tax Treatment</w:t>
            </w:r>
          </w:p>
        </w:tc>
        <w:tc>
          <w:tcPr>
            <w:tcW w:w="275" w:type="dxa"/>
            <w:tcBorders/>
            <w:vAlign w:val="center"/>
          </w:tcPr>
          <w:p>
            <w:pPr>
              <w:pStyle w:val="TableContents"/>
              <w:bidi w:val="0"/>
              <w:spacing w:before="0" w:after="283"/>
              <w:jc w:val="right"/>
              <w:rPr/>
            </w:pPr>
            <w:r>
              <w:rPr/>
              <w:t>12</w:t>
            </w:r>
          </w:p>
        </w:tc>
      </w:tr>
      <w:tr>
        <w:trPr/>
        <w:tc>
          <w:tcPr>
            <w:tcW w:w="5090" w:type="dxa"/>
            <w:tcBorders/>
            <w:vAlign w:val="center"/>
          </w:tcPr>
          <w:p>
            <w:pPr>
              <w:pStyle w:val="TableContents"/>
              <w:bidi w:val="0"/>
              <w:spacing w:before="0" w:after="283"/>
              <w:jc w:val="left"/>
              <w:rPr/>
            </w:pPr>
            <w:r>
              <w:rPr/>
              <w:t>3.6   MNPI</w:t>
            </w:r>
          </w:p>
        </w:tc>
        <w:tc>
          <w:tcPr>
            <w:tcW w:w="275" w:type="dxa"/>
            <w:tcBorders/>
            <w:vAlign w:val="center"/>
          </w:tcPr>
          <w:p>
            <w:pPr>
              <w:pStyle w:val="TableContents"/>
              <w:bidi w:val="0"/>
              <w:spacing w:before="0" w:after="283"/>
              <w:jc w:val="right"/>
              <w:rPr/>
            </w:pPr>
            <w:r>
              <w:rPr/>
              <w:t>12</w:t>
            </w:r>
          </w:p>
        </w:tc>
      </w:tr>
      <w:tr>
        <w:trPr/>
        <w:tc>
          <w:tcPr>
            <w:tcW w:w="5365" w:type="dxa"/>
            <w:gridSpan w:val="2"/>
            <w:tcBorders/>
            <w:vAlign w:val="center"/>
          </w:tcPr>
          <w:p>
            <w:pPr>
              <w:pStyle w:val="TableContents"/>
              <w:bidi w:val="0"/>
              <w:jc w:val="center"/>
              <w:rPr/>
            </w:pPr>
            <w:r>
              <w:rPr/>
              <w:t> </w:t>
            </w:r>
          </w:p>
          <w:p>
            <w:pPr>
              <w:pStyle w:val="TableContents"/>
              <w:bidi w:val="0"/>
              <w:jc w:val="center"/>
              <w:rPr/>
            </w:pPr>
            <w:r>
              <w:rPr/>
              <w:t>Article IV</w:t>
            </w:r>
          </w:p>
          <w:p>
            <w:pPr>
              <w:pStyle w:val="TableContents"/>
              <w:bidi w:val="0"/>
              <w:jc w:val="center"/>
              <w:rPr/>
            </w:pPr>
            <w:r>
              <w:rPr/>
              <w:t>ADDITIONAL AGREEMENTS</w:t>
            </w:r>
          </w:p>
          <w:p>
            <w:pPr>
              <w:pStyle w:val="TableContents"/>
              <w:bidi w:val="0"/>
              <w:spacing w:before="0" w:after="283"/>
              <w:jc w:val="center"/>
              <w:rPr/>
            </w:pPr>
            <w:r>
              <w:rPr/>
              <w:t> </w:t>
            </w:r>
          </w:p>
        </w:tc>
      </w:tr>
      <w:tr>
        <w:trPr/>
        <w:tc>
          <w:tcPr>
            <w:tcW w:w="5090" w:type="dxa"/>
            <w:tcBorders/>
            <w:vAlign w:val="center"/>
          </w:tcPr>
          <w:p>
            <w:pPr>
              <w:pStyle w:val="TableContents"/>
              <w:bidi w:val="0"/>
              <w:spacing w:before="0" w:after="283"/>
              <w:jc w:val="left"/>
              <w:rPr/>
            </w:pPr>
            <w:r>
              <w:rPr/>
              <w:t>4.1   Acquisition for Investment</w:t>
            </w:r>
          </w:p>
        </w:tc>
        <w:tc>
          <w:tcPr>
            <w:tcW w:w="275" w:type="dxa"/>
            <w:tcBorders/>
            <w:vAlign w:val="center"/>
          </w:tcPr>
          <w:p>
            <w:pPr>
              <w:pStyle w:val="TableContents"/>
              <w:bidi w:val="0"/>
              <w:spacing w:before="0" w:after="283"/>
              <w:jc w:val="right"/>
              <w:rPr/>
            </w:pPr>
            <w:r>
              <w:rPr/>
              <w:t>12</w:t>
            </w:r>
          </w:p>
        </w:tc>
      </w:tr>
      <w:tr>
        <w:trPr/>
        <w:tc>
          <w:tcPr>
            <w:tcW w:w="5090" w:type="dxa"/>
            <w:tcBorders/>
            <w:vAlign w:val="center"/>
          </w:tcPr>
          <w:p>
            <w:pPr>
              <w:pStyle w:val="TableContents"/>
              <w:bidi w:val="0"/>
              <w:spacing w:before="0" w:after="283"/>
              <w:jc w:val="left"/>
              <w:rPr/>
            </w:pPr>
            <w:r>
              <w:rPr/>
              <w:t>4.2   Legend</w:t>
            </w:r>
          </w:p>
        </w:tc>
        <w:tc>
          <w:tcPr>
            <w:tcW w:w="275" w:type="dxa"/>
            <w:tcBorders/>
            <w:vAlign w:val="center"/>
          </w:tcPr>
          <w:p>
            <w:pPr>
              <w:pStyle w:val="TableContents"/>
              <w:bidi w:val="0"/>
              <w:spacing w:before="0" w:after="283"/>
              <w:jc w:val="right"/>
              <w:rPr/>
            </w:pPr>
            <w:r>
              <w:rPr/>
              <w:t>13</w:t>
            </w:r>
          </w:p>
        </w:tc>
      </w:tr>
      <w:tr>
        <w:trPr/>
        <w:tc>
          <w:tcPr>
            <w:tcW w:w="5090" w:type="dxa"/>
            <w:tcBorders/>
            <w:vAlign w:val="center"/>
          </w:tcPr>
          <w:p>
            <w:pPr>
              <w:pStyle w:val="TableContents"/>
              <w:bidi w:val="0"/>
              <w:spacing w:before="0" w:after="283"/>
              <w:jc w:val="left"/>
              <w:rPr/>
            </w:pPr>
            <w:r>
              <w:rPr/>
              <w:t>4.3   Anti-Takeover Provisions</w:t>
            </w:r>
          </w:p>
        </w:tc>
        <w:tc>
          <w:tcPr>
            <w:tcW w:w="275" w:type="dxa"/>
            <w:tcBorders/>
            <w:vAlign w:val="center"/>
          </w:tcPr>
          <w:p>
            <w:pPr>
              <w:pStyle w:val="TableContents"/>
              <w:bidi w:val="0"/>
              <w:spacing w:before="0" w:after="283"/>
              <w:jc w:val="right"/>
              <w:rPr/>
            </w:pPr>
            <w:r>
              <w:rPr/>
              <w:t>14</w:t>
            </w:r>
          </w:p>
        </w:tc>
      </w:tr>
      <w:tr>
        <w:trPr/>
        <w:tc>
          <w:tcPr>
            <w:tcW w:w="5090" w:type="dxa"/>
            <w:tcBorders/>
            <w:vAlign w:val="center"/>
          </w:tcPr>
          <w:p>
            <w:pPr>
              <w:pStyle w:val="TableContents"/>
              <w:bidi w:val="0"/>
              <w:spacing w:before="0" w:after="283"/>
              <w:jc w:val="left"/>
              <w:rPr/>
            </w:pPr>
            <w:r>
              <w:rPr/>
              <w:t>4.4   Transfers</w:t>
            </w:r>
          </w:p>
        </w:tc>
        <w:tc>
          <w:tcPr>
            <w:tcW w:w="275" w:type="dxa"/>
            <w:tcBorders/>
            <w:vAlign w:val="center"/>
          </w:tcPr>
          <w:p>
            <w:pPr>
              <w:pStyle w:val="TableContents"/>
              <w:bidi w:val="0"/>
              <w:spacing w:before="0" w:after="283"/>
              <w:jc w:val="right"/>
              <w:rPr/>
            </w:pPr>
            <w:r>
              <w:rPr/>
              <w:t>14</w:t>
            </w:r>
          </w:p>
        </w:tc>
      </w:tr>
      <w:tr>
        <w:trPr/>
        <w:tc>
          <w:tcPr>
            <w:tcW w:w="5090" w:type="dxa"/>
            <w:tcBorders/>
            <w:vAlign w:val="center"/>
          </w:tcPr>
          <w:p>
            <w:pPr>
              <w:pStyle w:val="TableContents"/>
              <w:bidi w:val="0"/>
              <w:spacing w:before="0" w:after="283"/>
              <w:jc w:val="left"/>
              <w:rPr/>
            </w:pPr>
            <w:r>
              <w:rPr/>
              <w:t>4.5   Reports under Exchange Act</w:t>
            </w:r>
          </w:p>
        </w:tc>
        <w:tc>
          <w:tcPr>
            <w:tcW w:w="275" w:type="dxa"/>
            <w:tcBorders/>
            <w:vAlign w:val="center"/>
          </w:tcPr>
          <w:p>
            <w:pPr>
              <w:pStyle w:val="TableContents"/>
              <w:bidi w:val="0"/>
              <w:spacing w:before="0" w:after="283"/>
              <w:jc w:val="right"/>
              <w:rPr/>
            </w:pPr>
            <w:r>
              <w:rPr/>
              <w:t>14</w:t>
            </w:r>
          </w:p>
        </w:tc>
      </w:tr>
      <w:tr>
        <w:trPr/>
        <w:tc>
          <w:tcPr>
            <w:tcW w:w="5090" w:type="dxa"/>
            <w:tcBorders/>
            <w:vAlign w:val="center"/>
          </w:tcPr>
          <w:p>
            <w:pPr>
              <w:pStyle w:val="TableContents"/>
              <w:bidi w:val="0"/>
              <w:spacing w:before="0" w:after="283"/>
              <w:jc w:val="left"/>
              <w:rPr/>
            </w:pPr>
            <w:r>
              <w:rPr/>
              <w:t>4.6   Right of Notice</w:t>
            </w:r>
          </w:p>
        </w:tc>
        <w:tc>
          <w:tcPr>
            <w:tcW w:w="275" w:type="dxa"/>
            <w:tcBorders/>
            <w:vAlign w:val="center"/>
          </w:tcPr>
          <w:p>
            <w:pPr>
              <w:pStyle w:val="TableContents"/>
              <w:bidi w:val="0"/>
              <w:spacing w:before="0" w:after="283"/>
              <w:jc w:val="right"/>
              <w:rPr/>
            </w:pPr>
            <w:r>
              <w:rPr/>
              <w:t>15</w:t>
            </w:r>
          </w:p>
        </w:tc>
      </w:tr>
      <w:tr>
        <w:trPr/>
        <w:tc>
          <w:tcPr>
            <w:tcW w:w="5365" w:type="dxa"/>
            <w:gridSpan w:val="2"/>
            <w:tcBorders/>
            <w:vAlign w:val="center"/>
          </w:tcPr>
          <w:p>
            <w:pPr>
              <w:pStyle w:val="TableContents"/>
              <w:bidi w:val="0"/>
              <w:jc w:val="center"/>
              <w:rPr/>
            </w:pPr>
            <w:r>
              <w:rPr/>
              <w:t> </w:t>
            </w:r>
          </w:p>
          <w:p>
            <w:pPr>
              <w:pStyle w:val="TableContents"/>
              <w:bidi w:val="0"/>
              <w:jc w:val="center"/>
              <w:rPr/>
            </w:pPr>
            <w:r>
              <w:rPr/>
              <w:t>Article V</w:t>
            </w:r>
          </w:p>
          <w:p>
            <w:pPr>
              <w:pStyle w:val="TableContents"/>
              <w:bidi w:val="0"/>
              <w:jc w:val="center"/>
              <w:rPr/>
            </w:pPr>
            <w:r>
              <w:rPr/>
              <w:t>INFORMATION</w:t>
            </w:r>
          </w:p>
          <w:p>
            <w:pPr>
              <w:pStyle w:val="TableContents"/>
              <w:bidi w:val="0"/>
              <w:spacing w:before="0" w:after="283"/>
              <w:jc w:val="center"/>
              <w:rPr/>
            </w:pPr>
            <w:r>
              <w:rPr/>
              <w:t> </w:t>
            </w:r>
          </w:p>
        </w:tc>
      </w:tr>
      <w:tr>
        <w:trPr/>
        <w:tc>
          <w:tcPr>
            <w:tcW w:w="5090" w:type="dxa"/>
            <w:tcBorders/>
            <w:vAlign w:val="center"/>
          </w:tcPr>
          <w:p>
            <w:pPr>
              <w:pStyle w:val="TableContents"/>
              <w:bidi w:val="0"/>
              <w:spacing w:before="0" w:after="283"/>
              <w:jc w:val="left"/>
              <w:rPr/>
            </w:pPr>
            <w:r>
              <w:rPr/>
              <w:t>5.1   Information Rights</w:t>
            </w:r>
          </w:p>
        </w:tc>
        <w:tc>
          <w:tcPr>
            <w:tcW w:w="275" w:type="dxa"/>
            <w:tcBorders/>
            <w:vAlign w:val="center"/>
          </w:tcPr>
          <w:p>
            <w:pPr>
              <w:pStyle w:val="TableContents"/>
              <w:bidi w:val="0"/>
              <w:spacing w:before="0" w:after="283"/>
              <w:jc w:val="right"/>
              <w:rPr/>
            </w:pPr>
            <w:r>
              <w:rPr/>
              <w:t>16</w:t>
            </w:r>
          </w:p>
        </w:tc>
      </w:tr>
      <w:tr>
        <w:trPr/>
        <w:tc>
          <w:tcPr>
            <w:tcW w:w="5090" w:type="dxa"/>
            <w:tcBorders/>
            <w:vAlign w:val="center"/>
          </w:tcPr>
          <w:p>
            <w:pPr>
              <w:pStyle w:val="TableContents"/>
              <w:bidi w:val="0"/>
              <w:spacing w:before="0" w:after="283"/>
              <w:jc w:val="left"/>
              <w:rPr/>
            </w:pPr>
            <w:r>
              <w:rPr/>
              <w:t>5.2   Tax Reporting Requirements</w:t>
            </w:r>
          </w:p>
        </w:tc>
        <w:tc>
          <w:tcPr>
            <w:tcW w:w="275" w:type="dxa"/>
            <w:tcBorders/>
            <w:vAlign w:val="center"/>
          </w:tcPr>
          <w:p>
            <w:pPr>
              <w:pStyle w:val="TableContents"/>
              <w:bidi w:val="0"/>
              <w:spacing w:before="0" w:after="283"/>
              <w:jc w:val="right"/>
              <w:rPr/>
            </w:pPr>
            <w:r>
              <w:rPr/>
              <w:t>16</w:t>
            </w:r>
          </w:p>
        </w:tc>
      </w:tr>
      <w:tr>
        <w:trPr/>
        <w:tc>
          <w:tcPr>
            <w:tcW w:w="5090" w:type="dxa"/>
            <w:tcBorders/>
            <w:vAlign w:val="center"/>
          </w:tcPr>
          <w:p>
            <w:pPr>
              <w:pStyle w:val="TableContents"/>
              <w:bidi w:val="0"/>
              <w:spacing w:before="0" w:after="283"/>
              <w:jc w:val="left"/>
              <w:rPr/>
            </w:pPr>
            <w:r>
              <w:rPr/>
              <w:t>5.3   Survival</w:t>
            </w:r>
          </w:p>
        </w:tc>
        <w:tc>
          <w:tcPr>
            <w:tcW w:w="275" w:type="dxa"/>
            <w:tcBorders/>
            <w:vAlign w:val="center"/>
          </w:tcPr>
          <w:p>
            <w:pPr>
              <w:pStyle w:val="TableContents"/>
              <w:bidi w:val="0"/>
              <w:spacing w:before="0" w:after="283"/>
              <w:jc w:val="right"/>
              <w:rPr/>
            </w:pPr>
            <w:r>
              <w:rPr/>
              <w:t>17</w:t>
            </w:r>
          </w:p>
        </w:tc>
      </w:tr>
      <w:tr>
        <w:trPr/>
        <w:tc>
          <w:tcPr>
            <w:tcW w:w="5365" w:type="dxa"/>
            <w:gridSpan w:val="2"/>
            <w:tcBorders/>
            <w:vAlign w:val="center"/>
          </w:tcPr>
          <w:p>
            <w:pPr>
              <w:pStyle w:val="TableContents"/>
              <w:bidi w:val="0"/>
              <w:spacing w:before="0" w:after="283"/>
              <w:jc w:val="left"/>
              <w:rPr>
                <w:sz w:val="4"/>
                <w:szCs w:val="4"/>
              </w:rPr>
            </w:pPr>
            <w:r>
              <w:rPr>
                <w:sz w:val="4"/>
                <w:szCs w:val="4"/>
              </w:rPr>
            </w:r>
          </w:p>
        </w:tc>
      </w:tr>
    </w:tbl>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7825" w:type="dxa"/>
        <w:jc w:val="left"/>
        <w:tblInd w:w="0" w:type="dxa"/>
        <w:tblLayout w:type="fixed"/>
        <w:tblCellMar>
          <w:top w:w="0" w:type="dxa"/>
          <w:left w:w="0" w:type="dxa"/>
          <w:bottom w:w="0" w:type="dxa"/>
          <w:right w:w="0" w:type="dxa"/>
        </w:tblCellMar>
      </w:tblPr>
      <w:tblGrid>
        <w:gridCol w:w="7550"/>
        <w:gridCol w:w="275"/>
      </w:tblGrid>
      <w:tr>
        <w:trPr/>
        <w:tc>
          <w:tcPr>
            <w:tcW w:w="7825" w:type="dxa"/>
            <w:gridSpan w:val="2"/>
            <w:tcBorders/>
            <w:vAlign w:val="center"/>
          </w:tcPr>
          <w:p>
            <w:pPr>
              <w:pStyle w:val="TableContents"/>
              <w:bidi w:val="0"/>
              <w:jc w:val="center"/>
              <w:rPr/>
            </w:pPr>
            <w:r>
              <w:rPr/>
              <w:t> </w:t>
            </w:r>
          </w:p>
          <w:p>
            <w:pPr>
              <w:pStyle w:val="TableContents"/>
              <w:bidi w:val="0"/>
              <w:jc w:val="center"/>
              <w:rPr/>
            </w:pPr>
            <w:r>
              <w:rPr/>
              <w:t>Article VI</w:t>
            </w:r>
          </w:p>
          <w:p>
            <w:pPr>
              <w:pStyle w:val="TableContents"/>
              <w:bidi w:val="0"/>
              <w:jc w:val="center"/>
              <w:rPr/>
            </w:pPr>
            <w:r>
              <w:rPr/>
              <w:t>REGISTRATION</w:t>
            </w:r>
          </w:p>
          <w:p>
            <w:pPr>
              <w:pStyle w:val="TableContents"/>
              <w:bidi w:val="0"/>
              <w:spacing w:before="0" w:after="283"/>
              <w:jc w:val="center"/>
              <w:rPr/>
            </w:pPr>
            <w:r>
              <w:rPr/>
              <w:t> </w:t>
            </w:r>
          </w:p>
        </w:tc>
      </w:tr>
      <w:tr>
        <w:trPr/>
        <w:tc>
          <w:tcPr>
            <w:tcW w:w="7550" w:type="dxa"/>
            <w:tcBorders/>
            <w:vAlign w:val="center"/>
          </w:tcPr>
          <w:p>
            <w:pPr>
              <w:pStyle w:val="TableContents"/>
              <w:bidi w:val="0"/>
              <w:spacing w:before="0" w:after="283"/>
              <w:jc w:val="left"/>
              <w:rPr/>
            </w:pPr>
            <w:r>
              <w:rPr/>
              <w:t>6.1   Shelf Registration Statement</w:t>
            </w:r>
          </w:p>
        </w:tc>
        <w:tc>
          <w:tcPr>
            <w:tcW w:w="275" w:type="dxa"/>
            <w:tcBorders/>
            <w:vAlign w:val="center"/>
          </w:tcPr>
          <w:p>
            <w:pPr>
              <w:pStyle w:val="TableContents"/>
              <w:bidi w:val="0"/>
              <w:spacing w:before="0" w:after="283"/>
              <w:jc w:val="right"/>
              <w:rPr/>
            </w:pPr>
            <w:r>
              <w:rPr/>
              <w:t>17</w:t>
            </w:r>
          </w:p>
        </w:tc>
      </w:tr>
      <w:tr>
        <w:trPr/>
        <w:tc>
          <w:tcPr>
            <w:tcW w:w="7550" w:type="dxa"/>
            <w:tcBorders/>
            <w:vAlign w:val="center"/>
          </w:tcPr>
          <w:p>
            <w:pPr>
              <w:pStyle w:val="TableContents"/>
              <w:bidi w:val="0"/>
              <w:spacing w:before="0" w:after="283"/>
              <w:jc w:val="left"/>
              <w:rPr/>
            </w:pPr>
            <w:r>
              <w:rPr/>
              <w:t>6.2   Piggyback Registrations</w:t>
            </w:r>
          </w:p>
        </w:tc>
        <w:tc>
          <w:tcPr>
            <w:tcW w:w="275" w:type="dxa"/>
            <w:tcBorders/>
            <w:vAlign w:val="center"/>
          </w:tcPr>
          <w:p>
            <w:pPr>
              <w:pStyle w:val="TableContents"/>
              <w:bidi w:val="0"/>
              <w:spacing w:before="0" w:after="283"/>
              <w:jc w:val="right"/>
              <w:rPr/>
            </w:pPr>
            <w:r>
              <w:rPr/>
              <w:t>18</w:t>
            </w:r>
          </w:p>
        </w:tc>
      </w:tr>
      <w:tr>
        <w:trPr/>
        <w:tc>
          <w:tcPr>
            <w:tcW w:w="7550" w:type="dxa"/>
            <w:tcBorders/>
            <w:vAlign w:val="center"/>
          </w:tcPr>
          <w:p>
            <w:pPr>
              <w:pStyle w:val="TableContents"/>
              <w:bidi w:val="0"/>
              <w:spacing w:before="0" w:after="283"/>
              <w:jc w:val="left"/>
              <w:rPr/>
            </w:pPr>
            <w:r>
              <w:rPr/>
              <w:t>6.3   Holdback Agreements</w:t>
            </w:r>
          </w:p>
        </w:tc>
        <w:tc>
          <w:tcPr>
            <w:tcW w:w="275" w:type="dxa"/>
            <w:tcBorders/>
            <w:vAlign w:val="center"/>
          </w:tcPr>
          <w:p>
            <w:pPr>
              <w:pStyle w:val="TableContents"/>
              <w:bidi w:val="0"/>
              <w:spacing w:before="0" w:after="283"/>
              <w:jc w:val="right"/>
              <w:rPr/>
            </w:pPr>
            <w:r>
              <w:rPr/>
              <w:t>19</w:t>
            </w:r>
          </w:p>
        </w:tc>
      </w:tr>
      <w:tr>
        <w:trPr/>
        <w:tc>
          <w:tcPr>
            <w:tcW w:w="7550" w:type="dxa"/>
            <w:tcBorders/>
            <w:vAlign w:val="center"/>
          </w:tcPr>
          <w:p>
            <w:pPr>
              <w:pStyle w:val="TableContents"/>
              <w:bidi w:val="0"/>
              <w:spacing w:before="0" w:after="283"/>
              <w:jc w:val="left"/>
              <w:rPr/>
            </w:pPr>
            <w:r>
              <w:rPr/>
              <w:t>6.4   Registration Procedures</w:t>
            </w:r>
          </w:p>
        </w:tc>
        <w:tc>
          <w:tcPr>
            <w:tcW w:w="275" w:type="dxa"/>
            <w:tcBorders/>
            <w:vAlign w:val="center"/>
          </w:tcPr>
          <w:p>
            <w:pPr>
              <w:pStyle w:val="TableContents"/>
              <w:bidi w:val="0"/>
              <w:spacing w:before="0" w:after="283"/>
              <w:jc w:val="right"/>
              <w:rPr/>
            </w:pPr>
            <w:r>
              <w:rPr/>
              <w:t>19</w:t>
            </w:r>
          </w:p>
        </w:tc>
      </w:tr>
      <w:tr>
        <w:trPr/>
        <w:tc>
          <w:tcPr>
            <w:tcW w:w="7550" w:type="dxa"/>
            <w:tcBorders/>
            <w:vAlign w:val="center"/>
          </w:tcPr>
          <w:p>
            <w:pPr>
              <w:pStyle w:val="TableContents"/>
              <w:bidi w:val="0"/>
              <w:spacing w:before="0" w:after="283"/>
              <w:jc w:val="left"/>
              <w:rPr/>
            </w:pPr>
            <w:r>
              <w:rPr/>
              <w:t>6.5   Registration Expenses</w:t>
            </w:r>
          </w:p>
        </w:tc>
        <w:tc>
          <w:tcPr>
            <w:tcW w:w="275" w:type="dxa"/>
            <w:tcBorders/>
            <w:vAlign w:val="center"/>
          </w:tcPr>
          <w:p>
            <w:pPr>
              <w:pStyle w:val="TableContents"/>
              <w:bidi w:val="0"/>
              <w:spacing w:before="0" w:after="283"/>
              <w:jc w:val="right"/>
              <w:rPr/>
            </w:pPr>
            <w:r>
              <w:rPr/>
              <w:t>22</w:t>
            </w:r>
          </w:p>
        </w:tc>
      </w:tr>
      <w:tr>
        <w:trPr/>
        <w:tc>
          <w:tcPr>
            <w:tcW w:w="7550" w:type="dxa"/>
            <w:tcBorders/>
            <w:vAlign w:val="center"/>
          </w:tcPr>
          <w:p>
            <w:pPr>
              <w:pStyle w:val="TableContents"/>
              <w:bidi w:val="0"/>
              <w:spacing w:before="0" w:after="283"/>
              <w:jc w:val="left"/>
              <w:rPr/>
            </w:pPr>
            <w:r>
              <w:rPr/>
              <w:t>6.6   Miscellaneous</w:t>
            </w:r>
          </w:p>
        </w:tc>
        <w:tc>
          <w:tcPr>
            <w:tcW w:w="275" w:type="dxa"/>
            <w:tcBorders/>
            <w:vAlign w:val="center"/>
          </w:tcPr>
          <w:p>
            <w:pPr>
              <w:pStyle w:val="TableContents"/>
              <w:bidi w:val="0"/>
              <w:spacing w:before="0" w:after="283"/>
              <w:jc w:val="right"/>
              <w:rPr/>
            </w:pPr>
            <w:r>
              <w:rPr/>
              <w:t>23</w:t>
            </w:r>
          </w:p>
        </w:tc>
      </w:tr>
      <w:tr>
        <w:trPr/>
        <w:tc>
          <w:tcPr>
            <w:tcW w:w="7550" w:type="dxa"/>
            <w:tcBorders/>
            <w:vAlign w:val="center"/>
          </w:tcPr>
          <w:p>
            <w:pPr>
              <w:pStyle w:val="TableContents"/>
              <w:bidi w:val="0"/>
              <w:spacing w:before="0" w:after="283"/>
              <w:jc w:val="left"/>
              <w:rPr/>
            </w:pPr>
            <w:r>
              <w:rPr/>
              <w:t>6.7   Registration Indemnification</w:t>
            </w:r>
          </w:p>
        </w:tc>
        <w:tc>
          <w:tcPr>
            <w:tcW w:w="275" w:type="dxa"/>
            <w:tcBorders/>
            <w:vAlign w:val="center"/>
          </w:tcPr>
          <w:p>
            <w:pPr>
              <w:pStyle w:val="TableContents"/>
              <w:bidi w:val="0"/>
              <w:spacing w:before="0" w:after="283"/>
              <w:jc w:val="right"/>
              <w:rPr/>
            </w:pPr>
            <w:r>
              <w:rPr/>
              <w:t>23</w:t>
            </w:r>
          </w:p>
        </w:tc>
      </w:tr>
      <w:tr>
        <w:trPr/>
        <w:tc>
          <w:tcPr>
            <w:tcW w:w="7550" w:type="dxa"/>
            <w:tcBorders/>
            <w:vAlign w:val="center"/>
          </w:tcPr>
          <w:p>
            <w:pPr>
              <w:pStyle w:val="TableContents"/>
              <w:bidi w:val="0"/>
              <w:spacing w:before="0" w:after="283"/>
              <w:jc w:val="left"/>
              <w:rPr/>
            </w:pPr>
            <w:r>
              <w:rPr/>
              <w:t>6.8   Free Writing Prospectuses</w:t>
            </w:r>
          </w:p>
        </w:tc>
        <w:tc>
          <w:tcPr>
            <w:tcW w:w="275" w:type="dxa"/>
            <w:tcBorders/>
            <w:vAlign w:val="center"/>
          </w:tcPr>
          <w:p>
            <w:pPr>
              <w:pStyle w:val="TableContents"/>
              <w:bidi w:val="0"/>
              <w:spacing w:before="0" w:after="283"/>
              <w:jc w:val="right"/>
              <w:rPr/>
            </w:pPr>
            <w:r>
              <w:rPr/>
              <w:t>24</w:t>
            </w:r>
          </w:p>
        </w:tc>
      </w:tr>
      <w:tr>
        <w:trPr/>
        <w:tc>
          <w:tcPr>
            <w:tcW w:w="7550" w:type="dxa"/>
            <w:tcBorders/>
            <w:vAlign w:val="center"/>
          </w:tcPr>
          <w:p>
            <w:pPr>
              <w:pStyle w:val="TableContents"/>
              <w:bidi w:val="0"/>
              <w:spacing w:before="0" w:after="283"/>
              <w:jc w:val="left"/>
              <w:rPr/>
            </w:pPr>
            <w:r>
              <w:rPr/>
              <w:t>6.9   Termination of Registration Rights</w:t>
            </w:r>
          </w:p>
        </w:tc>
        <w:tc>
          <w:tcPr>
            <w:tcW w:w="275" w:type="dxa"/>
            <w:tcBorders/>
            <w:vAlign w:val="center"/>
          </w:tcPr>
          <w:p>
            <w:pPr>
              <w:pStyle w:val="TableContents"/>
              <w:bidi w:val="0"/>
              <w:spacing w:before="0" w:after="283"/>
              <w:jc w:val="right"/>
              <w:rPr/>
            </w:pPr>
            <w:r>
              <w:rPr/>
              <w:t>24</w:t>
            </w:r>
          </w:p>
        </w:tc>
      </w:tr>
      <w:tr>
        <w:trPr/>
        <w:tc>
          <w:tcPr>
            <w:tcW w:w="7825" w:type="dxa"/>
            <w:gridSpan w:val="2"/>
            <w:tcBorders/>
            <w:vAlign w:val="center"/>
          </w:tcPr>
          <w:p>
            <w:pPr>
              <w:pStyle w:val="TableContents"/>
              <w:bidi w:val="0"/>
              <w:jc w:val="center"/>
              <w:rPr/>
            </w:pPr>
            <w:r>
              <w:rPr/>
              <w:t> </w:t>
            </w:r>
          </w:p>
          <w:p>
            <w:pPr>
              <w:pStyle w:val="TableContents"/>
              <w:bidi w:val="0"/>
              <w:jc w:val="center"/>
              <w:rPr/>
            </w:pPr>
            <w:r>
              <w:rPr/>
              <w:t>Article VII</w:t>
            </w:r>
          </w:p>
          <w:p>
            <w:pPr>
              <w:pStyle w:val="TableContents"/>
              <w:bidi w:val="0"/>
              <w:jc w:val="center"/>
              <w:rPr/>
            </w:pPr>
            <w:r>
              <w:rPr/>
              <w:t>DEFINITIONS</w:t>
            </w:r>
          </w:p>
          <w:p>
            <w:pPr>
              <w:pStyle w:val="TableContents"/>
              <w:bidi w:val="0"/>
              <w:spacing w:before="0" w:after="283"/>
              <w:jc w:val="center"/>
              <w:rPr/>
            </w:pPr>
            <w:r>
              <w:rPr/>
              <w:t> </w:t>
            </w:r>
          </w:p>
        </w:tc>
      </w:tr>
      <w:tr>
        <w:trPr/>
        <w:tc>
          <w:tcPr>
            <w:tcW w:w="7550" w:type="dxa"/>
            <w:tcBorders/>
            <w:vAlign w:val="center"/>
          </w:tcPr>
          <w:p>
            <w:pPr>
              <w:pStyle w:val="TableContents"/>
              <w:bidi w:val="0"/>
              <w:spacing w:before="0" w:after="283"/>
              <w:jc w:val="left"/>
              <w:rPr/>
            </w:pPr>
            <w:r>
              <w:rPr/>
              <w:t>7.1   Defined Terms</w:t>
            </w:r>
          </w:p>
        </w:tc>
        <w:tc>
          <w:tcPr>
            <w:tcW w:w="275" w:type="dxa"/>
            <w:tcBorders/>
            <w:vAlign w:val="center"/>
          </w:tcPr>
          <w:p>
            <w:pPr>
              <w:pStyle w:val="TableContents"/>
              <w:bidi w:val="0"/>
              <w:spacing w:before="0" w:after="283"/>
              <w:jc w:val="right"/>
              <w:rPr/>
            </w:pPr>
            <w:r>
              <w:rPr/>
              <w:t>25</w:t>
            </w:r>
          </w:p>
        </w:tc>
      </w:tr>
      <w:tr>
        <w:trPr/>
        <w:tc>
          <w:tcPr>
            <w:tcW w:w="7825" w:type="dxa"/>
            <w:gridSpan w:val="2"/>
            <w:tcBorders/>
            <w:vAlign w:val="center"/>
          </w:tcPr>
          <w:p>
            <w:pPr>
              <w:pStyle w:val="TableContents"/>
              <w:bidi w:val="0"/>
              <w:jc w:val="center"/>
              <w:rPr/>
            </w:pPr>
            <w:r>
              <w:rPr/>
              <w:t> </w:t>
            </w:r>
          </w:p>
          <w:p>
            <w:pPr>
              <w:pStyle w:val="TableContents"/>
              <w:bidi w:val="0"/>
              <w:jc w:val="center"/>
              <w:rPr/>
            </w:pPr>
            <w:r>
              <w:rPr/>
              <w:t>Article VIII</w:t>
            </w:r>
          </w:p>
          <w:p>
            <w:pPr>
              <w:pStyle w:val="TableContents"/>
              <w:bidi w:val="0"/>
              <w:jc w:val="center"/>
              <w:rPr/>
            </w:pPr>
            <w:r>
              <w:rPr/>
              <w:t>MISCELLANEOUS</w:t>
            </w:r>
          </w:p>
          <w:p>
            <w:pPr>
              <w:pStyle w:val="TableContents"/>
              <w:bidi w:val="0"/>
              <w:spacing w:before="0" w:after="283"/>
              <w:jc w:val="center"/>
              <w:rPr/>
            </w:pPr>
            <w:r>
              <w:rPr/>
              <w:t> </w:t>
            </w:r>
          </w:p>
        </w:tc>
      </w:tr>
      <w:tr>
        <w:trPr/>
        <w:tc>
          <w:tcPr>
            <w:tcW w:w="7550" w:type="dxa"/>
            <w:tcBorders/>
            <w:vAlign w:val="center"/>
          </w:tcPr>
          <w:p>
            <w:pPr>
              <w:pStyle w:val="TableContents"/>
              <w:bidi w:val="0"/>
              <w:spacing w:before="0" w:after="283"/>
              <w:jc w:val="left"/>
              <w:rPr/>
            </w:pPr>
            <w:r>
              <w:rPr/>
              <w:t>8.1   Termination of This Agreement; Other Triggers</w:t>
            </w:r>
          </w:p>
        </w:tc>
        <w:tc>
          <w:tcPr>
            <w:tcW w:w="275" w:type="dxa"/>
            <w:tcBorders/>
            <w:vAlign w:val="center"/>
          </w:tcPr>
          <w:p>
            <w:pPr>
              <w:pStyle w:val="TableContents"/>
              <w:bidi w:val="0"/>
              <w:spacing w:before="0" w:after="283"/>
              <w:jc w:val="right"/>
              <w:rPr/>
            </w:pPr>
            <w:r>
              <w:rPr/>
              <w:t>32</w:t>
            </w:r>
          </w:p>
        </w:tc>
      </w:tr>
      <w:tr>
        <w:trPr/>
        <w:tc>
          <w:tcPr>
            <w:tcW w:w="7550" w:type="dxa"/>
            <w:tcBorders/>
            <w:vAlign w:val="center"/>
          </w:tcPr>
          <w:p>
            <w:pPr>
              <w:pStyle w:val="TableContents"/>
              <w:bidi w:val="0"/>
              <w:spacing w:before="0" w:after="283"/>
              <w:jc w:val="left"/>
              <w:rPr/>
            </w:pPr>
            <w:r>
              <w:rPr/>
              <w:t>8.2   Amendment</w:t>
            </w:r>
          </w:p>
        </w:tc>
        <w:tc>
          <w:tcPr>
            <w:tcW w:w="275" w:type="dxa"/>
            <w:tcBorders/>
            <w:vAlign w:val="center"/>
          </w:tcPr>
          <w:p>
            <w:pPr>
              <w:pStyle w:val="TableContents"/>
              <w:bidi w:val="0"/>
              <w:spacing w:before="0" w:after="283"/>
              <w:jc w:val="right"/>
              <w:rPr/>
            </w:pPr>
            <w:r>
              <w:rPr/>
              <w:t>32</w:t>
            </w:r>
          </w:p>
        </w:tc>
      </w:tr>
      <w:tr>
        <w:trPr/>
        <w:tc>
          <w:tcPr>
            <w:tcW w:w="7550" w:type="dxa"/>
            <w:tcBorders/>
            <w:vAlign w:val="center"/>
          </w:tcPr>
          <w:p>
            <w:pPr>
              <w:pStyle w:val="TableContents"/>
              <w:bidi w:val="0"/>
              <w:spacing w:before="0" w:after="283"/>
              <w:jc w:val="left"/>
              <w:rPr/>
            </w:pPr>
            <w:r>
              <w:rPr/>
              <w:t>8.3   Waiver of Conditions</w:t>
            </w:r>
          </w:p>
        </w:tc>
        <w:tc>
          <w:tcPr>
            <w:tcW w:w="275" w:type="dxa"/>
            <w:tcBorders/>
            <w:vAlign w:val="center"/>
          </w:tcPr>
          <w:p>
            <w:pPr>
              <w:pStyle w:val="TableContents"/>
              <w:bidi w:val="0"/>
              <w:spacing w:before="0" w:after="283"/>
              <w:jc w:val="right"/>
              <w:rPr/>
            </w:pPr>
            <w:r>
              <w:rPr/>
              <w:t>33</w:t>
            </w:r>
          </w:p>
        </w:tc>
      </w:tr>
      <w:tr>
        <w:trPr/>
        <w:tc>
          <w:tcPr>
            <w:tcW w:w="7550" w:type="dxa"/>
            <w:tcBorders/>
            <w:vAlign w:val="center"/>
          </w:tcPr>
          <w:p>
            <w:pPr>
              <w:pStyle w:val="TableContents"/>
              <w:bidi w:val="0"/>
              <w:spacing w:before="0" w:after="283"/>
              <w:jc w:val="left"/>
              <w:rPr/>
            </w:pPr>
            <w:r>
              <w:rPr/>
              <w:t>8.4   Counterparts</w:t>
            </w:r>
          </w:p>
        </w:tc>
        <w:tc>
          <w:tcPr>
            <w:tcW w:w="275" w:type="dxa"/>
            <w:tcBorders/>
            <w:vAlign w:val="center"/>
          </w:tcPr>
          <w:p>
            <w:pPr>
              <w:pStyle w:val="TableContents"/>
              <w:bidi w:val="0"/>
              <w:spacing w:before="0" w:after="283"/>
              <w:jc w:val="right"/>
              <w:rPr/>
            </w:pPr>
            <w:r>
              <w:rPr/>
              <w:t>33</w:t>
            </w:r>
          </w:p>
        </w:tc>
      </w:tr>
      <w:tr>
        <w:trPr/>
        <w:tc>
          <w:tcPr>
            <w:tcW w:w="7550" w:type="dxa"/>
            <w:tcBorders/>
            <w:vAlign w:val="center"/>
          </w:tcPr>
          <w:p>
            <w:pPr>
              <w:pStyle w:val="TableContents"/>
              <w:bidi w:val="0"/>
              <w:spacing w:before="0" w:after="283"/>
              <w:jc w:val="left"/>
              <w:rPr/>
            </w:pPr>
            <w:r>
              <w:rPr/>
              <w:t>8.5   Governing Law; Submission to Jurisdiction; WAIVER OF JURY TRIAL</w:t>
            </w:r>
          </w:p>
        </w:tc>
        <w:tc>
          <w:tcPr>
            <w:tcW w:w="275" w:type="dxa"/>
            <w:tcBorders/>
            <w:vAlign w:val="center"/>
          </w:tcPr>
          <w:p>
            <w:pPr>
              <w:pStyle w:val="TableContents"/>
              <w:bidi w:val="0"/>
              <w:spacing w:before="0" w:after="283"/>
              <w:jc w:val="right"/>
              <w:rPr/>
            </w:pPr>
            <w:r>
              <w:rPr/>
              <w:t>33</w:t>
            </w:r>
          </w:p>
        </w:tc>
      </w:tr>
      <w:tr>
        <w:trPr/>
        <w:tc>
          <w:tcPr>
            <w:tcW w:w="7550" w:type="dxa"/>
            <w:tcBorders/>
            <w:vAlign w:val="center"/>
          </w:tcPr>
          <w:p>
            <w:pPr>
              <w:pStyle w:val="TableContents"/>
              <w:bidi w:val="0"/>
              <w:spacing w:before="0" w:after="283"/>
              <w:jc w:val="left"/>
              <w:rPr/>
            </w:pPr>
            <w:r>
              <w:rPr/>
              <w:t>8.6   Notices</w:t>
            </w:r>
          </w:p>
        </w:tc>
        <w:tc>
          <w:tcPr>
            <w:tcW w:w="275" w:type="dxa"/>
            <w:tcBorders/>
            <w:vAlign w:val="center"/>
          </w:tcPr>
          <w:p>
            <w:pPr>
              <w:pStyle w:val="TableContents"/>
              <w:bidi w:val="0"/>
              <w:spacing w:before="0" w:after="283"/>
              <w:jc w:val="right"/>
              <w:rPr/>
            </w:pPr>
            <w:r>
              <w:rPr/>
              <w:t>33</w:t>
            </w:r>
          </w:p>
        </w:tc>
      </w:tr>
      <w:tr>
        <w:trPr/>
        <w:tc>
          <w:tcPr>
            <w:tcW w:w="7550" w:type="dxa"/>
            <w:tcBorders/>
            <w:vAlign w:val="center"/>
          </w:tcPr>
          <w:p>
            <w:pPr>
              <w:pStyle w:val="TableContents"/>
              <w:bidi w:val="0"/>
              <w:spacing w:before="0" w:after="283"/>
              <w:jc w:val="left"/>
              <w:rPr/>
            </w:pPr>
            <w:r>
              <w:rPr/>
              <w:t>8.7   Entire Agreement, Etc.</w:t>
            </w:r>
          </w:p>
        </w:tc>
        <w:tc>
          <w:tcPr>
            <w:tcW w:w="275" w:type="dxa"/>
            <w:tcBorders/>
            <w:vAlign w:val="center"/>
          </w:tcPr>
          <w:p>
            <w:pPr>
              <w:pStyle w:val="TableContents"/>
              <w:bidi w:val="0"/>
              <w:spacing w:before="0" w:after="283"/>
              <w:jc w:val="right"/>
              <w:rPr/>
            </w:pPr>
            <w:r>
              <w:rPr/>
              <w:t>34</w:t>
            </w:r>
          </w:p>
        </w:tc>
      </w:tr>
      <w:tr>
        <w:trPr/>
        <w:tc>
          <w:tcPr>
            <w:tcW w:w="7550" w:type="dxa"/>
            <w:tcBorders/>
            <w:vAlign w:val="center"/>
          </w:tcPr>
          <w:p>
            <w:pPr>
              <w:pStyle w:val="TableContents"/>
              <w:bidi w:val="0"/>
              <w:spacing w:before="0" w:after="283"/>
              <w:jc w:val="left"/>
              <w:rPr/>
            </w:pPr>
            <w:r>
              <w:rPr/>
              <w:t>8.8   Assignment</w:t>
            </w:r>
          </w:p>
        </w:tc>
        <w:tc>
          <w:tcPr>
            <w:tcW w:w="275" w:type="dxa"/>
            <w:tcBorders/>
            <w:vAlign w:val="center"/>
          </w:tcPr>
          <w:p>
            <w:pPr>
              <w:pStyle w:val="TableContents"/>
              <w:bidi w:val="0"/>
              <w:spacing w:before="0" w:after="283"/>
              <w:jc w:val="right"/>
              <w:rPr/>
            </w:pPr>
            <w:r>
              <w:rPr/>
              <w:t>34</w:t>
            </w:r>
          </w:p>
        </w:tc>
      </w:tr>
      <w:tr>
        <w:trPr/>
        <w:tc>
          <w:tcPr>
            <w:tcW w:w="7550" w:type="dxa"/>
            <w:tcBorders/>
            <w:vAlign w:val="center"/>
          </w:tcPr>
          <w:p>
            <w:pPr>
              <w:pStyle w:val="TableContents"/>
              <w:bidi w:val="0"/>
              <w:spacing w:before="0" w:after="283"/>
              <w:jc w:val="left"/>
              <w:rPr/>
            </w:pPr>
            <w:r>
              <w:rPr/>
              <w:t>8.9   Severability</w:t>
            </w:r>
          </w:p>
        </w:tc>
        <w:tc>
          <w:tcPr>
            <w:tcW w:w="275" w:type="dxa"/>
            <w:tcBorders/>
            <w:vAlign w:val="center"/>
          </w:tcPr>
          <w:p>
            <w:pPr>
              <w:pStyle w:val="TableContents"/>
              <w:bidi w:val="0"/>
              <w:spacing w:before="0" w:after="283"/>
              <w:jc w:val="right"/>
              <w:rPr/>
            </w:pPr>
            <w:r>
              <w:rPr/>
              <w:t>35</w:t>
            </w:r>
          </w:p>
        </w:tc>
      </w:tr>
      <w:tr>
        <w:trPr/>
        <w:tc>
          <w:tcPr>
            <w:tcW w:w="7550" w:type="dxa"/>
            <w:tcBorders/>
            <w:vAlign w:val="center"/>
          </w:tcPr>
          <w:p>
            <w:pPr>
              <w:pStyle w:val="TableContents"/>
              <w:bidi w:val="0"/>
              <w:spacing w:before="0" w:after="283"/>
              <w:jc w:val="left"/>
              <w:rPr/>
            </w:pPr>
            <w:r>
              <w:rPr/>
              <w:t>8.10   No Third-Party Beneficiaries</w:t>
            </w:r>
          </w:p>
        </w:tc>
        <w:tc>
          <w:tcPr>
            <w:tcW w:w="275" w:type="dxa"/>
            <w:tcBorders/>
            <w:vAlign w:val="center"/>
          </w:tcPr>
          <w:p>
            <w:pPr>
              <w:pStyle w:val="TableContents"/>
              <w:bidi w:val="0"/>
              <w:spacing w:before="0" w:after="283"/>
              <w:jc w:val="right"/>
              <w:rPr/>
            </w:pPr>
            <w:r>
              <w:rPr/>
              <w:t>35</w:t>
            </w:r>
          </w:p>
        </w:tc>
      </w:tr>
      <w:tr>
        <w:trPr/>
        <w:tc>
          <w:tcPr>
            <w:tcW w:w="7550" w:type="dxa"/>
            <w:tcBorders/>
            <w:vAlign w:val="center"/>
          </w:tcPr>
          <w:p>
            <w:pPr>
              <w:pStyle w:val="TableContents"/>
              <w:bidi w:val="0"/>
              <w:spacing w:before="0" w:after="283"/>
              <w:jc w:val="left"/>
              <w:rPr/>
            </w:pPr>
            <w:r>
              <w:rPr/>
              <w:t>8.11   Specific Performance</w:t>
            </w:r>
          </w:p>
        </w:tc>
        <w:tc>
          <w:tcPr>
            <w:tcW w:w="275" w:type="dxa"/>
            <w:tcBorders/>
            <w:vAlign w:val="center"/>
          </w:tcPr>
          <w:p>
            <w:pPr>
              <w:pStyle w:val="TableContents"/>
              <w:bidi w:val="0"/>
              <w:spacing w:before="0" w:after="283"/>
              <w:jc w:val="right"/>
              <w:rPr/>
            </w:pPr>
            <w:r>
              <w:rPr/>
              <w:t>35</w:t>
            </w:r>
          </w:p>
        </w:tc>
      </w:tr>
      <w:tr>
        <w:trPr/>
        <w:tc>
          <w:tcPr>
            <w:tcW w:w="7550" w:type="dxa"/>
            <w:tcBorders/>
            <w:vAlign w:val="center"/>
          </w:tcPr>
          <w:p>
            <w:pPr>
              <w:pStyle w:val="TableContents"/>
              <w:bidi w:val="0"/>
              <w:spacing w:before="0" w:after="283"/>
              <w:jc w:val="left"/>
              <w:rPr/>
            </w:pPr>
            <w:r>
              <w:rPr/>
              <w:t>8.12   Cumulative Remedies</w:t>
            </w:r>
          </w:p>
        </w:tc>
        <w:tc>
          <w:tcPr>
            <w:tcW w:w="275" w:type="dxa"/>
            <w:tcBorders/>
            <w:vAlign w:val="center"/>
          </w:tcPr>
          <w:p>
            <w:pPr>
              <w:pStyle w:val="TableContents"/>
              <w:bidi w:val="0"/>
              <w:spacing w:before="0" w:after="283"/>
              <w:jc w:val="right"/>
              <w:rPr/>
            </w:pPr>
            <w:r>
              <w:rPr/>
              <w:t>35</w:t>
            </w:r>
          </w:p>
        </w:tc>
      </w:tr>
      <w:tr>
        <w:trPr/>
        <w:tc>
          <w:tcPr>
            <w:tcW w:w="7550" w:type="dxa"/>
            <w:tcBorders/>
            <w:vAlign w:val="center"/>
          </w:tcPr>
          <w:p>
            <w:pPr>
              <w:pStyle w:val="TableContents"/>
              <w:bidi w:val="0"/>
              <w:spacing w:before="0" w:after="283"/>
              <w:jc w:val="left"/>
              <w:rPr/>
            </w:pPr>
            <w:r>
              <w:rPr/>
              <w:t>8.13   Limitation of Liability</w:t>
            </w:r>
          </w:p>
        </w:tc>
        <w:tc>
          <w:tcPr>
            <w:tcW w:w="275" w:type="dxa"/>
            <w:tcBorders/>
            <w:vAlign w:val="center"/>
          </w:tcPr>
          <w:p>
            <w:pPr>
              <w:pStyle w:val="TableContents"/>
              <w:bidi w:val="0"/>
              <w:spacing w:before="0" w:after="283"/>
              <w:jc w:val="right"/>
              <w:rPr/>
            </w:pPr>
            <w:r>
              <w:rPr/>
              <w:t>35</w:t>
            </w:r>
          </w:p>
        </w:tc>
      </w:tr>
      <w:tr>
        <w:trPr/>
        <w:tc>
          <w:tcPr>
            <w:tcW w:w="7550" w:type="dxa"/>
            <w:tcBorders/>
            <w:vAlign w:val="center"/>
          </w:tcPr>
          <w:p>
            <w:pPr>
              <w:pStyle w:val="TableContents"/>
              <w:bidi w:val="0"/>
              <w:spacing w:before="0" w:after="283"/>
              <w:jc w:val="left"/>
              <w:rPr/>
            </w:pPr>
            <w:r>
              <w:rPr/>
              <w:t>8.14   Interpretation</w:t>
            </w:r>
          </w:p>
        </w:tc>
        <w:tc>
          <w:tcPr>
            <w:tcW w:w="275" w:type="dxa"/>
            <w:tcBorders/>
            <w:vAlign w:val="center"/>
          </w:tcPr>
          <w:p>
            <w:pPr>
              <w:pStyle w:val="TableContents"/>
              <w:bidi w:val="0"/>
              <w:spacing w:before="0" w:after="283"/>
              <w:jc w:val="right"/>
              <w:rPr/>
            </w:pPr>
            <w:r>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LIST OF SCHEDULES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List of Information</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9144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5.1(a):</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SCHEDULE 5.1(a):</w:t>
                      </w:r>
                    </w:p>
                  </w:txbxContent>
                </v:textbox>
                <w10:wrap type="square" side="right"/>
              </v:rect>
            </w:pict>
          </mc:Fallback>
        </mc:AlternateConten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DESIGNATED PERSONS</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9144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7.1:</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SCHEDULE 7.1:</w:t>
                      </w:r>
                    </w:p>
                  </w:txbxContent>
                </v:textbox>
                <w10:wrap type="square" side="right"/>
              </v:rect>
            </w:pict>
          </mc:Fallback>
        </mc:AlternateConten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LIST OF ANNEXES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 xml:space="preserve">Form of Warrant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t>ANNEX A:</w:t>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ANNEX A:</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TRANSACTION AGREEMENT</w:t>
      </w:r>
      <w:r>
        <w:rPr>
          <w:rFonts w:ascii="Times New Roman;Times;Serif" w:hAnsi="Times New Roman;Times;Serif"/>
          <w:b w:val="false"/>
          <w:i w:val="false"/>
          <w:caps w:val="false"/>
          <w:smallCaps w:val="false"/>
          <w:sz w:val="20"/>
        </w:rPr>
        <w:t>, dated as of March 13, 2025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by and between Applied Optoelectronics,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Amazon.com, Inc., a Delaware corporation (“</w:t>
      </w:r>
      <w:r>
        <w:rPr>
          <w:rFonts w:ascii="Times New Roman;Times;Serif" w:hAnsi="Times New Roman;Times;Serif"/>
          <w:b w:val="false"/>
          <w:i w:val="false"/>
          <w:caps w:val="false"/>
          <w:smallCaps w:val="false"/>
          <w:sz w:val="20"/>
          <w:u w:val="single"/>
        </w:rPr>
        <w:t>Amazon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of this Agreement, the Company and/or any of its subsidiaries have entered into and may enter into certain commercial arrangements with Amazon and/or any of its subsidiaries under which the Company and/or its subsidiaries may from time to time provide services to Amazon and/or its subsidiaries, including in connection with that certain Manufacturing and Development Services Agreement, by and between Amazon Data Services, Inc. and the Company and its affiliates (collectively, the “</w:t>
      </w:r>
      <w:r>
        <w:rPr>
          <w:rFonts w:ascii="Times New Roman;Times;Serif" w:hAnsi="Times New Roman;Times;Serif"/>
          <w:b w:val="false"/>
          <w:i w:val="false"/>
          <w:caps w:val="false"/>
          <w:smallCaps w:val="false"/>
          <w:sz w:val="20"/>
          <w:u w:val="single"/>
        </w:rPr>
        <w:t>Commercial Arrangements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transactions contemplated hereby, and subject to the terms and conditions hereof, the Company desires to issue to Amazon.com NV Investment Holdings LLC, a wholly owned subsidiary of Amazon (“</w:t>
      </w:r>
      <w:r>
        <w:rPr>
          <w:rFonts w:ascii="Times New Roman;Times;Serif" w:hAnsi="Times New Roman;Times;Serif"/>
          <w:b w:val="false"/>
          <w:i w:val="false"/>
          <w:caps w:val="false"/>
          <w:smallCaps w:val="false"/>
          <w:sz w:val="20"/>
          <w:u w:val="single"/>
        </w:rPr>
        <w:t>Warrantholder</w:t>
      </w:r>
      <w:r>
        <w:rPr>
          <w:rFonts w:ascii="Times New Roman;Times;Serif" w:hAnsi="Times New Roman;Times;Serif"/>
          <w:b w:val="false"/>
          <w:i w:val="false"/>
          <w:caps w:val="false"/>
          <w:smallCaps w:val="false"/>
          <w:sz w:val="20"/>
        </w:rPr>
        <w:t>”) and Warrantholder desires to acquire from the Company, at the Closing, a warrant to purchase a specified number of shares of the Company’s common stock, $0.001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the parties wishes to set forth in this Agreement certain terms and conditions regarding, among other things, Warrantholder’s ownership of the Warrant and Warrant Shares,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of the representations, warranties, covenants, and agreements set forth herein, and intending to be legally bound, the parties agree as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w:t>
      </w:r>
      <w:r>
        <w:rPr>
          <w:rFonts w:ascii="Times New Roman;Times;Serif" w:hAnsi="Times New Roman;Times;Serif"/>
          <w:b/>
          <w:i w:val="false"/>
          <w:caps w:val="false"/>
          <w:smallCaps w:val="false"/>
          <w:sz w:val="20"/>
        </w:rPr>
        <w:br/>
        <w:br/>
        <w:t>WARRANT ISSUANCE; CLOSING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Warrant Issuance</w:t>
      </w:r>
      <w:r>
        <w:rPr>
          <w:rFonts w:ascii="Times New Roman;Times;Serif" w:hAnsi="Times New Roman;Times;Serif"/>
          <w:b w:val="false"/>
          <w:i w:val="false"/>
          <w:caps w:val="false"/>
          <w:smallCaps w:val="false"/>
          <w:sz w:val="20"/>
        </w:rPr>
        <w:t xml:space="preserve">. On the terms and subject to the conditions set forth in this Agreement, the Company shall issue to Warrantholder, and Warrantholder shall acquire from the Company, at the Closing, a warrant to purchase up to an aggregate of 7,945,399 Warrant Shares, subject to adjustment in accordance with its terms, in the form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The issuance of the Warrant by the Company and the acquisition of the Warrant by Warrantholder are referred to herein as the “</w:t>
      </w:r>
      <w:r>
        <w:rPr>
          <w:rFonts w:ascii="Times New Roman;Times;Serif" w:hAnsi="Times New Roman;Times;Serif"/>
          <w:b w:val="false"/>
          <w:i w:val="false"/>
          <w:caps w:val="false"/>
          <w:smallCaps w:val="false"/>
          <w:sz w:val="20"/>
          <w:u w:val="single"/>
        </w:rPr>
        <w:t>Warrant Issuance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Warrant Issuance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electronically via exchange of executed documents, immediately following the execution and delivery of this Agreement. At the Closing, the Company shall deliver to Amazon in electronic form the Warrant, duly registered in book-entry form and bearing appropriate legends as hereinafter provided for.</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II</w:t>
      </w:r>
      <w:r>
        <w:rPr>
          <w:rFonts w:ascii="Times New Roman;Times;Serif" w:hAnsi="Times New Roman;Times;Serif"/>
          <w:b/>
          <w:i w:val="false"/>
          <w:caps w:val="false"/>
          <w:smallCaps w:val="false"/>
          <w:sz w:val="20"/>
        </w:rPr>
        <w:br/>
        <w:b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Material Adverse Effect; Due Diligence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change, effect, event, development, circumstance, or occurrence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taken individually or when taken together with all other applicable Effects, has been, is, or would reasonably be expected to be materially adverse to (i) the business, assets, condition (financial or otherwise), or results of operations of the Company and its subsidiaries, taken as a whole, or (ii) the ability of the Company to complete the transactions contemplated by the Transaction Documents or to perform its obligations under the Transaction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Effect, alone or in combination, be deemed to constitute, or be taken into account in determining whether there has been, is, or would be, a Material Adverse Effect to the extent resulting from: (A) any change in general economic, market, or political conditions; (B) any change in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or Applicable Law to the extent such change is generally applicable and not specifically directed at the Company or its subsidiaries; (C) any act of war (whether or not declared), armed hostilities, sabotage, or terrorism, or any material escalation or worsening of any such events, or any national disaster, or any national or international calamity; (D) any epidemic or pandemic, including COVID-19 and any evolutions or additional strains, variations or mutations thereof or related or associated epidemics, pandemics or disease outbreaks or anything reasonably arising therefrom, including, without limitation, the values of share prices traded on any stock market or exchange; (E) conditions generally affecting the industry in which the Company and its subsidiaries operate; (F) any failure, in and of itself, to meet internal or published projections, forecasts, targets, or revenue or earnings predictions for any period, as well as any change, in and of itself, by the Company in any projections, forecasts, targets, or revenue or earnings predictions for any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causes of such failures (to the extent not otherwise falling within one of the other exceptions in this proviso) may constitute or be taken into account in determining whether there has been, is, or would be a Material Adverse Effect); or (G) any change in the price or trading volume of the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causes of such change (to the extent not otherwise falling within one of the other exceptions in this proviso) may constitute or be taken into account in determining whether there has been, is, or would be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Effect referred to in clauses (A) through (E) may be taken into account in determining whether or not there has been, is, or would be a Material Adverse Effect to the extent such Effect has a disproportionate adverse effect on the Company and its subsidiaries, taken as a whole, as compared to other similarly situated participants in the industry in which the Company and its subsidiaries operate.</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acknowledges that it has had an opportunity to conduct such review and analysis of the business, assets, condition, operations, and prospects of the Company and its subsidiaries, including an opportunity to ask such questions of management and to review such information maintained by the Company and its subsidiaries, in each case as it considers sufficient for the purpose of consummating the transactions contemplated by the Transaction Documents. Each party further acknowledges that it has had such an opportunity to consult with its own counsel, financial and tax advisers, and other professional advisers as it believes is sufficient for purposes of the transactions contemplated by the other Transaction Documents.</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Except as set forth in the SEC Reports (other than any information in the “Risk Factors” or “Cautionary Note Regarding Forward-Looking Statements” sections of such SEC Reports), the Company represents and warrants as of the date of this Agreement, and in the case of the representation in the last sentence of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as of the date of each issuance of Warrant Shares, to Amazon that:</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Organization and Authority</w:t>
      </w:r>
      <w:r>
        <w:rPr>
          <w:rFonts w:ascii="Times New Roman;Times;Serif" w:hAnsi="Times New Roman;Times;Serif"/>
          <w:b w:val="false"/>
          <w:i w:val="false"/>
          <w:caps w:val="false"/>
          <w:smallCaps w:val="false"/>
          <w:sz w:val="20"/>
        </w:rPr>
        <w:t>. The Company has been duly incorporated and is validly existing as a corporation in good standing under the laws of the State of Delaware, with full corporate power and authority to own its properties and conduct its business in all material respects as currently conducted, and except as would not constitute a Material Adverse Effect, has been and is duly qualified as a foreign corporation for the transaction of business and is in good standing under the laws of each other jurisdiction in which its ownership or leasing of property or the conduct of its business requires such qualification. The Company has made available to Amazon complete and correct copies of the Company’s Organizational Documents, as of the date of this Agreement, and each as so delivered is in full force and effect.</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capital stock of the Company consists of (x) 80,000,000 shares of Common Stock of which, immediately prior to the execution hereof, 50,249,806 shares were issued and outstanding, 3,943,838 shares were reserved for issuance upon conversion of the Company’s convertible senior notes and no shares were held in treasury, and (y) 5,000,000 shares of preferred stock, $0.001 par value per share of which, immediately prior to the execution hereof, no shares were issued and outstanding. The Company has (A) 1,898,012 shares of Common Stock subject to restricted stock units, (B) 1,447,284 shares of Common Stock subject to issuance pursuant to performance-based restricted stock units, and (C) 727,321 shares of Common Stock available for future issuance under the Company’s equity inducement plan. The outstanding shares of Common Stock have been, and the shares of Common Stock issuable under any Company Stock Plan will be, duly authorized and validly issued, fully paid and nonassessable, and subject to no preemptive rights (and were not issued in violation of any preemptive rights, the Company’s Organizational Documents, or any Applicable Law). Except as set forth above or in accordance with the Warrant, there are no (1) shares of capital stock or other Equity Securities or Voting Securities of the Company authorized, reserved for issuance, issued, or outstanding, (2) options, warrants, calls, preemptive rights, subscription, or other rights, instruments, agreements, arrangements, or commitments of any character obligating the Company or any of its subsidiaries to issue, transfer, or sell or cause to be issued, transferred, or sold any shares of capital stock or other Equity Securities or Voting Security in the Company or any securities or instruments convertible into or exchangeable for such shares of capital stock or other Equity Securities or Voting Securities or obligating the Company or any of its subsidiaries to grant, extend, or enter into any such option, warrant, call, preemptive right, subscription, or other right, instrument, agreement, arrangement, or commitment, (3) outstanding contractual obligations of the Company or any of its subsidiaries to repurchase, redeem, or otherwise acquire any capital stock or other Equity Securities or Voting Securities of the Company, or (4) issued or outstanding performance awards, units, rights to receive any capital stock, or other Equity Securities or Voting Securities of the Company on a deferred basis, or rights to purchase or receive any capital stock or Equity Securities or Voting Securities issued or granted by the Company to any current or former director, officer, employee, or consultant of the Company. No subsidiary of the Company owns any shares of capital stock or other Equity Securities or Voting Securities of the Company. There are no voting trusts or other agreements or understandings to which the Company or any of its subsidiaries is a party with respect to the voting of the capital stock or other Equity Securities or Voting Securities of the Company. All options granted and shares reserved or issued under the Company’s incentive plans and employee stock purchase plan (collectively, the “</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have been granted, reserved, and issued in all material respects in full compliance with their respective Company Stock Plan and Applicable Law. The issuance of the Warrant and the Warrant Shares will not result in any adjustment to the conversion price or exercise price of any Equity Securities of the Company that are convertible into, or exercisable or exchangeable for, shares of Common Stock. As of immediately after the execution hereof, assuming the issuance of the Warrant Shares in full, the number of Warrant Shares equals 12% of the outstanding shares of Common Stock on a fully diluted basis.</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The Warrant and Warrant Shares</w:t>
      </w:r>
      <w:r>
        <w:rPr>
          <w:rFonts w:ascii="Times New Roman;Times;Serif" w:hAnsi="Times New Roman;Times;Serif"/>
          <w:b w:val="false"/>
          <w:i w:val="false"/>
          <w:caps w:val="false"/>
          <w:smallCaps w:val="false"/>
          <w:sz w:val="20"/>
        </w:rPr>
        <w:t>. The Warrant has been duly authorized by the Company and constitutes a valid, legal, and binding obligation of the Company in accordance with its terms, except as the same may be limited by the Bankruptcy and Equity Exceptions. The Warrant Shares have been duly authorized and reserved for issuance upon exercise of the Warrant, and when so issued, paid for, and delivered upon due exercise of the Warrant, will be validly issued, fully paid and nonassessable, and free and clear of any liens or encumbrances, other than liens or encumbrances created by the Transaction Documents, arising as a matter of Applicable Law or created by or at the direction of Amazon or any of its subsidiaries.</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full power and authority to execute and deliver this Agreement and the other Transaction Documents, as applicable, to consummate the transactions contemplated hereby and thereby, and to carry out its obligations hereunder and thereunder. The execution, delivery, and performance by the Company of this Agreement and the other Transaction Documents to which it is a party and the consummation of the transactions contemplated hereby and thereby have been duly authorized by all necessary corporate action on the part of the Company and its stockholders, and no further approval or authorization is required on the part of the Company or its stockholders. This Agreement and the other Transaction Documents, assuming the due authorization, execution, and delivery by the other parties hereto and thereto, are valid and binding obligations of the Company, enforceable against the Company in accordance with their respective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w:t>
      </w:r>
      <w:r>
        <w:rPr>
          <w:rFonts w:ascii="Times New Roman;Times;Serif" w:hAnsi="Times New Roman;Times;Serif"/>
          <w:b w:val="false"/>
          <w:i w:val="false"/>
          <w:caps w:val="false"/>
          <w:smallCaps w:val="false"/>
          <w:sz w:val="20"/>
          <w:u w:val="single"/>
        </w:rPr>
        <w:t>Bankruptcy and Equity Exceptions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Company of this Agreement and the other Transaction Documents, as applicable, and the consummation of the transactions contemplated hereby and thereby and compliance by the Company with any of the provisions hereof and thereof, will not (A)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the properties or assets of the Company or any of its subsidiaries under any of the terms, conditions, or provisions of (x) its Organizational Documents or (y) any note, bond, mortgage, indenture, deed of trust, license, lease, agreement, or other instrument or obligation to which the Company or any of its subsidiaries is a party or by which it or any of its subsidiaries may be bound, or to which the Company or any of its subsidiaries or any of the properties or assets of the Company or any of its subsidiaries is subject; (B) subject to compliance with the statutes and regulations referred to in the next paragraph, violate any Applicable Law or Order applicable to the Company or any of its subsidiaries or any of their respective properties or assets except, in the case of clauses (A)(y) and (B), for those occurrences that would not constitute a Material Adverse Effect; (C) result in any payment (including severance, unemployment compensation, forgiveness of indebtedness, or otherwise) becoming due to any director or any employee of the Company or any of its subsidiaries under any employment, compensation or benefit plan, program, policy, agreement, or arrangement that is sponsored, maintained, or contributed to by the Company or any of its subsidiaries (each, a “</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xml:space="preserve">”) or otherwise; (D) increase any benefits otherwise payable under any Company Benefit Plan; (E) result in any acceleration of the time of payment or vesting of any such benefits; (F) require the funding or acceleration of funding of any trust or other funding vehicle; or (G) constitute a “change in control,” “change of control,” or other similar term under any Company Benefit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shall not be deemed to include payments or other benefits under a Company Benefit Plan that (a) give effect to the Company’s performance of the Transaction Documents insofar as that performance impacts the Company’s overall results of operations, and (b) are made to any individual whose compensation is based in part on performance related to a specific territory that is impacted by the Company’s performance of the Transaction Documents.</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 such notices, filings, exemptions, reviews, authorizations, consents, or approvals as have been made or obtained as of the date hereof, and (B) notices, filings, exemptions, reviews, authorizations, consents, or approvals as may be required under, and other applicable requirements of (1) any Antitrust Laws, to the extent applicable, (2) the Exchange Act, (3) the Securities Act, and (4) the Principal Trading Market, no notice to, filing with, exemption, or review by, or authorization, consent, or approval of, any Governmental Entity is required to be made or obtained by the Company or any of its subsidiaries in connection with the consummation by the Company or any of its subsidiaries of the Warrant Issuance and the other transactions contemplated hereby and by the other Transaction Documents, except for any such notices, filings, exemptions, reviews, authorizations, consents, and approvals, the failure of which to make or obtain, would not constitute a Material Adverse Effect.</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62" w:right="162"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Company Financial Statements; Internal Controls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consolidated financial statements included in the SEC Reports (A) complied as to form, as of their respective dates of filing with the Commission, in all material respects with the applicable accounting requirements and with the rules and regulations of the Commission, (B) was prepared in accordance with GAAP, in all material respects, applied on a consistent basis during the periods involved (except as may be indicated in such financial statements or in the notes thereto and subject, in the case of unaudited statements, to normal year-end audit adjustments and the absence of footnote disclosures), and (C) fairly presents, in all material respects, the consolidated financial position and the consolidated results of operations and cash flows (and changes in financial position, if any) of the Company and its subsidiaries as of the date and for the periods referred to in such financial statements except to the extent such financial statements have been modified or superseded by later SEC Reports, and except, in the case of the unaudited statements, as permitted by Rule 10-01 of Regulation S-X under the Exchange Act and in accordance with Sections 13 or 15(d) of the Exchange Act and for normal year-end audit adjustments which would not be material in amount or effect.</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162" w:right="162"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any of the Company’s subsidiaries is a party to, or has any commitment to become a party to, any joint venture, off-balance sheet partnership, or any similar agreement or arrangement, where the result, purpose, or effect of such agreement or arrangement is to avoid disclosure of any material transaction involving, or material liabilities of, the Company or any of its subsidiaries in the SEC Reports (including the financial statements contained therein).</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62" w:right="162" w:firstLine="2160"/>
        <w:jc w:val="left"/>
        <w:rPr>
          <w:caps w:val="false"/>
          <w:smallCaps w:val="false"/>
        </w:rPr>
      </w:pPr>
      <w:r>
        <w:rPr>
          <w:caps w:val="false"/>
          <w:smallCaps w:val="false"/>
        </w:rPr>
        <w:t> </w:t>
      </w:r>
    </w:p>
    <w:p>
      <w:pPr>
        <w:pStyle w:val="TextBody"/>
        <w:bidi w:val="0"/>
        <w:spacing w:before="0" w:after="0"/>
        <w:ind w:left="162" w:right="162" w:firstLine="2160"/>
        <w:jc w:val="left"/>
        <w:rPr>
          <w:caps w:val="false"/>
          <w:smallCaps w:val="false"/>
        </w:rPr>
      </w:pPr>
      <w:r>
        <w:rPr>
          <w:caps w:val="false"/>
          <w:smallCaps w:val="false"/>
        </w:rPr>
        <w:t> </w:t>
      </w:r>
    </w:p>
    <w:p>
      <w:pPr>
        <w:pStyle w:val="TextBody"/>
        <w:bidi w:val="0"/>
        <w:spacing w:before="0" w:after="0"/>
        <w:ind w:left="162" w:right="162" w:firstLine="21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2" w:right="162" w:firstLine="2160"/>
        <w:jc w:val="left"/>
        <w:rPr>
          <w:caps w:val="false"/>
          <w:smallCaps w:val="false"/>
        </w:rPr>
      </w:pPr>
      <w:r>
        <w:rPr>
          <w:caps w:val="false"/>
          <w:smallCaps w:val="false"/>
        </w:rPr>
        <w:t> </w:t>
      </w:r>
    </w:p>
    <w:p>
      <w:pPr>
        <w:pStyle w:val="TextBody"/>
        <w:bidi w:val="0"/>
        <w:spacing w:before="0" w:after="0"/>
        <w:ind w:left="162" w:right="162"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designed and maintains a system of internal control over financial reporting (as defined in Rules 13a-15(f) and 15d-15(f) of the Exchange Act) sufficient to provide reasonable assurances regarding the reliability of financial reporting. The Company (A) has designed and maintains disclosure controls and procedures (as defined in Rules 13a-15(e) and 15d-15(e) of the Exchange Act) to provide reasonable assurance that information required to be disclosed by the Company in the reports that it files or submits under the Exchange Act is recorded, processed, summarized, and reported within the time periods specified in the rules, regulations, and forms of the Commission, and is accumulated and communicated to the Company’s management as appropriate to allow timely decisions regarding required disclosure, and (B) has disclosed, based on its most recent evaluation of internal control over financial reporting, to the Company’s outside auditors and the Audit Committee of the Board (x) all significant deficiencies and material weaknesses in the design or operation of internal control over financial reporting that would reasonably be expected to adversely affect the Company’s ability to record, process, summarize, and report financial information, and (y) any fraud, whether or not material, that involves management or other employees who have a significant role in the Company’s internal control over financial reporting, all of which information described in clauses (x) and (y) above has been disclosed by the Company to Amazon prior to the date hereof. Any material change in internal control over financial reporting required to be disclosed in any SEC Report has been so disclosed.</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62" w:right="162" w:firstLine="2160"/>
        <w:jc w:val="left"/>
        <w:rPr>
          <w:caps w:val="false"/>
          <w:smallCaps w:val="false"/>
        </w:rPr>
      </w:pPr>
      <w:r>
        <w:rPr>
          <w:caps w:val="false"/>
          <w:smallCaps w:val="false"/>
        </w:rPr>
        <w:t> </w:t>
      </w:r>
    </w:p>
    <w:p>
      <w:pPr>
        <w:pStyle w:val="TextBody"/>
        <w:bidi w:val="0"/>
        <w:spacing w:before="0" w:after="0"/>
        <w:ind w:left="162" w:right="162"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2024, neither the Company nor any of its subsidiaries has received any material complaint, allegation, assertion, or claim regarding the accounting or auditing practices, procedures, methodologies, or methods of the Company or any of its subsidiaries or their respective internal accounting controls.</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162" w:right="162" w:firstLine="2160"/>
        <w:jc w:val="left"/>
        <w:rPr>
          <w:caps w:val="false"/>
          <w:smallCaps w:val="false"/>
        </w:rPr>
      </w:pPr>
      <w:r>
        <w:rPr>
          <w:caps w:val="false"/>
          <w:smallCaps w:val="false"/>
        </w:rPr>
        <w:t> </w:t>
      </w:r>
    </w:p>
    <w:p>
      <w:pPr>
        <w:pStyle w:val="TextBody"/>
        <w:bidi w:val="0"/>
        <w:spacing w:before="0" w:after="0"/>
        <w:ind w:left="162" w:right="162"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Rules 13a-14 and 15d-14 under the Exchange Act and Sections 302 and 906 of the Sarbanes-Oxley Act of 2002, as amended (“</w:t>
      </w:r>
      <w:r>
        <w:rPr>
          <w:rFonts w:ascii="Times New Roman;Times;Serif" w:hAnsi="Times New Roman;Times;Serif"/>
          <w:b w:val="false"/>
          <w:i w:val="false"/>
          <w:caps w:val="false"/>
          <w:smallCaps w:val="false"/>
          <w:sz w:val="20"/>
          <w:u w:val="single"/>
        </w:rPr>
        <w:t>SOX</w:t>
      </w:r>
      <w:r>
        <w:rPr>
          <w:rFonts w:ascii="Times New Roman;Times;Serif" w:hAnsi="Times New Roman;Times;Serif"/>
          <w:b w:val="false"/>
          <w:i w:val="false"/>
          <w:caps w:val="false"/>
          <w:smallCaps w:val="false"/>
          <w:sz w:val="20"/>
        </w:rPr>
        <w:t>”), with respect to the SEC Reports, and the statements contained in such certifications were true and complete on the date such certifications were made. For purposes of this Agreement, “principal executive officer” and “principal financial officer” shall have the meanings given to such terms in SOX.</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162" w:right="162"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December 31, 2024, no Material Adverse Effect has occurred.</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2024, the Company has complied in all material respects with the filing requirements of the Exchange Act and of the Securities Act.</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Reports, when they became effective or were filed with the Commission as the case may be, complied in all material respects with the requirements of the Securities Act, the Exchange Act, and SOX as applicable, and none of such documents, when they became effective or were filed with the Commission, as the case may be, contained an untrue statement of a material fact or omitted to state a material fact required to be stated therein or necessary to make the statements therein, in light of the circumstances under which they were made, not misleading, except to the extent such statements have been modified or superseded by later SEC Reports filed or furnished and publicly available prior to the date of this Agreement.</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Litigation and Liabilities</w:t>
      </w:r>
      <w:r>
        <w:rPr>
          <w:rFonts w:ascii="Times New Roman;Times;Serif" w:hAnsi="Times New Roman;Times;Serif"/>
          <w:b w:val="false"/>
          <w:i w:val="false"/>
          <w:caps w:val="false"/>
          <w:smallCaps w:val="false"/>
          <w:sz w:val="20"/>
        </w:rPr>
        <w:t>. Since December 31, 2024, (a) there have been, and there are, no civil, criminal, or administrative actions, suits, claims, hearings, arbitrations, investigations, or other proceedings pending, or to the knowledge of the Company, threatened against the Company or any of its subsidiaries that (i) relate to the Warrant or Warrant Shares, (ii) challenge the validity or enforceability of the Company’s obligations under this Agreement or the Transaction Documents to which the Company is or will be a party, or (iii) would, individually or in the aggregate, reasonably be likely to have a Material Adverse Effect, and (b) neither the Company nor any of its subsidiaries has incurred any obligations or liabilities that, individually or in the aggregate, have had or would likely result in a Material Adverse Effect. Neither the Company nor any of its subsidiaries is a party to or subject to the provisions of any material Order.</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Anti-Takeover Provisions</w:t>
      </w:r>
      <w:r>
        <w:rPr>
          <w:rFonts w:ascii="Times New Roman;Times;Serif" w:hAnsi="Times New Roman;Times;Serif"/>
          <w:b w:val="false"/>
          <w:i w:val="false"/>
          <w:caps w:val="false"/>
          <w:smallCaps w:val="false"/>
          <w:sz w:val="20"/>
        </w:rPr>
        <w:t xml:space="preserve">. The actions taken by the Board to approve this Agreement, the Transaction Documents, and the transactions contemplated hereby and thereby, assuming the accuracy of the representations and warranties of Amazon set forth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constitute all action necessary to render inapplicable to this Agreement, the Transaction Documents, and the transactions contemplated hereby and thereby, the Anti-Takeover Provisions. The Company is not a party to any shareholder rights plan or “poison pill” agreement.</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The Company has not granted to any Person the right to request or require the Company to register any securities issued by the Company other than the rights granted to Amazon in accordance with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of this Agreement.</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Brokers; Fees and Expenses</w:t>
      </w:r>
      <w:r>
        <w:rPr>
          <w:rFonts w:ascii="Times New Roman;Times;Serif" w:hAnsi="Times New Roman;Times;Serif"/>
          <w:b w:val="false"/>
          <w:i w:val="false"/>
          <w:caps w:val="false"/>
          <w:smallCaps w:val="false"/>
          <w:sz w:val="20"/>
        </w:rPr>
        <w:t>. No broker, investment banker, financial advisor, or other person is entitled to any broker’s, finder’s, financial advisor’s, or other similar fee or commission, or the reimbursement of expenses, in connection with the transactions contemplated by this Agreement or the other Transaction Documents based upon arrangements made by or on behalf of the Company.</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 of Amazon</w:t>
      </w:r>
      <w:r>
        <w:rPr>
          <w:rFonts w:ascii="Times New Roman;Times;Serif" w:hAnsi="Times New Roman;Times;Serif"/>
          <w:b w:val="false"/>
          <w:i w:val="false"/>
          <w:caps w:val="false"/>
          <w:smallCaps w:val="false"/>
          <w:sz w:val="20"/>
        </w:rPr>
        <w:t>. Amazon hereby represents and warrants as of the date of this Agreement to the Company that:</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Amazon has been duly incorporated and is validly existing as a corporation in good standing under the laws of the State of Delaware, with the corporate power and authority to own its properties and conduct its business in all material respects as currently conducted. Each subsidiary of Amazon that is party to a Transaction Document is duly formed and validly existing in good standing under the laws of its jurisdiction of formation, with the corporate or analogous power and authority to own its properties and conduct its business in all material respects as currently conducted.</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and each of its subsidiaries that is a party to any other Transaction Document have the corporate or analogous power and authority to execute and deliver this Agreement and the other Transaction Documents to which they are a party, to consummate the transactions contemplated hereby and thereby, and to carry out their obligations hereunder and thereunder. The execution, delivery, and performance by Amazon, and by each of its subsidiaries that is a party to any other Transaction Document, as applicable, of this Agreement and the other Transaction Documents to which it is a party and the consummation of the transactions contemplated hereby and thereby have been duly authorized by all necessary corporate or analogous action on its part, or such subsidiary’s part, as applicable, and no further approval or authorization is required on its part, or such subsidiary’s part, as applicable. This Agreement and the other Transaction Documents, assuming the due authorization, execution, and delivery by the other parties hereto and thereto, are valid and binding obligations of Amazon and such subsidiary, as applicable, enforceable against it and such subsidiary, as applicable, in accordance with their respective terms, except as the same may be limited by Bankruptcy and Equity Exceptions. Notwithstanding anything to the contrary contained herein, the exercise of the Warrant may require further board of directors (or analogous) approvals or authorizations on the part of Amazon or such subsidiary, as applicable (the “</w:t>
      </w:r>
      <w:r>
        <w:rPr>
          <w:rFonts w:ascii="Times New Roman;Times;Serif" w:hAnsi="Times New Roman;Times;Serif"/>
          <w:b w:val="false"/>
          <w:i w:val="false"/>
          <w:caps w:val="false"/>
          <w:smallCaps w:val="false"/>
          <w:sz w:val="20"/>
          <w:u w:val="single"/>
        </w:rPr>
        <w:t>Exercise Approval</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118" w:right="118"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Amazon, or any of its subsidiaries, as applicable, of this Agreement and the other Transaction Documents to which it or any such subsidiary is a party and the consummation of the transactions contemplated hereby and thereby and compliance by it, and such subsidiary, as applicable, with any of the provisions hereof and thereof, will not (A)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its material properties or material assets under any of the terms, conditions, or provisions of (x) subject to Exercise Approval, its, or such subsidiary’s, as applicable, Organizational Documents or (y) any note, bond, mortgage, indenture, deed of trust, license, lease, agreement, or other instrument or obligation to which it, or such subsidiary, as applicable, is a party or by which it, or such subsidiary, as applicable, may be bound, or to which it, or such subsidiary, as applicable, or any of its, or such subsidiary’s, as applicable, properties or assets are subject, or (B) subject to compliance with the statutes and regulations referred to in the next paragraph, violate any Applicable Law or Order applicable to it, or such subsidiary, as applicable, or any of its, or such subsidiary’s, as applicable, properties or assets except, in the case of clauses (A)(y) and (B), for those occurrences that, individually or in the aggregate, have not had and would not reasonably be expected to have a material adverse effect on the ability of Amazon to complete the transactions contemplated by the Transaction Documents or to perform its obligations under the Transaction Documents.</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18" w:right="118" w:firstLine="2160"/>
        <w:jc w:val="left"/>
        <w:rPr>
          <w:caps w:val="false"/>
          <w:smallCaps w:val="false"/>
        </w:rPr>
      </w:pPr>
      <w:r>
        <w:rPr>
          <w:caps w:val="false"/>
          <w:smallCaps w:val="false"/>
        </w:rPr>
        <w:t> </w:t>
      </w:r>
    </w:p>
    <w:p>
      <w:pPr>
        <w:pStyle w:val="TextBody"/>
        <w:bidi w:val="0"/>
        <w:spacing w:before="0" w:after="0"/>
        <w:ind w:left="118" w:right="118" w:firstLine="2160"/>
        <w:jc w:val="left"/>
        <w:rPr>
          <w:caps w:val="false"/>
          <w:smallCaps w:val="false"/>
        </w:rPr>
      </w:pPr>
      <w:r>
        <w:rPr>
          <w:caps w:val="false"/>
          <w:smallCaps w:val="false"/>
        </w:rPr>
        <w:t> </w:t>
      </w:r>
    </w:p>
    <w:p>
      <w:pPr>
        <w:pStyle w:val="TextBody"/>
        <w:bidi w:val="0"/>
        <w:spacing w:before="0" w:after="0"/>
        <w:ind w:left="118" w:right="118" w:firstLine="21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8" w:right="118" w:firstLine="2160"/>
        <w:jc w:val="left"/>
        <w:rPr>
          <w:caps w:val="false"/>
          <w:smallCaps w:val="false"/>
        </w:rPr>
      </w:pPr>
      <w:r>
        <w:rPr>
          <w:caps w:val="false"/>
          <w:smallCaps w:val="false"/>
        </w:rPr>
        <w:t> </w:t>
      </w:r>
    </w:p>
    <w:p>
      <w:pPr>
        <w:pStyle w:val="TextBody"/>
        <w:bidi w:val="0"/>
        <w:spacing w:before="0" w:after="0"/>
        <w:ind w:left="101" w:right="101"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 such notices, filings, exemptions, reviews, authorizations, consents, or approvals as have been made or obtained as of the date hereof, and (B) notices, filings, exemptions, reviews, authorizations, consents, or approvals as may be required under, and other applicable requirements of (1) any Antitrust Laws, to the extent applicable, (2) the Exchange Act, and (3) the Securities Act, no notice to, filing with, exemption, or review by, or authorization, consent, or approval of, any Governmental Entity is required to be made or obtained by Amazon or any of its subsidiaries in connection with the consummation by Amazon or any of its subsidiaries of the Warrant Issuance and the other transactions contemplated hereby and by the other Transaction Documents, except for any such notices, filings, exemptions, reviews, authorizations, consents and approvals the failure of which to make or obtain have not had and would not reasonably be expected to have, individually or in the aggregate, a material adverse effect on the ability of Amazon to complete the transactions contemplated by the Transaction Documents or to perform its obligations under the Transaction Documents.</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01" w:right="101"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Other than in connection with this Agreement and the other Transaction Documents, neither Amazon nor Warrantholder is the Beneficial Owner of (i) any shares of Common Stock or (ii) any securities or other instruments representing the right to acquire shares of Common Stock.</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Brokers; Fees and Expenses</w:t>
      </w:r>
      <w:r>
        <w:rPr>
          <w:rFonts w:ascii="Times New Roman;Times;Serif" w:hAnsi="Times New Roman;Times;Serif"/>
          <w:b w:val="false"/>
          <w:i w:val="false"/>
          <w:caps w:val="false"/>
          <w:smallCaps w:val="false"/>
          <w:sz w:val="20"/>
        </w:rPr>
        <w:t>. No broker, investment banker, financial advisor, or other person is entitled to any broker, finder, financial advisory, or other similar fee or commission, or the reimbursement of expenses, in connection with the transactions contemplated by this Agreement or the other Transaction Documents based upon arrangements made by or on behalf of Amazon or Warrantholder.</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in this Agreement shall survive for 12 months following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representations in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shall survive until the 12-month anniversary of the earlier of (A) the Expiration Time, and (B) the issuance date of Warrant Shares in connection with the exercise of all remaining Warrants, such that each Warrant has either lapsed and become null and void or been exercised in accordance with the terms of the Warrant. The parties agree that the limitations set forth in the prior sentence shall not apply in the case of gross negligence, fraud, intentional misrepresentation, or intentional breach on the part of the party giving the relevant representation and warranty.</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val="false"/>
          <w:smallCaps w:val="false"/>
          <w:sz w:val="20"/>
        </w:rPr>
        <w:br/>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Efforts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prejudice to the terms and conditions hereof (including the remainder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the other Transaction Documents, each party shall use its commercially reasonable efforts to take, or cause to be taken, all actions and to do, or cause to be done, all things necessary, proper, or desirable under Applicable Law to carry out the provisions hereof and thereof and give effect to the transactions contemplated hereby and thereby. In furtherance and not in limitation of the foregoing, each of the parties shall (i) subject to the provisions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xml:space="preserve">, use its commercially reasonable efforts to obtain as promptly as reasonably practicable and advisable (as determined in good faith by Amazon after consultation with the Company in accordance with the first sentence of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all exemptions, authorizations, consents, or approvals from, and to make all filings with and to give all notices to, all third parties, including any Governmental Entities, required in connection with the transactions contemplated by this Agreement and the other Transaction Documents (including as may be required upon one or more exercises of Warrant Shares, and whether such approvals arise from Antitrust Laws or otherwise, or one or more sales of Warrant Shares), which, for the avoidance of doubt, shall include providing, as promptly as reasonably practicable and advisable, such information to any Governmental Entity as such Governmental Entity may request in connection therewith, and (ii) cooperate fully with the other party in promptly seeking to obtain all such exemptions, authorizations, consents, or approvals and to make all such filings and give such notices.</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as promptly as practicable after written notice from Amazon (but in the case of the HSR Act, no later than ten (10) Business Days after such written notice), and in any event no later than in accordance with established regulatory time frames, the parties shall (i) file any Notification and Report Forms required or advisable under the HSR Act with the Federal Trade Commission and the United States Department of Justice and (ii) file, make or give, as applicable, all other filings, requests, or notices required or advisable under any other Antitrust Laws, in each case with respect to the issuance of the Warrant Shares (the “</w:t>
      </w:r>
      <w:r>
        <w:rPr>
          <w:rFonts w:ascii="Times New Roman;Times;Serif" w:hAnsi="Times New Roman;Times;Serif"/>
          <w:b w:val="false"/>
          <w:i w:val="false"/>
          <w:caps w:val="false"/>
          <w:smallCaps w:val="false"/>
          <w:sz w:val="20"/>
          <w:u w:val="single"/>
        </w:rPr>
        <w:t>Initial Filing Transaction</w:t>
      </w:r>
      <w:r>
        <w:rPr>
          <w:rFonts w:ascii="Times New Roman;Times;Serif" w:hAnsi="Times New Roman;Times;Serif"/>
          <w:b w:val="false"/>
          <w:i w:val="false"/>
          <w:caps w:val="false"/>
          <w:smallCaps w:val="false"/>
          <w:sz w:val="20"/>
        </w:rPr>
        <w:t>”) (the filings, requests and notices described in the foregoing clauses (i) and (ii), collectively, the “</w:t>
      </w:r>
      <w:r>
        <w:rPr>
          <w:rFonts w:ascii="Times New Roman;Times;Serif" w:hAnsi="Times New Roman;Times;Serif"/>
          <w:b w:val="false"/>
          <w:i w:val="false"/>
          <w:caps w:val="false"/>
          <w:smallCaps w:val="false"/>
          <w:sz w:val="20"/>
          <w:u w:val="single"/>
        </w:rPr>
        <w:t>Initial Antitrust Filings</w:t>
      </w:r>
      <w:r>
        <w:rPr>
          <w:rFonts w:ascii="Times New Roman;Times;Serif" w:hAnsi="Times New Roman;Times;Serif"/>
          <w:b w:val="false"/>
          <w:i w:val="false"/>
          <w:caps w:val="false"/>
          <w:smallCaps w:val="false"/>
          <w:sz w:val="20"/>
        </w:rPr>
        <w:t xml:space="preserve">”). In addition, following the receipt of the Initial Antitrust Clearance, to the extent required or advisable by Applicable Law (including, for the avoidance of doubt, any Antitrust Law) in connection with any further issuance of Warrant Shares (in each case, whether in full or in part), the parties shall file, make, or give, as applicable, as promptly as reasonably practicable and advisable (as determined in good faith by Amazon after consultation with the Company in accordance with the first sentence of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any further filings, requests, or notices required under any Antitrust Laws, including the HSR Act. Without limiting the generality of the foregoing, each party shall supply as promptly as reasonably practicable to the appropriate Governmental Entities, and in any event no later than in accordance with established regulatory time frames, any information and documentary material that may be required under the HSR Act or any other Antitrust Laws. For purposes of this Agreement, the term “</w:t>
      </w:r>
      <w:r>
        <w:rPr>
          <w:rFonts w:ascii="Times New Roman;Times;Serif" w:hAnsi="Times New Roman;Times;Serif"/>
          <w:b w:val="false"/>
          <w:i w:val="false"/>
          <w:caps w:val="false"/>
          <w:smallCaps w:val="false"/>
          <w:sz w:val="20"/>
          <w:u w:val="single"/>
        </w:rPr>
        <w:t>Initial Antitrust Clearance</w:t>
      </w:r>
      <w:r>
        <w:rPr>
          <w:rFonts w:ascii="Times New Roman;Times;Serif" w:hAnsi="Times New Roman;Times;Serif"/>
          <w:b w:val="false"/>
          <w:i w:val="false"/>
          <w:caps w:val="false"/>
          <w:smallCaps w:val="false"/>
          <w:sz w:val="20"/>
        </w:rPr>
        <w:t>” as of any time means (x) prior to such time, the expiration or termination of the waiting period under the HSR Act and the receipt of all exemptions, authorizations, consents, or approvals, the making of all filings and the giving of all notices, and the expiration of all waiting periods, subject to any other Antitrust Laws, in each case to the extent required with respect to the Initial Filing Transaction, and (y) the absence at such time of any Applicable Law or Order issued by any court of competent jurisdiction or other legal restraint or prohibition under any Antitrust Law, in each case that has the effect of preventing the consummation of any issuances of Warrant Shares.</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hereof (including the remainder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the other Transaction Documents, and only to the extent required under the Antitrust Laws, each of the parties shall use its commercially reasonable efforts to avoid or eliminate each and every impediment under any Antitrust Laws that may be asserted by any Governmental Entity, so as to enable the parties to give effect to the transactions contemplated hereby and by the other Transaction Documents in accordance with the terms hereof and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contained herein or in any of the other Transaction Documents, nothing in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shall require, or be construed to require, any party or any of its Affiliates to agree to (and no party or any of its Affiliates shall agree to, without the prior written consent of the other parties): (i) sell, hold separate, divest, discontinue, or limit (or accept any conditions relating to, or changes or restrictions in, the operation of) any assets, businesses, or interests of it or its Affiliates (irrespective of whether or not such assets, businesses, or interests are related to, are the subject matter of, or could be affected by the transactions contemplated by the Transaction Documents); (ii) without limiting clause (i) in any respect, accept any conditions relating to, or changes or restrictions in, the operations of any such assets, businesses, or interests that would reasonably be expected to adversely impact (x) the business of, or the financial, business, or strategic benefits of, the transactions contemplated hereby or by any of the other Transaction Documents to it or its Affiliates, or (y) any other assets, businesses, or interests of it or its Affiliates; (iii) without limiting clause (i) in any respect, accept any modification or waiver of the terms and conditions of this Agreement or any of the other Transaction Documents that would reasonably be expected to adversely impact (x) the business of, or financial, business, or strategic benefits of, the transactions contemplated hereby or by any of the other Transaction Documents to it or its Affiliates, or (y) any other assets, businesses, or interests of it or its Affiliates; or (iv) without limiting clause (i) in any respect, take any action that would materially impair the value to Amazon of the transactions contemplated hereby.</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Amazon shall have the principal responsibility for devising and implementing the strategy (including with respect to the timing of filings) for obtaining any exemptions, authorizations, consents, or approvals required or advisable under the HSR Act or any other Antitrust Laws in connection with the transactions contemplated hereby and by the other Transaction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Amazon shall consult in advance with the Company and shall give good faith consideration to the Company’s views regarding the overall antitrust strategy. Each of the parties shall promptly notify the other party of, and if in writing, furnish the other with copies of (or, in the case of oral communications, advise the other of), any substantive communication that it or any of its Affiliates receives from any Governmental Entity, whether written or oral, relating to the matters that are the subject of this Agreement or any of the other Transaction Documents, and to the extent reasonably practicable, permit the other party to review in advance any proposed substantive written communication by such party to any Governmental Entity and consider in good faith the other party’s reasonable comments on any such proposed substantive written communications prior to their submission. No party shall, and each party shall cause its Affiliates not to, participate or agree to participate in any substantive meeting or communication with any Governmental Entity in respect of the subject matter of the Transaction Documents, including on a “no names” or hypothetical basis, unless (to the extent practicable) it or they consult with the other party in advance, and to the extent practicable and permitted by such Governmental Entity, give the other party the opportunity to jointly prepare for, attend, and participate in such meeting or communication. The parties shall (and shall cause their subsidiaries and Representatives to) coordinate and cooperate fully with each other in exchanging such information and providing such assistance as the other party may reasonably request in connection with the matters described in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including (x) furnishing to each other all information reasonably requested to determine the jurisdictions in which a filing or submission under any Antitrust Law is required or advisable, (y) furnishing to each other all information required for any filing or submission under any Antitrust Law, and (z) keeping each other reasonably informed with respect to the status of each exemption, authorization, consent, approval, filing, and notice under any Antitrust Law, in each case, in connection with the matters that are the subject of this Agreement or any of the other Transaction Documents. The parties shall provide each other with copies of all substantive correspondence, filings, or communications between them or any of their Affiliates or Representatives, on the one hand, and any Governmental Entity or members of its staff, on the other hand, relating to the matters that are the subject of this Agreement or any of the other Transaction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material may be redacted as necessary to (1) comply with contractual arrangements, (2) address good faith legal privilege or confidentiality concerns, and (3) comply with Applicable Law.</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4605"/>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other provisions of this Agreement, including in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in the event that any arbitral, administrative, judicial, or analogous action, claim, or proceeding is instituted (or threatened to be instituted) by a Governmental Entity or any other third party relating to or in connection with the transactions contemplated hereby or by any of the other Transaction Documents other than the Commercial Arrangements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neither party shall be required to contest and resist any such Transaction Litigation or to seek to have vacated, lifted, reversed, or overturned any Order, whether temporary, preliminary, or permanent, that is in effect and that prohibits, prevents, or restricts consummation or implementation of the transactions contemplated hereby or by any of the other Transaction Documents. Upon either (i) the issuance of a non-appealable permanent Order that prohibits, prevents, or restricts consummation or implementation of the transactions contemplated hereby or by any of the other Transaction Documents, or (ii) a termination by Amazon under </w:t>
      </w:r>
      <w:r>
        <w:rPr>
          <w:rFonts w:ascii="Times New Roman;Times;Serif" w:hAnsi="Times New Roman;Times;Serif"/>
          <w:b w:val="false"/>
          <w:i w:val="false"/>
          <w:caps w:val="false"/>
          <w:smallCaps w:val="false"/>
          <w:sz w:val="20"/>
          <w:u w:val="single"/>
        </w:rPr>
        <w:t>Section 8.1(a)(ii)</w:t>
      </w:r>
      <w:r>
        <w:rPr>
          <w:rFonts w:ascii="Times New Roman;Times;Serif" w:hAnsi="Times New Roman;Times;Serif"/>
          <w:b w:val="false"/>
          <w:i w:val="false"/>
          <w:caps w:val="false"/>
          <w:smallCaps w:val="false"/>
          <w:sz w:val="20"/>
        </w:rPr>
        <w:t xml:space="preserve"> hereof, this Agreement and the Warrant shall immediately and automatically be terminated;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parties hereto agree to cooperate with each other to execute and deliver any further instruments or documents and to take all such further action (1) to make Amazon economically the same as if the Warrant had not terminated, including, without limitation, providing for the benefit of Amazon’s vesting under the Warrant that occurred prior to such automatic termination, and (2) with respect to unvested Warrant Shares, to preserve for Amazon the effect of Vesting Events occurring after such automatic termination, assuming such Vesting Events occur. Each party shall keep the other party reasonably informed with respect to any Transaction Litigation unless doing so would reasonably be likely to jeopardize any privilege of such party regarding any such Transaction Litigation (subject to such party using commercially reasonable efforts to develop and implement, and cooperating in good faith with the other party in developing and implementing, reasonable alternative arrangements to provide such other party with such information). Subject to the immediately preceding sentence, each party shall promptly advise the other party orally and in writing in connection with, and shall consult with each other with respect to, any Transaction Litigation and shall in good faith give consideration to each other’s advice with respect to such Transaction Litigation.</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4605"/>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Transaction Litigation where a party hereto or its Affiliates is a named defendant and the other party hereto or its Affiliates is either (i) not a named defendant, or (ii) a named defendant with respect to aiding and abetting the named defendant (“</w:t>
      </w:r>
      <w:r>
        <w:rPr>
          <w:rFonts w:ascii="Times New Roman;Times;Serif" w:hAnsi="Times New Roman;Times;Serif"/>
          <w:b w:val="false"/>
          <w:i w:val="false"/>
          <w:caps w:val="false"/>
          <w:smallCaps w:val="false"/>
          <w:sz w:val="20"/>
          <w:u w:val="single"/>
        </w:rPr>
        <w:t>Specified Defendant</w:t>
      </w:r>
      <w:r>
        <w:rPr>
          <w:rFonts w:ascii="Times New Roman;Times;Serif" w:hAnsi="Times New Roman;Times;Serif"/>
          <w:b w:val="false"/>
          <w:i w:val="false"/>
          <w:caps w:val="false"/>
          <w:smallCaps w:val="false"/>
          <w:sz w:val="20"/>
        </w:rPr>
        <w:t>”), the party who is or its Affiliates are a named defendant shall indemnify and reimburse the Specified Defendant for its Losses incurred in connection with such Transaction Litigation; provided that, in the case of any Transaction Litigation which arises under the HSR Act or any of the Antitrust Laws, each of the Company and Amazon shall bear its own Losses.</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following the date hereof, the Company shall adopt such amendments and take such further actions and do or cause to be done all things necessary, proper, or advisable under Applicable Law to prevent the execution and delivery of the Transaction Documents and the consummation of the transactions contemplated thereby from constituting a “change in control,” “change of control,” or other similar term under any Company Benefit Plan.</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from and after the earlier of (i) the exercise of the Warrant in full and (ii) the expiration, termination, or cancellation of the Warrant without the Warrant having been exercised in full, no party shall have any further obligations under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 xml:space="preserve"> shall in no way relieve any party with respect to any breach by such party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prior to such time.</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the Company’s initial announcement of the transactions contemplated by this Agreement and the other Transaction Documents to customers, suppliers, investors, employees, and otherwise (the “</w:t>
      </w:r>
      <w:r>
        <w:rPr>
          <w:rFonts w:ascii="Times New Roman;Times;Serif" w:hAnsi="Times New Roman;Times;Serif"/>
          <w:b w:val="false"/>
          <w:i w:val="false"/>
          <w:caps w:val="false"/>
          <w:smallCaps w:val="false"/>
          <w:sz w:val="20"/>
          <w:u w:val="single"/>
        </w:rPr>
        <w:t>Initial Announcement</w:t>
      </w:r>
      <w:r>
        <w:rPr>
          <w:rFonts w:ascii="Times New Roman;Times;Serif" w:hAnsi="Times New Roman;Times;Serif"/>
          <w:b w:val="false"/>
          <w:i w:val="false"/>
          <w:caps w:val="false"/>
          <w:smallCaps w:val="false"/>
          <w:sz w:val="20"/>
        </w:rPr>
        <w:t>”) and the timing thereof has been agreed by the parties, including a Form 8-K to be filed by the Company promptly after the date hereof with this Agreement and the Warrant as exhibits thereto (but, for the sake of clarity, without any narrative or exhibits related to the Commercial Arrangements) but redacted as has been agreed by the parties (the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xml:space="preserve">”). Other than the transmission of the Initial Announcement at the time mutually agreed upon by the parties and filing of the Form 8-K, except as required by the Commercial Arrangements, Applicable Law or by the rules or requirements of any stock exchange on which the securities of a party are listed, no party shall make, or cause to be made, or permit any of its Affiliates to make, any press release or public announcement or other similar communications in respect of the Transaction Documents or the transactions contemplated thereby without prior written consent (not to be unreasonably withheld, conditioned, or delayed) of the other party, to the extent such release, announcement, or communication relates to the transactions contemplated hereby or by any of the other Transaction Documents. Notwithstanding the foregoing, no party shall be required to receive the consent of the other party to any release, announcement, or communication (including any filing required to be made under the Exchange Act or the Securities Act) to the extent such release, announcement, or communication includes information (i) with respect to the transactions contemplated hereby or by any of the other Transaction Documents that is substantially the same as the Initial Announcement,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release, announcement, or communication follows the Initial Announcement; (ii) that is substantially the same as releases, announcements, or other communications previously consented to by the other party in accordance with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(iii) that is required to be disclosed under GAAP; (iv) that has previously been released by either of the parties hereto in respect of the transactions contemplated hereby or the Transaction Documents without any violation of the terms of this Agreement; or (v) as may be required in connection with any Form 4, Schedule 13D, Schedule 13G, Form 8-K, Form 10-Q, Form 10-K, Schedule 14A, or other disclosure required by the Commission, the Principal Trading Market, or other Governmental Entity to be made by Amazon or the Company in connection with the transactions contemplated by the Transaction Documents. Notwithstanding the preceding sentence, to the extent any disclosure (including communications with investors and analysts) relates to the Transaction Documents or any transaction contemplated thereby and contains any information not included with the Initial Announcement or releases, announcements, or other communications previously consented to by the other party in accordance with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or that has previously been released by either of the parties hereto in respect of the transactions contemplated hereby or the Transaction Documents without any violation of the terms of this Agreement, such disclosure shall be subject to: (A) the prior consent of the other party (unless it is required to be in such form under Applicable Law), which shall not be unreasonably withheld, conditioned, or delayed, and (B) a reasonable opportunity to propose revisions by the other party, and which revisions such party shall make absent a reasonable basis for objection (and shall provide the other party prompt notice of any such objection and the basis therefor and a reasonable opportunity to consider and discuss such objection).</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in recognition of the importance to the Company and Amazon of taking appropriate steps to maintain the confidentiality of agreements between the parties from the parties’ customers, competitors, and suppliers, in the event that the Company is requested by the Commission, the Principal Trading Market, or any other regulatory body or stock exchange (the Commission, the Principal Trading Market, and each such other regulatory body or stock exchange, a “</w:t>
      </w:r>
      <w:r>
        <w:rPr>
          <w:rFonts w:ascii="Times New Roman;Times;Serif" w:hAnsi="Times New Roman;Times;Serif"/>
          <w:b w:val="false"/>
          <w:i w:val="false"/>
          <w:caps w:val="false"/>
          <w:smallCaps w:val="false"/>
          <w:sz w:val="20"/>
          <w:u w:val="single"/>
        </w:rPr>
        <w:t>Disclosure Agency</w:t>
      </w:r>
      <w:r>
        <w:rPr>
          <w:rFonts w:ascii="Times New Roman;Times;Serif" w:hAnsi="Times New Roman;Times;Serif"/>
          <w:b w:val="false"/>
          <w:i w:val="false"/>
          <w:caps w:val="false"/>
          <w:smallCaps w:val="false"/>
          <w:sz w:val="20"/>
        </w:rPr>
        <w:t>”), or legally required to file or otherwise submit any agreement to which Amazon is a party other than this Agreement and the Warrant (each a “</w:t>
      </w:r>
      <w:r>
        <w:rPr>
          <w:rFonts w:ascii="Times New Roman;Times;Serif" w:hAnsi="Times New Roman;Times;Serif"/>
          <w:b w:val="false"/>
          <w:i w:val="false"/>
          <w:caps w:val="false"/>
          <w:smallCaps w:val="false"/>
          <w:sz w:val="20"/>
          <w:u w:val="single"/>
        </w:rPr>
        <w:t>Disclosable Agreement</w:t>
      </w:r>
      <w:r>
        <w:rPr>
          <w:rFonts w:ascii="Times New Roman;Times;Serif" w:hAnsi="Times New Roman;Times;Serif"/>
          <w:b w:val="false"/>
          <w:i w:val="false"/>
          <w:caps w:val="false"/>
          <w:smallCaps w:val="false"/>
          <w:sz w:val="20"/>
        </w:rPr>
        <w:t xml:space="preserve">”), or any excerpt from, summary of, or information relating to any Disclosable Agreement with or to a Disclosure Agency, the filing or submission of which involves or could result in public disclosure of such Disclosable Agreement or excerpt therefrom, summary thereof, or information relating thereto, the Company will (1) promptly notify Amazon of such request or requirement to file or otherwise submit the Disclosable Agreement or any excerpt therefrom, summary thereof, or information relating thereto and any applicable deadline for making such filing or submission, (2) use reasonable efforts to persuade the Disclosure Agency that the Company is not required to file or otherwise submit the Disclosable Agreement in connection with Applicable Laws, and, to the extent such efforts are not successful, (3) provide Amazon with a reasonable opportunity to request (i) a redaction of any information in the Disclosable Agreement or excerpt therefrom, summary thereof, or information relating thereto (in addition to any redactions proposed by the Company) prior to filing or submitting such Disclosable Agreement, excerpt therefrom, summary thereof, or information relating thereto, and (ii) if requested or required by the Disclosure Agency, the submission of one or more confidential treatment requests in support of such redactions with such arguments as requested by Amazon, including in response to any comments or requests for information issued by the applicable Disclosure Agency, to which, in each case, the Company shall agree absent a reasonable basis for objection (and shall provide Amazon prompt notice of any such objection and the basis therefor and a reasonable opportunity to consider and discuss such objection with the Company), (4) provide Amazon (i) with copies of any comments and all other communications received from the applicable Disclosure Agency with respect to the Disclosable Agreement or confidential treatment thereof (including a reasonable summary of any oral communications or other comments received other than in writing) as promptly as reasonably practicable and (ii) with the Company’s proposed response to such comments at least three (3) Business Days before such response is submitted to the applicable Disclosure Agency, and (5) provide Amazon with a reasonable opportunity to propose revisions within such time period to such proposed response as requested by Amazon, and which revisions the Company shall make absent a reasonable basis for objection (and shall provide Amazon prompt notice of any such objection and the basis therefor and a reasonable opportunity to consider and discuss such objection with the Company), and as applicable, use its commercially reasonable efforts in responding to any such comments in order to pursue assurance that confidential treatment will be granted. The Company will not file any Disclosable Agreement, any excerpt therefrom, summary or portion thereof, or information relating thereto with any Governmental Entity or regulatory body, including any Disclosure Agency, or disclose any other confidential and/or commercially sensitive information in any manner, except to the extent (i) permitted above, or (ii) the Company determines in good faith based on the written advice of outside counsel that making such filing or submission without adhering to the requirements set forth above is necessary to comply with Applicable Law. Notwithstanding anything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this Agreement to the contrary, the provisions of this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will survive for so long as any Commercial Arrangements remain in effect.</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Unless otherwise provided in any Transaction Document, each of the parties shall bear and pay all costs and expenses incurred by it or on its behalf in connection with the transactions contemplated under the Transaction Documents, including fees and expenses of its own financial or other consultants, investment bankers, accountants, and counsel.</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Observer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from and after any such time as the number of Warrant Shares issuable upon exercise of the Warrant that have vested under the terms of the Warrant (including exercised Warrant Shares) is equal to at least 6.0% shares of the Company’s issued and outstanding Common Stock (the “</w:t>
      </w:r>
      <w:r>
        <w:rPr>
          <w:rFonts w:ascii="Times New Roman;Times;Serif" w:hAnsi="Times New Roman;Times;Serif"/>
          <w:b w:val="false"/>
          <w:i w:val="false"/>
          <w:caps w:val="false"/>
          <w:smallCaps w:val="false"/>
          <w:sz w:val="20"/>
          <w:u w:val="single"/>
        </w:rPr>
        <w:t>Observer Threshold</w:t>
      </w:r>
      <w:r>
        <w:rPr>
          <w:rFonts w:ascii="Times New Roman;Times;Serif" w:hAnsi="Times New Roman;Times;Serif"/>
          <w:b w:val="false"/>
          <w:i w:val="false"/>
          <w:caps w:val="false"/>
          <w:smallCaps w:val="false"/>
          <w:sz w:val="20"/>
        </w:rPr>
        <w:t>”), Amazon shall have the right, but not the obligation, to designate an individual employee or other service provider of Amazon or any of its Affiliates (any such individual, the “</w:t>
      </w:r>
      <w:r>
        <w:rPr>
          <w:rFonts w:ascii="Times New Roman;Times;Serif" w:hAnsi="Times New Roman;Times;Serif"/>
          <w:b w:val="false"/>
          <w:i w:val="false"/>
          <w:caps w:val="false"/>
          <w:smallCaps w:val="false"/>
          <w:sz w:val="20"/>
          <w:u w:val="single"/>
        </w:rPr>
        <w:t>Amazon Observer</w:t>
      </w:r>
      <w:r>
        <w:rPr>
          <w:rFonts w:ascii="Times New Roman;Times;Serif" w:hAnsi="Times New Roman;Times;Serif"/>
          <w:b w:val="false"/>
          <w:i w:val="false"/>
          <w:caps w:val="false"/>
          <w:smallCaps w:val="false"/>
          <w:sz w:val="20"/>
        </w:rPr>
        <w:t>”) to attend all meetings of the Board in a non-voting, observer capacity, which Amazon Observer shall be approved by the Company (such approval not to be unreasonably withheld, conditioned, or delayed), provided, however, that no approval by the Company will be required if the Amazon Observer is an employee of Amazon or any of its Affiliates, in which case Amazon shall notify the Company of the identity of the Amazon Observer at least fourteen days before the first meeting to be attended by such Amazon Observer in that role. In this respect, the Company shall provide to the Amazon Observer notice of such meetings and, subject to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a copy of the meeting materials at the same time as provided to the members of the Board in their capacity as such, and shall provide the Amazon Observer with the same rights to expense reimbursement that it provides to independent members of the Board. The Company acknowledges and agrees that the Amazon Observer will not owe any fiduciary duties or any other similar obligations or duties, including in law or equity, to the Company, its subsidiaries, or its stockholders and may act at all times in the best interests of Warrantholder, Amazon, and any of their respective Affiliates.</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the Amazon Observer shall not be entitled to attend and otherwise participate in, and shall, to the extent applicable, waive notice of and recuse themselves from, such meetings or portions thereof and shall not be entitled to receive any information, in each case (i) to the extent relating to Amazon, this Agreement, any other Transaction Documents or the transactions contemplated hereby or thereby, (ii) to the extent such information involves competitively sensitive information about specific Company customers, (iii) if the Company believes based on the good faith written advice of outside counsel that providing such information would violate Applicable Law (in which case the Company shall notify Amazon of such belief and the Company and Amazon shall consult and cooperate in good faith in determining whether the Company is legally prohibited from providing such information to the Amazon Observer), or (iv) where the Company determines based upon good faith written advice from outside counsel that providing such information (A) would reasonably be expected to jeopardize an attorney-client privilege or cause a loss of attorney work product protection or (B) would violate a contractual confidentiality obligation to any third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clauses (ii) through (iv), the Company uses reasonable best efforts and cooperates in good faith with the Amazon Observer to develop and implement reasonable alternative arrangements to provide the Amazon Observer with the intended benefits of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provide or otherwise make available to the Amazon Observer, if applicable (in his or her capacity as such), the same rights to indemnification and exculpation that it provides to members of the Board (including with respect to derivative claims).</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upon the occurrence of Warrantholder, Amazon, and any of their respective Affiliates holding Warrant Shares and vested Warrant Shares subject to exercise under the Warrant less than the Observer Threshold, all obligations of the Company with respect to, and all rights of, Amazon and the Amazon Observer under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(other than rights to indemnification and exculpation as contemplated by </w:t>
      </w:r>
      <w:r>
        <w:rPr>
          <w:rFonts w:ascii="Times New Roman;Times;Serif" w:hAnsi="Times New Roman;Times;Serif"/>
          <w:b w:val="false"/>
          <w:i w:val="false"/>
          <w:caps w:val="false"/>
          <w:smallCaps w:val="false"/>
          <w:sz w:val="20"/>
          <w:u w:val="single"/>
        </w:rPr>
        <w:t>Section 3.4(c)</w:t>
      </w:r>
      <w:r>
        <w:rPr>
          <w:rFonts w:ascii="Times New Roman;Times;Serif" w:hAnsi="Times New Roman;Times;Serif"/>
          <w:b w:val="false"/>
          <w:i w:val="false"/>
          <w:caps w:val="false"/>
          <w:smallCaps w:val="false"/>
          <w:sz w:val="20"/>
        </w:rPr>
        <w:t>) shall terminate and, unless otherwise consented to by a majority of the members of the Board, Amazon shall cause the Amazon Observer to cease attending meetings of the Board.</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Amazon and the Company agree to treat the Warrant Issuance (i) as a closed, taxable transaction occurring on the date of the Warrant Issuance, rather than as an open transaction, for U.S. federal, state, and local tax purposes, and (ii) not as a transaction in connection with the performance of services within the meaning of Section 83 of the Code. Amazon shall control the valuation of the Warrant for all relevant U.S. federal, state, and local tax purposes and shall engage a nationally recognized valuation firm to prepare such valuation within a reasonable amount of time following the date hereof. Neither Amazon nor the Company shall take any position for tax purposes that is inconsistent with the foregoing, unless required by a determination (within the meaning of Section 1313(a) of the Code).</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MNPI</w:t>
      </w:r>
      <w:r>
        <w:rPr>
          <w:rFonts w:ascii="Times New Roman;Times;Serif" w:hAnsi="Times New Roman;Times;Serif"/>
          <w:b w:val="false"/>
          <w:i w:val="false"/>
          <w:caps w:val="false"/>
          <w:smallCaps w:val="false"/>
          <w:sz w:val="20"/>
        </w:rPr>
        <w:t>. Except as is otherwise required pursuant to the terms of this Agreement, the Company shall not, and shall cause its subsidiaries not to, provide material nonpublic information to Amazon, its Affiliates or their Representatives, except for communications directly related to satisfaction of any conditions under or obligations of the Warrant or the performance of the commercial relationship between the Company and its Affiliates, on one hand, and Amazon or its Affiliates, on the other hand.</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3.6</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IV</w:t>
      </w:r>
      <w:r>
        <w:rPr>
          <w:rFonts w:ascii="Times New Roman;Times;Serif" w:hAnsi="Times New Roman;Times;Serif"/>
          <w:b/>
          <w:i w:val="false"/>
          <w:caps w:val="false"/>
          <w:smallCaps w:val="false"/>
          <w:sz w:val="20"/>
        </w:rPr>
        <w:br/>
        <w:br/>
        <w:t>ADDITIONAL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Acquisition for Investment</w:t>
      </w:r>
      <w:r>
        <w:rPr>
          <w:rFonts w:ascii="Times New Roman;Times;Serif" w:hAnsi="Times New Roman;Times;Serif"/>
          <w:b w:val="false"/>
          <w:i w:val="false"/>
          <w:caps w:val="false"/>
          <w:smallCaps w:val="false"/>
          <w:sz w:val="20"/>
        </w:rPr>
        <w:t>. Amazon (for itself and on behalf of the Warrantholder) acknowledges that the issuance of the Warrant and the Warrant Shares has not been registered under the Securities Act or under any state securities laws. Amazon (for itself and on behalf of the Warrantholder) (i) acknowledges that it is acquiring the Warrant and the Warrant Shares under an exemption from registration under the Securities Act solely for its own account for investment with no present intention to distribute them to any person in violation of the Securities Act or any other applicable state securities laws, (ii) agrees that it shall not (and shall not permit its subsidiaries to) sell or otherwise dispose of the Warrant or the Warrant Shares, except in compliance with the registration requirements or exemption provisions of the Securities Act and any applicable state securities laws and the terms of this Agreement and the Warrant, (iii) acknowledges that it has such knowledge and experience in financial and business matters and in investments of this type that it is capable of evaluating the merits and risks of the Warrant Issuance and of making an informed investment decision, and has conducted a review of the business and affairs of the Company that it considers sufficient and reasonable for purposes of consummating the Warrant Issuance, (iv) acknowledges that it is able to bear the economic risk of the Warrant Issuance and is able to afford a complete loss of such investment, and (v) acknowledges that it is an “accredited investor” (as that term is defined by Rule 501 under the Securities Act).</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(for itself and on behalf of the Warrantholder) agrees that all book-entry electronic instruments representing the Warrant and the Warrant Shares shall bear any legend that is required by the “blue sky” laws of any state and a restrictive legend substantially to the following effect, if applicable:</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OR THE SECURITIES LAWS OF ANY STATE AND MAY NOT BE TRANSFERRED, SOLD, OR OTHERWISE DISPOSED OF EXCEPT IN CONNECTION WITH AN EFFECTIVE REGISTRATION STATEMENT UNDER SUCH ACT AND APPLICABLE STATE SECURITIES LAWS OR UNDER AN EXEMPTION FROM REGISTRATION UNDER SUCH ACT OR SUCH LAWS.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IS ISSUED IN CONNECTION WITH AND SUBJECT TO THE RESTRICTIONS ON TRANSFER AND OTHER PROVISIONS OF A TRANSACTION AGREEMENT, DATED AS OF MARCH 13, 2025, BY AND BETWEEN THE ISSUER OF THESE SECURITIES AND AMAZON.COM, INC., A DELAWARE CORPORATION, A COPY OF WHICH IS OR WILL BE ON FILE WITH THE ISSUER. THE SECURITIES REPRESENTED BY THIS INSTRUMENT MAY NOT BE SOLD OR OTHERWISE TRANSFERRED EXCEPT IN COMPLIANCE WITH SAID AGREEMENT. ANY SALE OR OTHER TRANSFER NOT IN COMPLIANCE WITH SAID AGREEMENT WILL BE VOID.”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 Shares are eligible for resale under an effective registration statement under the Securities Act, or are exempt from registration under Rule 144 of the Securities Act, the Company shall comply with the Delivery Covenants (as defined below) and remove any portion of the legends in clause (a) above that is no longer applicable.</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receiving a written request under either (b) above, or any notice of exercise or part or all of a Warrant, the Company shall, at its sole expense, including that of its transfer agent and for same day processing with its transfer agent, on or before (i)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receipt of such request or notice, issue applicable issuance instructions to the Company’s transfer agent to, and (ii)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following receipt of such request or notice, cause the Company’s transfer agent to:</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to-be-issued Warrant Shares remain subject to any restrictive legends, issue such Warrant Shares in book entry form on the ledger of the Company’s transfer agent, or</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to-be-issued Warrant Shares are not subject to any restrictive legends, including without limitation being registered on an effective registration statement or are eligible for resale under Rule 144 of the Securities Act, then at Warrantholder’s election, (x) issue such Warrant Shares in book entry form on the ledger of the Company’s transfer agent, or (y) at the option of Warrantholder, use either (a) the Depository Trust Company (“DTC”) Direct Registration System (“DRS”) or (b) the DTC Deposit/Withdrawal At Custodian (“DWAC”) system to credit such aggregate number of Warrant Shares to which Warrantholder is entitled in accordance with such exercise to such Warrantholder’s balance account with DTC; provided that Warrantholder consents to the elimination or reduction, as the case may be, of such applicable book entry positions at the Company’s transfer agent.</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obligations set forth in this </w:t>
      </w:r>
      <w:r>
        <w:rPr>
          <w:rFonts w:ascii="Times New Roman;Times;Serif" w:hAnsi="Times New Roman;Times;Serif"/>
          <w:b w:val="false"/>
          <w:i w:val="false"/>
          <w:caps w:val="false"/>
          <w:smallCaps w:val="false"/>
          <w:sz w:val="20"/>
          <w:u w:val="single"/>
        </w:rPr>
        <w:t>Section 4.2(c)</w:t>
      </w:r>
      <w:r>
        <w:rPr>
          <w:rFonts w:ascii="Times New Roman;Times;Serif" w:hAnsi="Times New Roman;Times;Serif"/>
          <w:b w:val="false"/>
          <w:i w:val="false"/>
          <w:caps w:val="false"/>
          <w:smallCaps w:val="false"/>
          <w:sz w:val="20"/>
        </w:rPr>
        <w:t xml:space="preserve"> are referred to as the “</w:t>
      </w:r>
      <w:r>
        <w:rPr>
          <w:rFonts w:ascii="Times New Roman;Times;Serif" w:hAnsi="Times New Roman;Times;Serif"/>
          <w:b w:val="false"/>
          <w:i w:val="false"/>
          <w:caps w:val="false"/>
          <w:smallCaps w:val="false"/>
          <w:sz w:val="20"/>
          <w:u w:val="single"/>
        </w:rPr>
        <w:t>Delivery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Company’s transfer agent requires an opinion of counsel to remove any restrictive legends, then, at election of Warrantholder, the Company shall (i) within the timeframe to allow for compliance with the share delivery timeline in clause (c) above, obtain at its own cost an opinion of counsel from a nationally recognized law firm, or (ii) instruct the Company’s transfer agent to accept an opinion of counsel obtained by Warrantholder from a nationally recognized law firm in reasonable form and substance.</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Anti-Takeover Provisions</w:t>
      </w:r>
      <w:r>
        <w:rPr>
          <w:rFonts w:ascii="Times New Roman;Times;Serif" w:hAnsi="Times New Roman;Times;Serif"/>
          <w:b w:val="false"/>
          <w:i w:val="false"/>
          <w:caps w:val="false"/>
          <w:smallCaps w:val="false"/>
          <w:sz w:val="20"/>
        </w:rPr>
        <w:t>. The Company shall not take any action that would prevent Amazon from exercising any of its rights under this Agreement or any of the other Transaction Documents, or any of the transactions contemplated hereby or thereby (a “</w:t>
      </w:r>
      <w:r>
        <w:rPr>
          <w:rFonts w:ascii="Times New Roman;Times;Serif" w:hAnsi="Times New Roman;Times;Serif"/>
          <w:b w:val="false"/>
          <w:i w:val="false"/>
          <w:caps w:val="false"/>
          <w:smallCaps w:val="false"/>
          <w:sz w:val="20"/>
          <w:u w:val="single"/>
        </w:rPr>
        <w:t>Burdensome Action</w:t>
      </w:r>
      <w:r>
        <w:rPr>
          <w:rFonts w:ascii="Times New Roman;Times;Serif" w:hAnsi="Times New Roman;Times;Serif"/>
          <w:b w:val="false"/>
          <w:i w:val="false"/>
          <w:caps w:val="false"/>
          <w:smallCaps w:val="false"/>
          <w:sz w:val="20"/>
        </w:rPr>
        <w:t>”), including by causing this Agreement or any of the other Transaction Documents, or any of the transactions contemplated hereby or thereby, to be subject to any requirements imposed by any Anti-Takeover Provisions or subject in any manner to any “poison pill” or similar shareholder rights plan, in each case the result of which would be to cause a Burdensome Action to occur, and shall take all necessary steps within its control to exempt (or ensure the continued exemption of) the transactions contemplated by the Transaction Documents from any applicable Anti-Takeover Provisions, as now or hereafter in effect.</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Warrantholder shall be permitted to Transfer (a) any unvested portion of the Warrant to any Affiliate of Warrantholder, and (b) any vested (but not the unvested) portion of the Warrant to any Person who is not a Prohibited Transferee so long as such Transfer is in accordance with Applicable Law (the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xml:space="preserve">”). Any Person to whom a Permitted Transfer is made shall be deemed a Warrantholder hereunder. To the extent it has not already done so, each such Transferee will execute a joinder to this Agreement, in which such Transferee agrees to be subject to all covenants and agreements of Amazon under this Agreement and make all the representations and warranties and/or acknowledgements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(although the representation and warranty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shall be made with respect to the applicable jurisdiction of incorporation and to the extent the concept is applicable in that jurisdiction) and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Transfer or attempted Transfer of the Warrant in violation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shall, to the fullest extent permitted by law, be null and void ab initio, and the Company shall not, and shall instruct its transfer agent and other third parties not to, record or recognize any such purported transaction on the share register or other books and records of the Company.</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once a Transferee of a Permitted Transfer executes and delivers a joinder to this Agreement in accordance with its terms, such Transferee shall be bound and have the benefit of such provisions of this Agreement set forth in such joinder as if such Transferee were named in this Agreement as a “party” to this Agreement; provided, however, that for any Transferee that is not an Affiliate of Amazon, if such Transferee is transferred Warrant Shares for 1% or more of the outstanding shares of the Company (a “</w:t>
      </w:r>
      <w:r>
        <w:rPr>
          <w:rFonts w:ascii="Times New Roman;Times;Serif" w:hAnsi="Times New Roman;Times;Serif"/>
          <w:b w:val="false"/>
          <w:i w:val="false"/>
          <w:caps w:val="false"/>
          <w:smallCaps w:val="false"/>
          <w:sz w:val="20"/>
          <w:u w:val="single"/>
        </w:rPr>
        <w:t>Covered Transferee</w:t>
      </w:r>
      <w:r>
        <w:rPr>
          <w:rFonts w:ascii="Times New Roman;Times;Serif" w:hAnsi="Times New Roman;Times;Serif"/>
          <w:b w:val="false"/>
          <w:i w:val="false"/>
          <w:caps w:val="false"/>
          <w:smallCaps w:val="false"/>
          <w:sz w:val="20"/>
        </w:rPr>
        <w:t xml:space="preserve">”), only the provisions of Article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Warrant Issuance; Closing</w:t>
      </w:r>
      <w:r>
        <w:rPr>
          <w:rFonts w:ascii="Times New Roman;Times;Serif" w:hAnsi="Times New Roman;Times;Serif"/>
          <w:b w:val="false"/>
          <w:i w:val="false"/>
          <w:caps w:val="false"/>
          <w:smallCaps w:val="false"/>
          <w:sz w:val="20"/>
        </w:rPr>
        <w:t xml:space="preserve">), Article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Reports under Exchange Act</w:t>
      </w:r>
      <w:r>
        <w:rPr>
          <w:rFonts w:ascii="Times New Roman;Times;Serif" w:hAnsi="Times New Roman;Times;Serif"/>
          <w:b w:val="false"/>
          <w:i w:val="false"/>
          <w:caps w:val="false"/>
          <w:smallCaps w:val="false"/>
          <w:sz w:val="20"/>
        </w:rPr>
        <w:t xml:space="preserve">), and Article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Fundamental Provisions</w:t>
      </w:r>
      <w:r>
        <w:rPr>
          <w:rFonts w:ascii="Times New Roman;Times;Serif" w:hAnsi="Times New Roman;Times;Serif"/>
          <w:b w:val="false"/>
          <w:i w:val="false"/>
          <w:caps w:val="false"/>
          <w:smallCaps w:val="false"/>
          <w:sz w:val="20"/>
        </w:rPr>
        <w:t xml:space="preserve">”), and Article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Registration</w:t>
      </w:r>
      <w:r>
        <w:rPr>
          <w:rFonts w:ascii="Times New Roman;Times;Serif" w:hAnsi="Times New Roman;Times;Serif"/>
          <w:b w:val="false"/>
          <w:i w:val="false"/>
          <w:caps w:val="false"/>
          <w:smallCaps w:val="false"/>
          <w:sz w:val="20"/>
        </w:rPr>
        <w:t>) shall be applicable to and enforceable by such Transferee, and for any Transferee who is neither an Affiliate of Amazon nor a Covered Transferee, only the Fundamental Provisions shall be applicable to and enforceable by such Transferee. In such an event, the Company will execute and deliver a counterpart signature to such joinder agreement; and</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Transferee has not either (A) entered into or is bound by a mutual nondisclosure agreement enforceable directly by the Company on terms that are substantially similar as the Confidentiality Agreement or (B) agreed to be bound by the terms of the Confidentiality Agreement to the same extent as if such Transferee were a party thereto, the Company shall not, notwithstanding any provision of any Transaction Document to the contrary, be required to disclose any Confidential Information to such Transferee unless and until such agreement has been entered into.</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Reports under Exchange Act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4.5</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Amazon the benefits of Rule 144 under the Securities Act and any other Applicable Law of the Commission that may at any time permit Amazon to sell Equity Securities of the Company to the public without registration or subject to a registration on Form S-3, the Company agrees to:</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keep public information available, as those terms are understood and defined in Rule 144 under the Securities Act, at all times after the date hereof;</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with the Commission in a timely manner all reports and other documents required of the Company under the Securities Act and the Exchange Act; and</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Amazon, so long as Amazon or its Affiliates own any Registrable Securities, upon request (x) a written statement by the Company that it has complied with the reporting requirements of the Securities Act (including Rule 144(c) under the Securities Act), and the Exchange Act, or that it qualifies as a registrant whose securities may be resold in accordance with Form S-3 (at any time after it so qualifies), and (y) such other information as may be reasonably requested in availing Amazon or its Affiliates of any rule or regulation of the Commission that permits the selling of any such securities without registration or in accordance with such form.</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delinquent in its public reporting obligations under the Exchange Act or the Securities Act (the “Public Reporting Obligations”), upon notice by Amazon to the Company, the Company shall indemnify Amazon for Losses on each Warrant Share sold by Amazon after the Company is no longer delinquent in its Public Reporting Obligations and in the 90 days after the earlier of (i) the date on which the Company has an effective registration statement on file with respect to the Warrant Shares under which Amazon may sell the Warrant Shares, or (ii) such Warrant Shares are eligible for unlimited sale under Rule 144 without being capped at any volume limitations with respect thereto. The Loss for each Warrant Shares shall be the amount, if any, by which the closing price of a share of Common Stock on the last trading day immediately prior to the Company becoming so delinquent exceeds the sale price of such sold Warrant Share.</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4572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 of Notice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4.6</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or from time to time the Company proposes to (i) enter into a definitive agreement (or any agreement providing for exclusive negotiation thereof) with any Person or Group (excluding Amazon or any of its subsidiaries) for the purpose of consummating an Acquisition Transaction or (ii) initiate a process to explore an Acquisition Transaction or to accept any offer from any Person or Group with respect to any Acquisition Transaction, the Company shall promptly, and in any event no later than twenty (20) Business Days prior to entering into any definitive agreement (or any agreement providing for exclusive negotiation thereof) with respect to such Acquisition Transaction (the “</w:t>
      </w:r>
      <w:r>
        <w:rPr>
          <w:rFonts w:ascii="Times New Roman;Times;Serif" w:hAnsi="Times New Roman;Times;Serif"/>
          <w:b w:val="false"/>
          <w:i w:val="false"/>
          <w:caps w:val="false"/>
          <w:smallCaps w:val="false"/>
          <w:sz w:val="20"/>
          <w:u w:val="single"/>
        </w:rPr>
        <w:t>Threshold Period</w:t>
      </w:r>
      <w:r>
        <w:rPr>
          <w:rFonts w:ascii="Times New Roman;Times;Serif" w:hAnsi="Times New Roman;Times;Serif"/>
          <w:b w:val="false"/>
          <w:i w:val="false"/>
          <w:caps w:val="false"/>
          <w:smallCaps w:val="false"/>
          <w:sz w:val="20"/>
        </w:rPr>
        <w:t>”), provide written notice to Amazon (an “</w:t>
      </w:r>
      <w:r>
        <w:rPr>
          <w:rFonts w:ascii="Times New Roman;Times;Serif" w:hAnsi="Times New Roman;Times;Serif"/>
          <w:b w:val="false"/>
          <w:i w:val="false"/>
          <w:caps w:val="false"/>
          <w:smallCaps w:val="false"/>
          <w:sz w:val="20"/>
          <w:u w:val="single"/>
        </w:rPr>
        <w:t>Event Notice</w:t>
      </w:r>
      <w:r>
        <w:rPr>
          <w:rFonts w:ascii="Times New Roman;Times;Serif" w:hAnsi="Times New Roman;Times;Serif"/>
          <w:b w:val="false"/>
          <w:i w:val="false"/>
          <w:caps w:val="false"/>
          <w:smallCaps w:val="false"/>
          <w:sz w:val="20"/>
        </w:rPr>
        <w:t>”), which notice shall (i) be subject to the terms of the Confidentiality Agreement and (ii) contain all terms of such proposed Acquisition Transaction as well as all information or draft documentation which may impact Amazon in its capacity as a holder of the Warrant (but for the avoidance of doubt, the Company shall not be required to identify the third party that made such proposed Acquisition Transaction). If requested by Amazon, for a period starting on the date that Amazon receives any Event Notice and lasting until 5 P.M. Pacific Time on the twentieth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thereafter (the “</w:t>
      </w:r>
      <w:r>
        <w:rPr>
          <w:rFonts w:ascii="Times New Roman;Times;Serif" w:hAnsi="Times New Roman;Times;Serif"/>
          <w:b w:val="false"/>
          <w:i w:val="false"/>
          <w:caps w:val="false"/>
          <w:smallCaps w:val="false"/>
          <w:sz w:val="20"/>
          <w:u w:val="single"/>
        </w:rPr>
        <w:t>Initial Period</w:t>
      </w:r>
      <w:r>
        <w:rPr>
          <w:rFonts w:ascii="Times New Roman;Times;Serif" w:hAnsi="Times New Roman;Times;Serif"/>
          <w:b w:val="false"/>
          <w:i w:val="false"/>
          <w:caps w:val="false"/>
          <w:smallCaps w:val="false"/>
          <w:sz w:val="20"/>
        </w:rPr>
        <w:t>”), the Company shall (i) provide Amazon with all diligence materials provided to any third-party Person or Group and (ii) engage in good faith negotiations with Amazon regarding the terms of any Acquisition Proposal proposed by Amazon or any of its subsidiaries (clause (ii) being the “</w:t>
      </w:r>
      <w:r>
        <w:rPr>
          <w:rFonts w:ascii="Times New Roman;Times;Serif" w:hAnsi="Times New Roman;Times;Serif"/>
          <w:b w:val="false"/>
          <w:i w:val="false"/>
          <w:caps w:val="false"/>
          <w:smallCaps w:val="false"/>
          <w:sz w:val="20"/>
          <w:u w:val="single"/>
        </w:rPr>
        <w:t>Company Negotiation Covenant</w:t>
      </w:r>
      <w:r>
        <w:rPr>
          <w:rFonts w:ascii="Times New Roman;Times;Serif" w:hAnsi="Times New Roman;Times;Serif"/>
          <w:b w:val="false"/>
          <w:i w:val="false"/>
          <w:caps w:val="false"/>
          <w:smallCaps w:val="false"/>
          <w:sz w:val="20"/>
        </w:rPr>
        <w:t>”). Notwithstanding anything in this Agreement, during the Initial Period, the Company shall not enter into any definitive agreement (or any agreement providing for exclusive negotiation thereof) with respect to such Acquisition Transaction or consummate any Acquisition Transaction (the “</w:t>
      </w:r>
      <w:r>
        <w:rPr>
          <w:rFonts w:ascii="Times New Roman;Times;Serif" w:hAnsi="Times New Roman;Times;Serif"/>
          <w:b w:val="false"/>
          <w:i w:val="false"/>
          <w:caps w:val="false"/>
          <w:smallCaps w:val="false"/>
          <w:sz w:val="20"/>
          <w:u w:val="single"/>
        </w:rPr>
        <w:t>Company Negative Covenant</w:t>
      </w:r>
      <w:r>
        <w:rPr>
          <w:rFonts w:ascii="Times New Roman;Times;Serif" w:hAnsi="Times New Roman;Times;Serif"/>
          <w:b w:val="false"/>
          <w:i w:val="false"/>
          <w:caps w:val="false"/>
          <w:smallCaps w:val="false"/>
          <w:sz w:val="20"/>
        </w:rPr>
        <w:t>”). If, following the Initial Period, there is any price decrease or other changes to the terms and conditions set forth in the Event Notice which are more favorable to the Person making the offer for an Acquisition Transaction, the Company shall provide a new Event Notice to Amazon and shall not enter into any definitive agreement (or any agreement providing for exclusive negotiation thereof) with respect to such Acquisition Transaction or consummate any Acquisition Transaction for a period of ten (10) Business Days.</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V</w:t>
      </w:r>
      <w:r>
        <w:rPr>
          <w:rFonts w:ascii="Times New Roman;Times;Serif" w:hAnsi="Times New Roman;Times;Serif"/>
          <w:b/>
          <w:i w:val="false"/>
          <w:caps w:val="false"/>
          <w:smallCaps w:val="false"/>
          <w:sz w:val="20"/>
        </w:rPr>
        <w:br/>
        <w:br/>
        <w:t>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Information Rights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4572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this Agreement, the Company shall prepare and provide, or cause to be prepared and provided, to Amazon:</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4572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Reporting Company, then within the time periods applicable to the Company under Sections 13(a) or 15(d) of the Exchange Act (the “</w:t>
      </w:r>
      <w:r>
        <w:rPr>
          <w:rFonts w:ascii="Times New Roman;Times;Serif" w:hAnsi="Times New Roman;Times;Serif"/>
          <w:b w:val="false"/>
          <w:i w:val="false"/>
          <w:caps w:val="false"/>
          <w:smallCaps w:val="false"/>
          <w:sz w:val="20"/>
          <w:u w:val="single"/>
        </w:rPr>
        <w:t>Reporting Company Filing Dates</w:t>
      </w:r>
      <w:r>
        <w:rPr>
          <w:rFonts w:ascii="Times New Roman;Times;Serif" w:hAnsi="Times New Roman;Times;Serif"/>
          <w:b w:val="false"/>
          <w:i w:val="false"/>
          <w:caps w:val="false"/>
          <w:smallCaps w:val="false"/>
          <w:sz w:val="20"/>
        </w:rPr>
        <w:t xml:space="preserve">”), all interim and annual financial statements required to be contained in a filing with the Commission on Forms 10-K and 10-Q,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requirements of this clause shall be deemed satisfied to the extent such information is publicly filed on EDGAR on or by the applicable Reporting Company Filing Date; and</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is not a Reporting Company at any time, the information set forth on </w:t>
      </w:r>
      <w:r>
        <w:rPr>
          <w:rFonts w:ascii="Times New Roman;Times;Serif" w:hAnsi="Times New Roman;Times;Serif"/>
          <w:b w:val="false"/>
          <w:i w:val="false"/>
          <w:caps w:val="false"/>
          <w:smallCaps w:val="false"/>
          <w:sz w:val="20"/>
          <w:u w:val="single"/>
        </w:rPr>
        <w:t>Schedule 5.1(a)</w:t>
      </w:r>
      <w:r>
        <w:rPr>
          <w:rFonts w:ascii="Times New Roman;Times;Serif" w:hAnsi="Times New Roman;Times;Serif"/>
          <w:b w:val="false"/>
          <w:i w:val="false"/>
          <w:caps w:val="false"/>
          <w:smallCaps w:val="false"/>
          <w:sz w:val="20"/>
        </w:rPr>
        <w:t xml:space="preserve"> within the respective time periods set forth therein.</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term of this Agreement, the Company shall consider and respond promptly and in good faith to reasonable requests for information for the purpose of Amazon to satisfy its financial reporting and accounting requirements regarding the Company and its subsidiaries from Amazon in its capacity as a shareholder of the Company. Without limiting the generality of the foregoing, the Company and its subsidiaries shall not be required to provide any such information if (i) the Company reasonably determines that such information is competitively sensitive, (ii) the Company determines in good faith that providing such information would adversely affect the Company (taking into account the nature of the request and the facts and circumstances at such time) other than to a de minimis extent, or (iii) providing such information (A) would reasonably be expected to jeopardize an attorney-client privilege or cause a loss of attorney work product protection, (B) would violate a confidentiality obligation to any person in effect on the date of this Agreement, or (C) would, based on the written advice of the Company’s outside legal counsel, violate any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clauses (i)-(iii), the Company uses reasonable efforts, and cooperates in good faith with Amazon, to develop and implement reasonable alternative arrangements to provide Amazon (and its Representatives) with the intended benefits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information obtained under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with respect to the Company shall be subject to the Confidentiality Agreement.</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Reporting Requirements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Amazon with any information reasonably requested by Amazon that is in the Company’s possession or that can be provided with the use of reasonable efforts to allow Amazon to comply with Applicable Law related to taxes or to avail itself of any provision of Applicable Law related to taxes. The Company shall reasonably cooperate (at no out-of-pocket cost to the Company) in preparing for any audit of, or dispute with a tax authority regarding any tax return of, Amazon or any of its Affiliates relating to the Company or any of its Affiliates.</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its status as a domestic corporation for U.S. federal income tax purposes.</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its U.S. federal income tax return, the Company will ask its tax return preparer or shall make due inquiry with a Tax Advisor selected by it regarding the Company’s obligation to comply with the reporting requirements under Sections 6038, 6038B, and 6046 of the Code, and the Company shall comply with any such applicable requirements. To the extent that Amazon is subject to the same reporting requirements, the Company shall file on Amazon’s behalf if permitted by Applicable Law. The Company shall also provide Amazon with any such filings under such sections for Amazon’s review 45 days prior to the due date for filing (including extensions). To the extent that the Company does not have a filing requirement under such sections, the Company shall provide such information to Amazon as may be necessary to fulfill Amazon’s obligations thereunder as a result of the Warrant Issuance or the acquisition of Warrant Shares hereunder.</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Notwithstanding anything in this Agreement,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survive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will continue until the date that the Beneficial Ownership of Amazon, in the aggregate, of shares of Common Stock is less than one percent on a fully diluted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survive with respect to the taxable year in which such date occurs.</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VI</w:t>
      </w:r>
      <w:r>
        <w:rPr>
          <w:rFonts w:ascii="Times New Roman;Times;Serif" w:hAnsi="Times New Roman;Times;Serif"/>
          <w:b/>
          <w:i w:val="false"/>
          <w:caps w:val="false"/>
          <w:smallCaps w:val="false"/>
          <w:sz w:val="20"/>
        </w:rPr>
        <w:br/>
        <w:br/>
        <w:t>REGISTRATION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hereof, the Company shall file as soon as reasonably practicable after the date hereof, but in no event later than 45 days after such date, and use commercially reasonable efforts to cause to be declared effective by the Commission as soon as reasonably practicable after such filing date, a registration statement on Form S-3 or, if such form is not available to the Company, Form S-1, providing for an offering to be made on a continuous basis in accordance with Rule 415 under the Securities Act relating to the offer and sale, from time to time, of all of the Registrable Securities (the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 but shall register the specific number of Registrable Securities and pay the registration fee for all Registrable Securities to be registered in accordance with such automatic shelf registration statement at the time of filing of the automatic shelf registration statement and shall not elect to pay any portion of the registration fee on a deferred basis.</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its commercially reasonable efforts to keep the Shelf Registration Statement continuously effective for the maximum period permitted by the Commission’s rules, and shall replace such Shelf Registration Statement at or before expiration with a successor Shelf Registration Statement, until the date on which all Registrable Securities covered by the Shelf Registration Statement have been sold thereunder in accordance with the plan and method of distribution disclosed in the prospectus included in the Shelf Registration Statement. In furtherance thereof, the Company shall be liable for and promptly indemnify Amazon if the Shelf Registration Statement is not continuously effective.</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Agreement, the Company shall be entitled, from time to time, by providing written notice to the holders of Registrable Securities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to require such Holders to suspend the use of the prospectus for sales of Registrable Securities under the Shelf Registration Statement during any Blackout Period. In the event of a Blackout Period, the Company shall deliver to the Holders a certificate signed by either the chief executive officer or the chief financial officer of the Company certifying that, in the good faith judgment of the Company, the conditions described in the definition of Blackout Period are met. Such certificate shall contain an estimate of the anticipated length of the Blackout Period. Upon such notice by the Company, each of the Holders covenants that it shall, subject to Applicable Law, keep the fact of any such notice strictly confidential and promptly halt any offer, sale, trading, or other Transfer by it or any of its Affiliates of any Registrable Securities for the duration of the Blackout Period set forth in such notice (or until such Blackout Period shall be earlier terminated in writing by the Company) and promptly halt any use, publication, dissemination, or distribution of the Shelf Registration Statement, each prospectus included therein, and any amendment or supplement thereto by it and any of its Affiliates for the duration of the Blackout Period set forth in such notice (or until such Blackout Period shall be earlier terminated in writing by the Company).</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expiration of any Blackout Period and without any further request from a Holder of Registrable Securities, the Company, to the extent necessary, shall as promptly as reasonably practicable prepare a post-effective amendment or supplement to the Shelf Registration Statement or the prospectus, or any document incorporated therein by reference, and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that a Shelf Registration Statement is effective, if any Holder delivers a notice to the Company (a “</w:t>
      </w:r>
      <w:r>
        <w:rPr>
          <w:rFonts w:ascii="Times New Roman;Times;Serif" w:hAnsi="Times New Roman;Times;Serif"/>
          <w:b w:val="false"/>
          <w:i w:val="false"/>
          <w:caps w:val="false"/>
          <w:smallCaps w:val="false"/>
          <w:sz w:val="20"/>
          <w:u w:val="single"/>
        </w:rPr>
        <w:t>Take-Down Notice</w:t>
      </w:r>
      <w:r>
        <w:rPr>
          <w:rFonts w:ascii="Times New Roman;Times;Serif" w:hAnsi="Times New Roman;Times;Serif"/>
          <w:b w:val="false"/>
          <w:i w:val="false"/>
          <w:caps w:val="false"/>
          <w:smallCaps w:val="false"/>
          <w:sz w:val="20"/>
        </w:rPr>
        <w:t>”) stating that it intends to sell all or part of its Registrable Securities included on the Shelf Registration Statement (a “</w:t>
      </w:r>
      <w:r>
        <w:rPr>
          <w:rFonts w:ascii="Times New Roman;Times;Serif" w:hAnsi="Times New Roman;Times;Serif"/>
          <w:b w:val="false"/>
          <w:i w:val="false"/>
          <w:caps w:val="false"/>
          <w:smallCaps w:val="false"/>
          <w:sz w:val="20"/>
          <w:u w:val="single"/>
        </w:rPr>
        <w:t>Shelf Offering</w:t>
      </w:r>
      <w:r>
        <w:rPr>
          <w:rFonts w:ascii="Times New Roman;Times;Serif" w:hAnsi="Times New Roman;Times;Serif"/>
          <w:b w:val="false"/>
          <w:i w:val="false"/>
          <w:caps w:val="false"/>
          <w:smallCaps w:val="false"/>
          <w:sz w:val="20"/>
        </w:rPr>
        <w:t>”), then the Company shall amend or supplement the Shelf Registration Statement as may be necessary in order to enable such Registrable Securities to be distributed in accordance with the Shelf Offering. Notwithstanding any other provision of this Agreement, no other holders of securities of the Company shall be entitled to receive any notice of or have its securities included in any such Shelf Offering, including any block sale off of the Shelf Registration Statement. A Holder may deliver a Take-Down Notice in respect of a Shelf Offering no more than four times in any calendar year.</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time that a Shelf Offering involves a marketed underwritten Shelf Offering, the Company shall select the investment banker(s) and manager(s) that will serve as managing underwriters (including which such managing underwriters will serve as lead or co-lead) and underwriters with respect to such Shelf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investment banker(s) and manager(s) shall be reasonably acceptable to the applicable Holder.</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Piggyback Registrations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hereof, whenever the Company proposes to register any Common Stock under the Securities Act in an Underwritten Offering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whether for its own account or for the account of others, the Company shall give all Holders prompt written notice thereof (but not less than ten (10) Business Days prior to the filing by the Company with the Commission of any registration statement with respect thereto). Such notice (a “</w:t>
      </w:r>
      <w:r>
        <w:rPr>
          <w:rFonts w:ascii="Times New Roman;Times;Serif" w:hAnsi="Times New Roman;Times;Serif"/>
          <w:b w:val="false"/>
          <w:i w:val="false"/>
          <w:caps w:val="false"/>
          <w:smallCaps w:val="false"/>
          <w:sz w:val="20"/>
          <w:u w:val="single"/>
        </w:rPr>
        <w:t>Piggyback Notice</w:t>
      </w:r>
      <w:r>
        <w:rPr>
          <w:rFonts w:ascii="Times New Roman;Times;Serif" w:hAnsi="Times New Roman;Times;Serif"/>
          <w:b w:val="false"/>
          <w:i w:val="false"/>
          <w:caps w:val="false"/>
          <w:smallCaps w:val="false"/>
          <w:sz w:val="20"/>
        </w:rPr>
        <w:t xml:space="preserve">”) shall specify the number of shares of Common Stock (or other securities, as applicable) proposed to be registered, the proposed date of filing of such registration statement with the Commission, the proposed means of distribution, the proposed managing underwriter(s), and a good faith estimate by the Company of the proposed minimum offering price of such shares of Common Stock (or other securities, as applicable), in each case to the extent then known. Subject to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the Company shall include in each such Piggyback Registration all Registrable Securities held by Holders (each, a “</w:t>
      </w:r>
      <w:r>
        <w:rPr>
          <w:rFonts w:ascii="Times New Roman;Times;Serif" w:hAnsi="Times New Roman;Times;Serif"/>
          <w:b w:val="false"/>
          <w:i w:val="false"/>
          <w:caps w:val="false"/>
          <w:smallCaps w:val="false"/>
          <w:sz w:val="20"/>
          <w:u w:val="single"/>
        </w:rPr>
        <w:t>Piggyback Seller</w:t>
      </w:r>
      <w:r>
        <w:rPr>
          <w:rFonts w:ascii="Times New Roman;Times;Serif" w:hAnsi="Times New Roman;Times;Serif"/>
          <w:b w:val="false"/>
          <w:i w:val="false"/>
          <w:caps w:val="false"/>
          <w:smallCaps w:val="false"/>
          <w:sz w:val="20"/>
        </w:rPr>
        <w:t>”) with respect to which the Company has received written requests (which written requests shall specify the number of Registrable Securities requested to be disposed of by such Piggyback Seller) for inclusion therein within ten days after such Piggyback Notice is received by such Piggyback Seller.</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Piggyback Registration, if the lead managing underwriter(s) advise(s) the Company that, in its opinion, the inclusion of all the securities sought to be included in such Piggyback Registration by (w) the Company, (x) other Persons who have sought to have shares of Common Stock registered in such Piggyback Registration pursuant to rights to demand (and not “piggyback” or other incidental or participation registration rights) (such Persons being “</w:t>
      </w:r>
      <w:r>
        <w:rPr>
          <w:rFonts w:ascii="Times New Roman;Times;Serif" w:hAnsi="Times New Roman;Times;Serif"/>
          <w:b w:val="false"/>
          <w:i w:val="false"/>
          <w:caps w:val="false"/>
          <w:smallCaps w:val="false"/>
          <w:sz w:val="20"/>
          <w:u w:val="single"/>
        </w:rPr>
        <w:t>Other Demanding Sellers</w:t>
      </w:r>
      <w:r>
        <w:rPr>
          <w:rFonts w:ascii="Times New Roman;Times;Serif" w:hAnsi="Times New Roman;Times;Serif"/>
          <w:b w:val="false"/>
          <w:i w:val="false"/>
          <w:caps w:val="false"/>
          <w:smallCaps w:val="false"/>
          <w:sz w:val="20"/>
        </w:rPr>
        <w:t>”), (y) the Piggyback Sellers, and (z) any other proposed sellers of shares of Common Stock (such Persons being “</w:t>
      </w:r>
      <w:r>
        <w:rPr>
          <w:rFonts w:ascii="Times New Roman;Times;Serif" w:hAnsi="Times New Roman;Times;Serif"/>
          <w:b w:val="false"/>
          <w:i w:val="false"/>
          <w:caps w:val="false"/>
          <w:smallCaps w:val="false"/>
          <w:sz w:val="20"/>
          <w:u w:val="single"/>
        </w:rPr>
        <w:t>Other Proposed Sellers</w:t>
      </w:r>
      <w:r>
        <w:rPr>
          <w:rFonts w:ascii="Times New Roman;Times;Serif" w:hAnsi="Times New Roman;Times;Serif"/>
          <w:b w:val="false"/>
          <w:i w:val="false"/>
          <w:caps w:val="false"/>
          <w:smallCaps w:val="false"/>
          <w:sz w:val="20"/>
        </w:rPr>
        <w:t>”), as the case may be, would materially and adversely affect the success thereof, then the Company shall include in the registration statement applicable to such Piggyback Registration only such securities as the Company is so advised by such lead managing underwriter(s) can be sold without such an effect, as follows and in the following order of priority:</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Piggyback Registration relates to an offering for the Company’s own account, then (A) first, such number of shares of Common Stock (or other securities, as applicable) to be sold by the Company as the Company, in its reasonable judgment, shall have determined, (B) second, Registrable Securities of Piggyback Sellers, pro rata on the basis of the number of Registrable Securities proposed to be sold by such Piggyback Sellers, and (C) third, shares of Common Stock proposed to be sold by any Other Proposed Sellers; or</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Piggyback Registration relates to an offering other than for the Company’s own account, then (A) first, such number of shares of Common Stock (or other securities, as applicable) sought to be registered by each Other Demanding Seller pro rata in proportion to the number of securities sought to be registered by all such Other Demanding Sellers, (B) second, Registrable Securities of Piggyback Sellers, pro rata on the basis of the number of Registrable Securities proposed to be sold by such Piggyback Sellers, (C) third, shares of Common Stock to be sold by the Company, and (D) fourth, other shares of Common Stock proposed to be sold by any Other Proposed Sellers.</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any Underwritten Offering under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for the Company’s account, the Company shall not be required to include the Registrable Securities of a Piggyback Seller in the Underwritten Offering unless such Piggyback Seller accepts the terms of the underwriting as agreed upon between the Company and the lead managing underwriter(s), which shall be selected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Piggyback Seller shall be required to make any representations or warranties to, or agreements with, the Company or the underwriters other than representations, warranties or agreements in customary form regarding such Piggyback Seller’s ownership of and title to the Registrable Securities and its intended method of distribution; and any liability of such Piggyback Seller to any underwriter or other Person under such underwriting agreement shall be limited to liability arising from breach of its representations and warranties and shall be limited to an amount equal to the net proceeds (after deducting any underwriting discount or commission) that it derives from sales in connection with such registration.</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after giving written notice of its intention to register any shares of Common Stock (or other securities, as applicable) as set forth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prior to the time the registration statement filed in connection with such Piggyback Registration is declared effective, the Company shall determine for any reason not to register such shares of Common Stock (or other securities, as applicable), the Company may, at its election, give written notice of such determination to the Piggyback Sellers within five (5) Business Days thereof and thereupon shall be relieved of its obligation to register any Registrable Securities in connection with such particular withdrawn or abandoned Piggyback Registration.</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having notified the Company to include any or all of its Registrable Securities in a Piggyback Registration shall have the right to withdraw any such notice with respect to any or all of the Registrable Securities designated by it for registration by giving written notice to such effect to the Company prior to the effective date of such registration statement. In the event of any such withdrawal, the Company shall not include such Registrable Securities in the applicable registration. No such withdrawal shall affect the obligations of the Company with respect to the Registrable Securities not so withdrawn.</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Holdback Agreements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19" w:right="362"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participating in an Underwritten Offering in accordance with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enter into a customary agreement restricting the sale or distribution of Equity Securities of the Company to the extent required by the lead managing underwriter(s) with respect to such Underwritten Offering for the period commencing on the date of the request (which shall be no earlier than 14 days prior to the expected pricing of such Underwritten Offering) and continuing until not more than 90 days after the date of the final prospectus or final prospectus supplement used to sell Registrable Securities. The Company shall not include securities of any other holder in such an Underwritten Offering unless such other holder enters into a customary agreement on terms no less restrictive to such other holder as the terms of any similar agreement entered into by the Holders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19" w:right="362"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Shelf Offering involves an Underwritten Offering, the Company will not effect any sale or distribution of shares of Common Stock (or securities convertible into or exchangeable or exercisable for shares of Common Stock) (other than in connection with a Form S-4 or Form S-8) for its own account within 90 days (plus an extension period as may be proposed by the lead managing underwriter(s) for such Underwritten Offering to address FINRA regulations regarding the publication of research) after the date of the final prospectus or final prospectus supplement used to sell Registrable Securities in such Shelf Offering.</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and whenever the Company is required to use commercially reasonable efforts to effect the registration of any Registrable Securities as provided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the Company shall as expeditiously as reasonably practicable:</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prepare and file with the Commission a registration statement to effect such registration in accordance with the intended method or methods of distribution of such securities and thereafter use commercially reasonable efforts to cause such registration statement to become and remain effective (in the case of the Shelf Registration Statement, in accordance with the terms of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before filing such registration statement or any amendments thereto, the Company will furnish to the Holders, their counsel, and the lead managing underwriter(s), if any, copies of all such documents proposed to be filed, which documents will be subject to the review and reasonable comment of such counsel (and which revisions the Company shall make absent a reasonable basis for objection (and shall provide Holders prompt notice of any such objection, the basis therefor and a reasonable opportunity to consider and discuss such objection with the Company)), and other documents reasonably requested by such counsel, including any comment letter from the Commission. The Company shall not file any such registration statement or prospectus or any amendments or supplements thereto to which the Holders, their counsel, or the lead managing underwriter(s), if any, shall reasonably object, in writing, on a timely basis;</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Shelf Registration Statement, prepare and file with the Commission such amendments and supplements to such Shelf Registration Statement and the prospectus used in connection therewith as may be necessary to keep such Shelf Registration Statement effective, and, in the case of any registration statement, comply in all material respects with the provisions of the Securities Act and all applicable rules and regulations of the Commission, and make generally available to its security holders, as soon as reasonably practicable after the effective date of the registration statement (and in any event within 90 days after the end of the 12-month period described hereafter), an earnings statement, which need not be audited, covering a period of at least 12 consecutive months beginning with the first day of the Company’s first calendar quarter after the effective date of the registration statement, which earnings statement shall satisfy the provisions of Section 11(a) of the Securities Act and Rule 158 thereunder;</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457200" cy="175260"/>
                <wp:effectExtent l="0" t="0" r="0" b="0"/>
                <wp:wrapSquare wrapText="right"/>
                <wp:docPr id="185" name="Frame1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requested by the lead managing underwriter(s), if any, or the Holders, promptly include in a prospectus supplement or post-effective amendment such information as the lead managing underwriter(s), if any, and such Holders may reasonably request in order to permit the intended method of distribution of such securities and make all required filings of such prospectus supplement or such post-effective amendment as soon as reasonably practicable after the Company has received such request;</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457200" cy="175260"/>
                <wp:effectExtent l="0" t="0" r="0" b="0"/>
                <wp:wrapSquare wrapText="right"/>
                <wp:docPr id="186" name="Frame1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without charge, to the Holders and each underwriter, if any, such number of conformed copies of such registration statement and of each amendment and supplement thereto, such number of copies of the prospectus contained in such registration statement (including each preliminary prospectus and any summary prospectus) and each free writing prospectus (as defined in Rule 405 of the Securities Act) (a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utilized in connection therewith and any other prospectus filed under Rule 424 under the Securities Act, in conformity with the requirements of the Securities Act, and such other documents as such Holders and underwriter, if any, may reasonably request in order to facilitate the public sale or other disposition of the Registrable Securities;</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457200" cy="175260"/>
                <wp:effectExtent l="0" t="0" r="0" b="0"/>
                <wp:wrapSquare wrapText="right"/>
                <wp:docPr id="187" name="Frame1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commercially reasonable efforts to (I) register or qualify such Registrable Securities covered by such registration statement under such other securities laws or “blue sky” laws of such jurisdictions as the Holders and any underwriter shall reasonably request and (II) take any other action which may be necessary or reasonably advisable to enable such Holders and underwriters to consummate the disposition of the Registrable Securities in such jurisdictions, except that the Company shall not for any such purpose be required to (A) qualify generally to do business as a foreign corporation in any jurisdiction wherein it would not but for the requirements of this clause (v) be obligated to be so qualified, (B) subject itself to taxation in any such jurisdiction, or (C) file a general consent to service of process in any such jurisdiction;</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457200" cy="175260"/>
                <wp:effectExtent l="0" t="0" r="0" b="0"/>
                <wp:wrapSquare wrapText="right"/>
                <wp:docPr id="188" name="Frame1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commercially reasonable efforts to cause such Registrable Securities to be listed on each securities exchange on which shares of Common Stock are then listed;</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457200" cy="175260"/>
                <wp:effectExtent l="0" t="0" r="0" b="0"/>
                <wp:wrapSquare wrapText="right"/>
                <wp:docPr id="189" name="Frame1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commercially reasonable efforts to provide and cause to be maintained a transfer agent and registrar for all Registrable Securities covered by such registration statement from and after a date not later than the effective date of such registration statement;</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457200" cy="175260"/>
                <wp:effectExtent l="0" t="0" r="0" b="0"/>
                <wp:wrapSquare wrapText="right"/>
                <wp:docPr id="190" name="Frame1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enter into such agreements (including an underwriting agreement) in form, scope, and substance as is customary in underwritten offerings of shares of Common Stock by the Company and use its commercially reasonable efforts to take all such other actions reasonably requested by the Holders (including those reasonably requested by the lead managing underwriter(s), if any) to expedite or facilitate the disposition of such Registrable Securities, it being understood that the Holders shall be parties to any such agreement and may, at their option, require that the Company make to, and for the benefit of, such Holders the representations, warranties and covenants of the Company which are being made to and for the benefit of the underwriters. If any underwriting agreement has been entered into, the same shall contain customary indemnification provisions and procedures with respect to all parties to be indemnified in accordance with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457200" cy="175260"/>
                <wp:effectExtent l="0" t="0" r="0" b="0"/>
                <wp:wrapSquare wrapText="right"/>
                <wp:docPr id="191" name="Frame1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Underwritten Offering, use commercially reasonable efforts to obtain for the underwriter(s) opinions of counsel for the Company and “comfort” letters and updates thereof signed by the Company’s independent public accountants (and, if necessary, any other independent certified public accountants or independent auditors of any subsidiary of the Company or any business acquired by the Company for which financial statements and financial data are, or are required to be, included in the applicable registration statement), in each case covering such matters as are customarily covered by such opinions and “comfort” letters in connection with underwritten public offerings, which opinion and letters shall be reasonably satisfactory to the underwriter(s);</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457200" cy="175260"/>
                <wp:effectExtent l="0" t="0" r="0" b="0"/>
                <wp:wrapSquare wrapText="right"/>
                <wp:docPr id="192" name="Frame1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available for inspection by the Holders any underwriter participating in any disposition under any registration statement and any attorney, accountant, or other agent or Representative retained in connection with such offering by such Holders or underwriter (collectively, the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financial and other records, pertinent corporate documents and properties of the Company (collectively, the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as shall be reasonably necessary, or as shall otherwise be reasonably requested, to enable them to exercise their due diligence responsibility, and the Company shall cause the officers, directors, and employees of the Company and its subsidiaries to supply all information in each case reasonably requested by any such Representative, underwriter, attorney, agent, or accountant in connection with such registration statement;</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75260"/>
                <wp:effectExtent l="0" t="0" r="0" b="0"/>
                <wp:wrapSquare wrapText="right"/>
                <wp:docPr id="193" name="Frame1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notify in writing the Holders and the underwriters, if any, of the following events: (A) the filing of the registration statement, any amendment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(B) any request by the Commission or any other Governmental Entity for amendments or supplements to the registration statement or the prospectus or for additional information; (C) the issuance by the Commission of any stop order suspending the effectiveness of the registration statement or the initiation of any proceedings by any Person for that purpose; (D) the receipt by the Company of any notification with respect to the suspension of the qualification of any Registrable Securities for sale under the securities or “blue sky” laws of any jurisdiction or the initiation or threat of any proceeding for such purpose; (E) if at any time the representations and warranties of the Company contained in any underwriting or other agreement cease to be true and correct in any material respect; and (F) if for any reason it shall be necessary to amend or supplement such registration statement or prospectus in order to comply with the Securities Act, or upon the happening of any event that makes any statement made in such registration statement, related prospectus, or any document incorporated or deemed to be incorporated therein by reference untrue in any material respect or that requires the making of any changes so that it will not contain any untrue statement of a material fact or omit to state any material fact necessary to make the statements therein (in the case of any prospectus, in light of the circumstances under which they were made) not misleading, and the Company shall promptly prepare and file with the Commission, and furnish without charge to each Holder a reasonable number of copies of a supplement to or an amendment of such registration statement or prospectus which shall correct such misstatement or omission or effect such compliance;</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75260"/>
                <wp:effectExtent l="0" t="0" r="0" b="0"/>
                <wp:wrapSquare wrapText="right"/>
                <wp:docPr id="194" name="Frame1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commercially reasonable efforts to prevent or obtain the withdrawal of any stop order or other order suspending the effectiveness of such registration statement, or suspending the use of any prospectus or prevent or obtain the lifting of any suspension of the qualification (or exemption from qualification) of any of the Registrable Securities for sale in any jurisdiction at the earliest reasonable practicable date;</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75260"/>
                <wp:effectExtent l="0" t="0" r="0" b="0"/>
                <wp:wrapSquare wrapText="right"/>
                <wp:docPr id="195" name="Frame1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cooperate with the Holders and the lead managing underwriter(s) to facilitate the timely preparation and delivery of certificates or book entries (which shall not bear any restrictive legends unless required under Applicable Law) representing securities sold under any registration statement and enable such securities to be in such denominations and registered in such names as the lead managing underwriter(s) or such Holders may request;</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75260"/>
                <wp:effectExtent l="0" t="0" r="0" b="0"/>
                <wp:wrapSquare wrapText="right"/>
                <wp:docPr id="196" name="Frame1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cooperate with the Holders and each underwriter or agent participating in the disposition of such Registrable Securities and their respective counsel in connection with any filings required to be made with FINRA;</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572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(xiv)</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appropriate executive officers of the Company prepare and make presentations at customary “road show” meetings analyst meetings and other information meetings reasonably organized by the underwriters and otherwise use its commercially reasonable efforts to cooperate as reasonably requested by the Holders and the underwriters in the offering, marketing, or selling of the Registrable Securities;</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4572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no direct or indirect action prohibited by Regulation M under the Exchange Act; and</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all other actions reasonably requested by the Holders or the lead managing underwriter(s) to effect the intent of this Agreement.</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each Holder and each underwriter, if any, to furnish the Company in writing such information regarding each Holder or underwriter and the distribution of such Registrable Securities as the Company may from time to time reasonably request in writing to complete or amend the information required by such registration statement.</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4572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agrees that upon receipt of any notice from the Company of the happening of any event of the kind described in clauses (B), (C), (D), (E), and (F) of </w:t>
      </w:r>
      <w:r>
        <w:rPr>
          <w:rFonts w:ascii="Times New Roman;Times;Serif" w:hAnsi="Times New Roman;Times;Serif"/>
          <w:b w:val="false"/>
          <w:i w:val="false"/>
          <w:caps w:val="false"/>
          <w:smallCaps w:val="false"/>
          <w:sz w:val="20"/>
          <w:u w:val="single"/>
        </w:rPr>
        <w:t>Section 6.4(a)(xi)</w:t>
      </w:r>
      <w:r>
        <w:rPr>
          <w:rFonts w:ascii="Times New Roman;Times;Serif" w:hAnsi="Times New Roman;Times;Serif"/>
          <w:b w:val="false"/>
          <w:i w:val="false"/>
          <w:caps w:val="false"/>
          <w:smallCaps w:val="false"/>
          <w:sz w:val="20"/>
        </w:rPr>
        <w:t xml:space="preserve">, such Holder shall forthwith discontinue such Holder’s disposition of Registrable Securities in accordance with the applicable registration statement and prospectus relating thereto until such Holder’s receipt of the copies of the supplemented or amended prospectus contemplated by </w:t>
      </w:r>
      <w:r>
        <w:rPr>
          <w:rFonts w:ascii="Times New Roman;Times;Serif" w:hAnsi="Times New Roman;Times;Serif"/>
          <w:b w:val="false"/>
          <w:i w:val="false"/>
          <w:caps w:val="false"/>
          <w:smallCaps w:val="false"/>
          <w:sz w:val="20"/>
          <w:u w:val="single"/>
        </w:rPr>
        <w:t>Section 6.4(a)(xi)</w:t>
      </w:r>
      <w:r>
        <w:rPr>
          <w:rFonts w:ascii="Times New Roman;Times;Serif" w:hAnsi="Times New Roman;Times;Serif"/>
          <w:b w:val="false"/>
          <w:i w:val="false"/>
          <w:caps w:val="false"/>
          <w:smallCaps w:val="false"/>
          <w:sz w:val="20"/>
        </w:rPr>
        <w:t xml:space="preserve"> or until it is advised in writing by the Company that the use of the applicable prospectus may be resumed.</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4572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All fees and expenses incident to the Company’s performance of its obligations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including (a) all registration and filing fees, including all fees and expenses of compliance with securities and “blue sky” laws (including the reasonable and documented fees and disbursements of counsel for the underwriters in connection with “blue sky” qualifications of the Registrable Securities) and all fees and expenses associated with filings required to be made with FINRA (including, if applicable, the fees and expenses of any “qualified independent underwriter” as such term is defined in FINRA Rule 5121), (b) all printing (including expenses of printing certificates for the Registrable Securities in a form eligible for deposit with the Depository Trust Company and of printing prospectuses if the printing of prospectuses is requested by the Holders) and copying expenses, (c) all messenger, telephone, and delivery expenses, (d) all fees and expenses of the Company’s independent certified public accountants and counsel (including with respect to “comfort” letters and opinions), (e) expenses of the Company incurred in connection with any “road show,” other than any expense paid or payable by the underwriters, and (f) reasonable and documented fees and disbursements of one counsel for all Holders whose Registrable Securities are included in a registration statement, which counsel shall be selected by Amazon, shall be borne solely by the Company whether or not any registration statement is filed or becomes effective. In connection with the Company’s performance of its obligations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the Company will pay its internal expenses (including all salaries and expenses of its officers and employees performing legal or accounting duties and the expense of any annual audit) and the expenses and fees for listing the securities to be registered on the primary securities exchange or over-the-counter market on which similar securities issued by the Company are then listed or traded. Each Holder shall pay its portion of all underwriting discounts and commissions and transfer taxes, if any, relating to the sale of such Holder’s Registrable Securities in accordance with any registration.</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6.5</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572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6.6</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less than five (5) Business Days before the expected filing date of each registration statement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this Agreement, the Company shall notify each Holder who has timely provided the requisite notice hereunder entitling such holder to register Registrable Securities in such registration statement of the information, documents, and instruments from such Holder that the Company or any underwriter reasonably requests in connection with such registration statement with copies thereof (the “</w:t>
      </w:r>
      <w:r>
        <w:rPr>
          <w:rFonts w:ascii="Times New Roman;Times;Serif" w:hAnsi="Times New Roman;Times;Serif"/>
          <w:b w:val="false"/>
          <w:i w:val="false"/>
          <w:caps w:val="false"/>
          <w:smallCaps w:val="false"/>
          <w:sz w:val="20"/>
          <w:u w:val="single"/>
        </w:rPr>
        <w:t>Requested Information</w:t>
      </w:r>
      <w:r>
        <w:rPr>
          <w:rFonts w:ascii="Times New Roman;Times;Serif" w:hAnsi="Times New Roman;Times;Serif"/>
          <w:b w:val="false"/>
          <w:i w:val="false"/>
          <w:caps w:val="false"/>
          <w:smallCaps w:val="false"/>
          <w:sz w:val="20"/>
        </w:rPr>
        <w:t>”). If the Company has not received, on or before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before the expected filing date, the Requested Information from such Holder, the Company may file the registration statement without including Registrable Securities of such Holder.</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572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grant to any Person any demand, piggyback, or shelf registration rights the terms of which are senior to or conflict with the rights granted to the Holders hereunder without the prior written consent of Amazon. If Amazon provide such consent, Amazon and the Company shall amend this Agreement to grant the Holders any such senior registration rights.</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4572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Indemnification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4572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6.7</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agrees, without limitation as to time, to indemnify and hold harmless, to the fullest extent permitted by law, each Holder and its Affiliates and their respective officers, directors, members, shareholders, employees, managers, and partners, each Person who controls (within the meaning of Section 15 of the Securities Act and Section 20 of the Exchange Act) such Holder or such other indemnified Person and the officers, directors, members, shareholders, employees, managers, and partners of each such controlling Person, each underwriter, if any, and each Person who controls (within the meaning of Section 15 of the Securities Act and Section 20 of the Exchange Act) such underwriter from and against all Losses, as incurred, arising out of, caused by, resulting from, or relating to any untrue statement (or alleged untrue statement) of a material fact contained in any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will reimburse each such indemnified Person for any reasonable legal and other expenses incurred in connection with investigating and defending or settling any such claim, Loss, damage, liability, or action, except insofar as the same are caused by any information furnished in writing to the Company by any such indemnified Person expressly for use therein.</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whose Registrable Securities are included in the securities as to which any registration under this Article VI is being effected, without limitation as to time, shall, severally and not jointly, indemnify the Company, its directors, officers, and employees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w:t>
      </w:r>
      <w:r>
        <w:rPr>
          <w:rFonts w:ascii="Times New Roman;Times;Serif" w:hAnsi="Times New Roman;Times;Serif"/>
          <w:b w:val="false"/>
          <w:i w:val="false"/>
          <w:caps w:val="false"/>
          <w:smallCaps w:val="false"/>
          <w:sz w:val="20"/>
          <w:u w:val="single"/>
        </w:rPr>
        <w:t>Section 6.7(b)</w:t>
      </w:r>
      <w:r>
        <w:rPr>
          <w:rFonts w:ascii="Times New Roman;Times;Serif" w:hAnsi="Times New Roman;Times;Serif"/>
          <w:b w:val="false"/>
          <w:i w:val="false"/>
          <w:caps w:val="false"/>
          <w:smallCaps w:val="false"/>
          <w:sz w:val="20"/>
        </w:rPr>
        <w:t xml:space="preserve">) will reimburse such indemnified Persons for any reasonable legal and other expenses incurred in connection with investigating and defending or settling any such claim, Loss, damage, liability, or action, in each case solely to the extent, and only to the extent, that such untrue statement or omission is made in such registration statement, prospectus, or preliminary prospectus or Free Writing Prospectus or any amendment or supplement thereto in reliance upon and in conformity with information furnished in writing to the Company by such Holder expressly for use therein. Notwithstanding the foregoing, no Holder shall be liable under this </w:t>
      </w:r>
      <w:r>
        <w:rPr>
          <w:rFonts w:ascii="Times New Roman;Times;Serif" w:hAnsi="Times New Roman;Times;Serif"/>
          <w:b w:val="false"/>
          <w:i w:val="false"/>
          <w:caps w:val="false"/>
          <w:smallCaps w:val="false"/>
          <w:sz w:val="20"/>
          <w:u w:val="single"/>
        </w:rPr>
        <w:t>Section 6.7(b)</w:t>
      </w:r>
      <w:r>
        <w:rPr>
          <w:rFonts w:ascii="Times New Roman;Times;Serif" w:hAnsi="Times New Roman;Times;Serif"/>
          <w:b w:val="false"/>
          <w:i w:val="false"/>
          <w:caps w:val="false"/>
          <w:smallCaps w:val="false"/>
          <w:sz w:val="20"/>
        </w:rPr>
        <w:t xml:space="preserve"> for amounts in excess of the net proceeds (after deducting any underwriting discount or commission) received by such Holder from its sale of Registrable Securities in connection with the offering that gave rise to such liability.</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4572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entitled to indemnification hereunder shall give prompt written notice to the indemnifying party of any claim with respect to which it seeks indemnification;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failure to give such notice shall not release the indemnifying party from its obligation, except to the extent that the indemnifying party has been actually and materially prejudiced by such failure to provide such notice on a timely basis.</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4572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any case in which any such action is brought against any indemnified party, and it notifies an indemnifying party of the commencement thereof, the indemnifying party will be entitled to participate therein and, to the extent that it may wish, to assume the defense thereof, with counsel reasonably satisfactory to such indemnified party, and after notice from the indemnifying party to such indemnified party of its election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reasonably objects to such assumption on the grounds that (A) there may be defenses available to it which are different from or in addition to the defenses available to such indemnifying party or (B) such action involves, or is reasonably likely to have an effect on, matters that are beyond the scope of matters that are subject to indemnification in accordance with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or (ii) the indemnifying party shall have failed within a reasonable period of time to assume such defense and the indemnified party is or would reasonably be expected to be materially prejudiced by such delay, and in either event the indemnified party shall be promptly reimbursed by the indemnifying party for the expenses incurred in connection with retaining one separate legal counsel).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(x) includes as an unconditional term 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 (z) is settled solely for cash for which the indemnified party would be entitled to indemnification hereunder.</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right"/>
                <wp:docPr id="211" name="Frame2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provided for under this Agreement shall be in addition to any other rights to indemnification or contribution which any indemnified party may have by law or contract, shall remain in full force and effect regardless of any investigation made by or on behalf of any indemnified party and shall survive the Transfer of the Registrable Securities and the termination of this Agreement.</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457200" cy="175260"/>
                <wp:effectExtent l="0" t="0" r="0" b="0"/>
                <wp:wrapSquare wrapText="right"/>
                <wp:docPr id="212" name="Frame2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the Persons’ relative knowledge and access to information concerning the matter with respect to which the claim was asserted, the opportunity to correct and prevent any statement or omission, and other equitable considerations appropriate under the circumstances. If, however, the allocation provided above is not permitted by Applicable Law, then each indemnifying party shall contribute to the amount paid or payable by such indemnified party in such proportion as is appropriate to reflect not only such relative faults but also the relative benefits of the indemnifying party and the indemnified party as well as any other relevant equitable considerations. It is hereby agreed that it would not necessarily be equitable if the amount of such contribution were determined by pro rata or per capita allocation. No Person guilty of fraudulent misrepresentation (within the meaning of Section 11(f) of the Securities Act) shall be entitled to contribution from any Person who was not found guilty of such fraudulent misrepresentation. Notwithstanding the foregoing, no Holder shall be required to make a contribution in excess of the net proceeds (after deducting any underwriting discount or commission) received by such Holder from its sale of Registrable Securities in connection with the offering that gave rise to the contribution obligation.</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457200" cy="175260"/>
                <wp:effectExtent l="0" t="0" r="0" b="0"/>
                <wp:wrapSquare wrapText="right"/>
                <wp:docPr id="213" name="Frame2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xml:space="preserve">. No Holder shall use any Free Writing Prospectus in connection with the sale of Registrable Securities pursuant to this Article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without the prior written consent of the Company (which consent shall not be unreasonably withheld, conditioned, or delayed). Notwithstanding the foregoing, a Holder may use any Free Writing Prospectus prepared and distributed by the Company.</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457200" cy="175260"/>
                <wp:effectExtent l="0" t="0" r="0" b="0"/>
                <wp:wrapSquare wrapText="right"/>
                <wp:docPr id="214" name="Frame2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6.8</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Registration Rights</w:t>
      </w:r>
      <w:r>
        <w:rPr>
          <w:rFonts w:ascii="Times New Roman;Times;Serif" w:hAnsi="Times New Roman;Times;Serif"/>
          <w:b w:val="false"/>
          <w:i w:val="false"/>
          <w:caps w:val="false"/>
          <w:smallCaps w:val="false"/>
          <w:sz w:val="20"/>
        </w:rPr>
        <w:t xml:space="preserve">. The rights granted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terminate, as to any Holder, on the date on which all Registrable Securities held by such Holder have been disposed, including all shares issued or issuable upon exercise of the Warrant.</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457200" cy="175260"/>
                <wp:effectExtent l="0" t="0" r="0" b="0"/>
                <wp:wrapSquare wrapText="right"/>
                <wp:docPr id="215" name="Frame2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6.9</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VII</w:t>
      </w:r>
      <w:r>
        <w:rPr>
          <w:rFonts w:ascii="Times New Roman;Times;Serif" w:hAnsi="Times New Roman;Times;Serif"/>
          <w:b/>
          <w:i w:val="false"/>
          <w:caps w:val="false"/>
          <w:smallCaps w:val="false"/>
          <w:sz w:val="20"/>
        </w:rPr>
        <w:br/>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when used in this Agreement have the following meanings:</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457200" cy="175260"/>
                <wp:effectExtent l="0" t="0" r="0" b="0"/>
                <wp:wrapSquare wrapText="right"/>
                <wp:docPr id="216" name="Frame2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means any proposal, offer, inquiry, indication of interest, or expression of intent (whether binding or non-binding), whether communicated to the Company, the Board, or publicly announced to the Company’s stockholders or otherwise by any Person or Group relating to an Acquisition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Transaction</w:t>
      </w:r>
      <w:r>
        <w:rPr>
          <w:rFonts w:ascii="Times New Roman;Times;Serif" w:hAnsi="Times New Roman;Times;Serif"/>
          <w:b w:val="false"/>
          <w:i w:val="false"/>
          <w:caps w:val="false"/>
          <w:smallCaps w:val="false"/>
          <w:sz w:val="20"/>
        </w:rPr>
        <w:t xml:space="preserve">” means (a) any transaction or series of related transactions as a result of which any Person or Group (excluding Amazon or any of its subsidiaries) acquires Beneficial Ownership, whether directly or indirectly, of more than [***]% of the outstanding Equity Securities (measured by either voting power or economic interests) of the Company, (b) any transaction or series of related transactions in which the stockholders of the Company immediately prior to such transaction or series of related transactions cease to Beneficially Own, directly or indirectly, at least [***]% of the outstanding Equity Securities (measured by either voting power or economic interests) of the Company or in the surviving or resulting entity of such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(b) shall not apply if: (i) such transaction or series of related transactions is an acquisition by the Company effected, in whole or in part, through the issuance of Equity Securities of the Company and (ii) such acquisition does not result in any Person or Group that Beneficially Owns, directly or indirectly, a greater percentage of the outstanding Equity Securities (measured by either voting power or economic interests) of the Company than Warrantholder or its Affiliates, (c) any Business Combination, as a result of which at least [***]% ownership of the Company is transferred to another Person or Group (excluding Amazon or any of its subsidiaries), (d) individuals who constitute the Continuing Directors, taken together, ceasing for any reason to constitute at least a majority of the Board, (e) any sale, lease, exchange, transfer, license, or disposition of a business, deposits, or assets that constitute [***]% or more of the consolidated assets, business, net sales, net income, assets, or deposits of the Company, or (f) any transaction or series of related transactions as a result of which the Common Stock is no longer traded on an internationally recognized trading market or the Public Float of the Company constitutes less than [***]% of the outstanding shares of Common Stock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(for all purposes hereunder, including any entities or individuals) that directly or indirectly, through one or more intermediaries, controls, is controlled by, or is under common control with such first Person. It is expressly agreed that, for purposes of this definition, none of the Company or any of its subsidiaries is an Affiliate of Amazon or any of its subsidiaries (and vice versa).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Exercise Price</w:t>
      </w:r>
      <w:r>
        <w:rPr>
          <w:rFonts w:ascii="Times New Roman;Times;Serif" w:hAnsi="Times New Roman;Times;Serif"/>
          <w:b w:val="false"/>
          <w:i w:val="false"/>
          <w:caps w:val="false"/>
          <w:smallCaps w:val="false"/>
          <w:sz w:val="20"/>
        </w:rPr>
        <w:t>” means the Exercise Price (as such term is defined in the Warrant) multiplied by the aggregate of all Warrant Shares, which may, at the date of this Agreement, be issued to Amazon and/or any of its Affiliates upon exercise of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Amazon</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Amazon Observer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Anti-Takeover Provisions</w:t>
      </w:r>
      <w:r>
        <w:rPr>
          <w:rFonts w:ascii="Times New Roman;Times;Serif" w:hAnsi="Times New Roman;Times;Serif"/>
          <w:b w:val="false"/>
          <w:i w:val="false"/>
          <w:caps w:val="false"/>
          <w:smallCaps w:val="false"/>
          <w:sz w:val="20"/>
        </w:rPr>
        <w:t>” means the provisions of any potentially applicable anti-takeover, control share, fair price, moratorium, interested shareholder, or similar Applicable Law (including, without limitation, Section 203 of the Delaware General Corporation Law) and any potentially applicable provision of the Company’s Organizational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means the HSR Act, the Sherman Act, as amended, the Clayton Act, as amended, the Federal Trade Commission Act, as amended, and any other federal, state, local, domestic, foreign, or supranational laws that are designed to prohibit, restrict, or regulate actions having the purpose or effect of monopolization or restraint of trade or that provide for review of merger control or foreign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with respect to any Person, any federal, national, state, local, municipal, international, multinational, or SRO or Governmental Entity statute, law, ordinance, secondary and subordinate legislation, directives, rule (including rules of common law and rules of stock exchanges), regulation, ordinance, treaty, Order, permit, authorization, or other requirement applicable to such Person, its assets, properties, operations, or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and Equity Exceptions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Beneficially Owned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xml:space="preserve">”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otherwise specified herein, such calculations shall be made inclusive of all Warrant Shares subject to issuance under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Blackout Period</w:t>
      </w:r>
      <w:r>
        <w:rPr>
          <w:rFonts w:ascii="Times New Roman;Times;Serif" w:hAnsi="Times New Roman;Times;Serif"/>
          <w:b w:val="false"/>
          <w:i w:val="false"/>
          <w:caps w:val="false"/>
          <w:smallCaps w:val="false"/>
          <w:sz w:val="20"/>
        </w:rPr>
        <w:t xml:space="preserve">” means, in the event that the Company determines in good faith that a registration of securities would require disclosure of information that has not been, and is not otherwise required to be, disclosed to the public, the premature disclosure of which would adversely affect the Company in any material respect, a period which is the shorter of the ending of the condition creating a Blackout Period and 90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Blackout Period may not occur more than once in any period of 12 consecutive months, unless the Company in good faith determines it possesses material non-public information solely with respect to the ordinary course closing of a fiscal quarter.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Burdensome 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means a merger, consolidation, statutory share exchange, reorganization, recapitalization, or similar extraordinary transaction (which may include a reclassification) involving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any other day on which commercial banks are authorized or required by Applicable Law to be closed in the State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 as amended,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Commercial Arrangements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2.2(d)(ii)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Negative Covenant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Negotiation Covenant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4.6(b)(i).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means all information (irrespective of the form of communication and irrespective of whether obtained prior to or after the date hereof) obtained by or on behalf of Amazon or its Representatives from the Company, its subsidiaries, or their respective Representatives, through the Beneficial Ownership of Equity Securities or through the rights granted pursuant hereto, other than information which (i) was or becomes generally available to the public other than as a result of a breach of this Agreement by Amazon, its subsidiaries, or their respective Representatives, (ii) was or becomes available to Amazon, its subsidiaries, or their respective Representatives from a source other than the Company, its subsidiaries, or their respective Representatives,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source thereof is not known by Amazon or such of its subsidiaries or their respective Representatives to be bound by an obligation of confidentiality, or (iii) is independently developed by Amazon, its subsidiaries, or their respective Representatives without the use of any such information that would otherwise be Confidential Information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the Mutual Nondisclosure Agreement, dated October 14, 2024, by and between Amazon and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Directors</w:t>
      </w:r>
      <w:r>
        <w:rPr>
          <w:rFonts w:ascii="Times New Roman;Times;Serif" w:hAnsi="Times New Roman;Times;Serif"/>
          <w:b w:val="false"/>
          <w:i w:val="false"/>
          <w:caps w:val="false"/>
          <w:smallCaps w:val="false"/>
          <w:sz w:val="20"/>
        </w:rPr>
        <w:t>” means the directors of the Company on the date hereof and each other director, if, in each case, such other director’s nomination for election to the Board is either recommended by more than 50% of the directors of the Company as of the date of such other director’s nomination for election to the Board or by more than 50% of the members of the Governance and Nominating Committee of the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securities, by contract or otherwise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has the meaning set forth in the definition of Equity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has the meaning set forth in the definition of Equity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Transferee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Delivery Covenants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Persons</w:t>
      </w:r>
      <w:r>
        <w:rPr>
          <w:rFonts w:ascii="Times New Roman;Times;Serif" w:hAnsi="Times New Roman;Times;Serif"/>
          <w:b w:val="false"/>
          <w:i w:val="false"/>
          <w:caps w:val="false"/>
          <w:smallCaps w:val="false"/>
          <w:sz w:val="20"/>
        </w:rPr>
        <w:t xml:space="preserve">” means the Persons set forth on </w:t>
      </w:r>
      <w:r>
        <w:rPr>
          <w:rFonts w:ascii="Times New Roman;Times;Serif" w:hAnsi="Times New Roman;Times;Serif"/>
          <w:b w:val="false"/>
          <w:i w:val="false"/>
          <w:caps w:val="false"/>
          <w:smallCaps w:val="false"/>
          <w:sz w:val="20"/>
          <w:u w:val="single"/>
        </w:rPr>
        <w:t>Schedule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Disclosable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Agency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means the Commission’s Electronic Data Gathering, Analysis and Retrieval system or any successor system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any and all (i) shares, interests, participations, or other equivalents (however designated) of capital stock or other voting securities of a corporation and any and all equivalent or analogous ownership (or profit) or voting interests in a Person (other than a corporation), (ii) securities convertible into or exchangeable for shares, interests, participations, or other equivalents (however designated) of capital stock or voting securities of (or other ownership or profit or voting interests in) such Person, (iii) restricted stock units that settle into shares of capital stock, and (iv)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 (clauses (ii) and (iii), collectively “</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and any conversion, exchange, or exercise of any convertible securities, a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has the meaning ascribed to it in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has the meaning ascribed to it in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means the Financial Industry Regulatory Authority, Inc.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S-1</w:t>
      </w:r>
      <w:r>
        <w:rPr>
          <w:rFonts w:ascii="Times New Roman;Times;Serif" w:hAnsi="Times New Roman;Times;Serif"/>
          <w:b w:val="false"/>
          <w:i w:val="false"/>
          <w:caps w:val="false"/>
          <w:smallCaps w:val="false"/>
          <w:sz w:val="20"/>
        </w:rPr>
        <w:t>” means a registration statement on Form S-1 or any successor form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S-3</w:t>
      </w:r>
      <w:r>
        <w:rPr>
          <w:rFonts w:ascii="Times New Roman;Times;Serif" w:hAnsi="Times New Roman;Times;Serif"/>
          <w:b w:val="false"/>
          <w:i w:val="false"/>
          <w:caps w:val="false"/>
          <w:smallCaps w:val="false"/>
          <w:sz w:val="20"/>
        </w:rPr>
        <w:t>” means a registration statement on Form S-3 or any successor form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means a registration statement on Form S-4 or any successor form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S-8</w:t>
      </w:r>
      <w:r>
        <w:rPr>
          <w:rFonts w:ascii="Times New Roman;Times;Serif" w:hAnsi="Times New Roman;Times;Serif"/>
          <w:b w:val="false"/>
          <w:i w:val="false"/>
          <w:caps w:val="false"/>
          <w:smallCaps w:val="false"/>
          <w:sz w:val="20"/>
        </w:rPr>
        <w:t>” means a registration statement on Form S-8 or any successor form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6.4(a)(iv)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fully diluted basis</w:t>
      </w:r>
      <w:r>
        <w:rPr>
          <w:rFonts w:ascii="Times New Roman;Times;Serif" w:hAnsi="Times New Roman;Times;Serif"/>
          <w:b w:val="false"/>
          <w:i w:val="false"/>
          <w:caps w:val="false"/>
          <w:smallCaps w:val="false"/>
          <w:sz w:val="20"/>
        </w:rPr>
        <w:t>” means as of any time of determination, the number of shares of Common Stock which would then be outstanding, assuming the issuance of all shares reserved for issuance under any stock or other incentive plan of the Company and the complete vesting, exercise, exchange, or conversion of all then-outstanding Equity Securities of the Company, including, for the avoidance of doubt, as of the date of this Agreement, the Warrant Shares and the Company’s convertible senior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Provisions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federal, national, state, local, municipal, international or multinational government or political subdivision thereof, governmental department, commission, board, bureau, agency, taxing or regulatory authority, judicial or administrative body, official, tribunal, or other instrumentality of any government, whether federal, state, local, domestic, foreign, or arbitrator or SRO.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has the meaning assigned to such term in Section 13(d)(3)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xml:space="preserve">” have the meaning set forth in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 as amended, or any successor statute,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Announcement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Antitrust Clearance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Antitrust Filings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Filing Transaction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6.4(a)(x)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means all losses, claims, damages, liabilities, costs, expenses (including reasonable expenses of investigation and reasonable attorneys’ fees and expenses), judgments, fines, penalties, charges, and amounts paid in settlement.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Observer Threshold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judgment, ruling, decision, decree, order, settlement, injunction, writ, stipulation, determination, or award issued by any Governmental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any Person that is a corporation, its articles or certificate of incorporation, memorandum and articles of association, as the case may be, and bylaws or comparable documents, (b) with respect to any Person that is a partnership, its certificate of partnership and partnership agreement or comparable documents, (c) with respect to any Person that is a limited liability company, its certificate of formation and limited liability company or operating agreement, or comparable documents, (d) with respect to any Person that is a trust or other entity, its declaration or agreement of trust or other constituent document or comparable documents, and (e) with respect to any other Person that is not an individual, its comparable organizational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Demanding Sellers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Proposed Sellers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company, corporation, partnership, limited liability company, trust, body corporate (wherever located), or other entity, organization, or unincorporated association, including any Governmental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Seller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Trading Market</w:t>
      </w:r>
      <w:r>
        <w:rPr>
          <w:rFonts w:ascii="Times New Roman;Times;Serif" w:hAnsi="Times New Roman;Times;Serif"/>
          <w:b w:val="false"/>
          <w:i w:val="false"/>
          <w:caps w:val="false"/>
          <w:smallCaps w:val="false"/>
          <w:sz w:val="20"/>
        </w:rPr>
        <w:t>” has the meaning ascribed to it in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Transferee</w:t>
      </w:r>
      <w:r>
        <w:rPr>
          <w:rFonts w:ascii="Times New Roman;Times;Serif" w:hAnsi="Times New Roman;Times;Serif"/>
          <w:b w:val="false"/>
          <w:i w:val="false"/>
          <w:caps w:val="false"/>
          <w:smallCaps w:val="false"/>
          <w:sz w:val="20"/>
        </w:rPr>
        <w:t>” means (a) a Designated Person, or (b) a Person that has filed, or is required to file, based upon reasonable inquiry of such Person, a Schedule 13D with the Commission with respect to the Company or (c) a Person that, at the time of any proposed Transfer, is included in the SharkWatch 50 list maintained by Factset.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Float</w:t>
      </w:r>
      <w:r>
        <w:rPr>
          <w:rFonts w:ascii="Times New Roman;Times;Serif" w:hAnsi="Times New Roman;Times;Serif"/>
          <w:b w:val="false"/>
          <w:i w:val="false"/>
          <w:caps w:val="false"/>
          <w:smallCaps w:val="false"/>
          <w:sz w:val="20"/>
        </w:rPr>
        <w:t>” means the number of Equity Securities held by shareholders of the Company other than (a) shareholders who Beneficially Own more than ten percent of all outstanding Common Stock (other than any stockholder that is a passive institutional investor), (b) directors or executive officers of the Company and any members of their immediate family, and (c) Affiliates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Reporting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6.4(a)(x)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any and all (i) Warrant Shares (whether vested or unvested), (ii) other stock or securities that Amazon or its subsidiaries may be entitled to receive, or will have received, in accordance with its ownership of the Warrant or Warrant Shares, in lieu of or in addition to shares of Common Stock, and (iii) Equity Securities issued or issuable directly or indirectly with respect to the securities referred to in the foregoing clause (i) or (ii) by way of conversion or exchange thereof or share dividend or share split or in connection with a combination of shares, recapitalization, reclassification, merger, amalgamation, arrangement, consolidation, or other reorganization. As to any particular securities constituting Registrable Securities, such securities shall cease to be Registrable Securities when they have been sold or transferred. For purposes of this Agreement, a Person shall be deemed to be a Holder of Registrable Securities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Reporting Company</w:t>
      </w:r>
      <w:r>
        <w:rPr>
          <w:rFonts w:ascii="Times New Roman;Times;Serif" w:hAnsi="Times New Roman;Times;Serif"/>
          <w:b w:val="false"/>
          <w:i w:val="false"/>
          <w:caps w:val="false"/>
          <w:smallCaps w:val="false"/>
          <w:sz w:val="20"/>
        </w:rPr>
        <w:t>” means a company that is required to file periodic reports with the Commission under Sections 12, 13, or 15(d)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Reporting Company Filing Dates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with respect to a Person means such Person’s directors, managers, officers, employees, and authorized representatives (including attorneys, accountants, consultants, bankers, and financial advisors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Requested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means the Company’s Annual Report on Form 10-K for the year ended December 31, 2023, and its other reports, statements, and forms (including exhibits and other information incorporated therein) filed with or furnished to the Commission under Sections 13(a), 14(a), or 15(d) of the Exchange Act, in each case after December 31,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or any successor statute,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Offering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SOX</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‎2.2(e)(v)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Defendant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SRO</w:t>
      </w:r>
      <w:r>
        <w:rPr>
          <w:rFonts w:ascii="Times New Roman;Times;Serif" w:hAnsi="Times New Roman;Times;Serif"/>
          <w:b w:val="false"/>
          <w:i w:val="false"/>
          <w:caps w:val="false"/>
          <w:smallCaps w:val="false"/>
          <w:sz w:val="20"/>
        </w:rPr>
        <w:t>” means any (i) “self-regulatory organization” as defined in Section 3(a)(26) of the Exchange Act, (ii) other United States or foreign securities exchange, futures exchange, commodities exchange, or contract market, or (iii) other securities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such Person, any foreign or domestic entity, whether incorporated or unincorporated, of which (i) such Person or any other subsidiary of such Person is a general partner, (ii) at least a majority of the voting power to elect a majority of the directors or others performing similar functions with respect to such other entity is directly or indirectly owned or controlled by such Person or by any one or more of such Person’s subsidiaries, or (iii) at least 50% of the Equity Securities are directly or indirectly owned or controlled by such Person or by any one or more of such Person’s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Take-Down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Advisor</w:t>
      </w:r>
      <w:r>
        <w:rPr>
          <w:rFonts w:ascii="Times New Roman;Times;Serif" w:hAnsi="Times New Roman;Times;Serif"/>
          <w:b w:val="false"/>
          <w:i w:val="false"/>
          <w:caps w:val="false"/>
          <w:smallCaps w:val="false"/>
          <w:sz w:val="20"/>
        </w:rPr>
        <w:t>” means any of PricewaterhouseCoopers LLP, Ernst &amp; Young LLP, KPMG LLP, or Deloitte LLP that is selected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Microsoft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Obligations</w:t>
      </w:r>
      <w:r>
        <w:rPr>
          <w:rFonts w:ascii="Times New Roman;Times;Serif" w:hAnsi="Times New Roman;Times;Serif"/>
          <w:b w:val="false"/>
          <w:i w:val="false"/>
          <w:caps w:val="false"/>
          <w:smallCaps w:val="false"/>
          <w:sz w:val="20"/>
        </w:rPr>
        <w:t>” means contractual obligations set forth in Section 6 “Right of First Refusal” in that Statement of Work No. 1 – Foundry with the Third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Obligation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‎4.6(b)(ii).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Threshold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collectively this Agreement, the Commercial Arrangement, the Warrant, and any other certificate, exhibit, or agreement delivered by or entered into by and among the parties and/or their respective subsidiaries on the date hereof in connection with the transactions contemplated hereby or thereby, in each case, as amended, modified, or supplemented from time to time in accordance with their respective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(i) any direct or indirect offer, sale, lease, assignment, encumbrance, pledge, grant of a security interest, hypothecation, disposition, or other transfer (by operation of law or otherwise), either voluntary or involuntary, or entry into any contract, option, or other arrangement or understanding with respect to any offer, sale, lease, assignment, encumbrance, pledge, hypothecation, disposition, or other transfer (by operation of law or otherwise) of any capital stock or interest in any capital stock, or (ii) in respect of any capital stock or interest in any capital stock, the entry into any swap or any other agreement, transaction or series of transactions that hedges or transfers, in whole or in part, directly or indirectly, the economic consequence of ownership of such capital stock or interest in capital stock, whether any such swap, agreement, transaction or series of transaction is to be settled by delivery of securities, in cash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means a Person to whom a Transfer is made or is proposed to be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means a sale of securities of the Company to an underwriter or underwriters for reoffering to the public.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Vesting Events</w:t>
      </w:r>
      <w:r>
        <w:rPr>
          <w:rFonts w:ascii="Times New Roman;Times;Serif" w:hAnsi="Times New Roman;Times;Serif"/>
          <w:b w:val="false"/>
          <w:i w:val="false"/>
          <w:caps w:val="false"/>
          <w:smallCaps w:val="false"/>
          <w:sz w:val="20"/>
        </w:rPr>
        <w:t>” has the meaning ascribed to it in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Securities</w:t>
      </w:r>
      <w:r>
        <w:rPr>
          <w:rFonts w:ascii="Times New Roman;Times;Serif" w:hAnsi="Times New Roman;Times;Serif"/>
          <w:b w:val="false"/>
          <w:i w:val="false"/>
          <w:caps w:val="false"/>
          <w:smallCaps w:val="false"/>
          <w:sz w:val="20"/>
        </w:rPr>
        <w:t>” means shares of Common Stock of the Company and any other Equity Securities of the Company entitled to vote generally in the election of directors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Issuance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has the meaning ascribed to it in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Warrantholder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VIII</w:t>
      </w:r>
      <w:r>
        <w:rPr>
          <w:rFonts w:ascii="Times New Roman;Times;Serif" w:hAnsi="Times New Roman;Times;Serif"/>
          <w:b/>
          <w:i w:val="false"/>
          <w:caps w:val="false"/>
          <w:smallCaps w:val="false"/>
          <w:sz w:val="20"/>
        </w:rPr>
        <w:b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This Agreement; Other Triggers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457200" cy="175260"/>
                <wp:effectExtent l="0" t="0" r="0" b="0"/>
                <wp:wrapSquare wrapText="right"/>
                <wp:docPr id="217" name="Frame2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457200" cy="175260"/>
                <wp:effectExtent l="0" t="0" r="0" b="0"/>
                <wp:wrapSquare wrapText="right"/>
                <wp:docPr id="218" name="Frame2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prior written consent of each of Amazon and the Company; or</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457200" cy="175260"/>
                <wp:effectExtent l="0" t="0" r="0" b="0"/>
                <wp:wrapSquare wrapText="right"/>
                <wp:docPr id="219" name="Frame2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Amazon if the Initial Antitrust Clearance shall not have been obtained on or prior to the date that is three months after the latest date of the Initial Antitrust Filings.</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457200" cy="175260"/>
                <wp:effectExtent l="0" t="0" r="0" b="0"/>
                <wp:wrapSquare wrapText="right"/>
                <wp:docPr id="220" name="Frame2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termination of this Agreement as provided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(other than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Acquisition for Investment</w:t>
      </w:r>
      <w:r>
        <w:rPr>
          <w:rFonts w:ascii="Times New Roman;Times;Serif" w:hAnsi="Times New Roman;Times;Serif"/>
          <w:b w:val="false"/>
          <w:i w:val="false"/>
          <w:caps w:val="false"/>
          <w:smallCaps w:val="false"/>
          <w:sz w:val="20"/>
        </w:rPr>
        <w:t xml:space="preserve">) (to the extent any Warrant Shares have been issued prior to termination),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Legend</w:t>
      </w:r>
      <w:r>
        <w:rPr>
          <w:rFonts w:ascii="Times New Roman;Times;Serif" w:hAnsi="Times New Roman;Times;Serif"/>
          <w:b w:val="false"/>
          <w:i w:val="false"/>
          <w:caps w:val="false"/>
          <w:smallCaps w:val="false"/>
          <w:sz w:val="20"/>
        </w:rPr>
        <w:t xml:space="preserve">) (to the extent any Warrant Shares have been issued prior to termination),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Registration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xml:space="preserve">) (to the extent relevant for any other surviving Sections or Articles), and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each of which shall survive any termination of this Agreement) shall forthwith become void and there shall be no liability on the part of any party, except that nothing herein shall relieve any party from liability for any breach of this Agreement prior to such termination.</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457200" cy="175260"/>
                <wp:effectExtent l="0" t="0" r="0" b="0"/>
                <wp:wrapSquare wrapText="right"/>
                <wp:docPr id="221" name="Frame2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affecting in any manner any prior exercise of the Warrant, in the event of termination of this Agreement as provided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the unvested portion of the Warrant shall be canceled and terminated and shall forthwith become void and the Company shall have no subsequent obligation to issue, and no holder of a Warrant shall have a subsequent right to acquire, any Warrant Shares under such canceled portion of the Warrant. For the avoidance of doubt, the Warrant shall remain in full force and effect with respect to the vested portion thereof, and nothing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affect the ability of the Warrantholder to exercise such vested portion of the Warrant following termination of this Agreement.</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457200" cy="175260"/>
                <wp:effectExtent l="0" t="0" r="0" b="0"/>
                <wp:wrapSquare wrapText="right"/>
                <wp:docPr id="222" name="Frame2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No amendment of any provision of this Agreement shall be effective unless made in writing and signed by a duly authorized representative of each party.</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457200" cy="175260"/>
                <wp:effectExtent l="0" t="0" r="0" b="0"/>
                <wp:wrapSquare wrapText="right"/>
                <wp:docPr id="223" name="Frame2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 of Conditions</w:t>
      </w:r>
      <w:r>
        <w:rPr>
          <w:rFonts w:ascii="Times New Roman;Times;Serif" w:hAnsi="Times New Roman;Times;Serif"/>
          <w:b w:val="false"/>
          <w:i w:val="false"/>
          <w:caps w:val="false"/>
          <w:smallCaps w:val="false"/>
          <w:sz w:val="20"/>
        </w:rPr>
        <w:t>. The conditions to any party’s obligation to consummate any transaction contemplated herein are for the sole benefit of such party and may be waived by such party in whole or in part to the extent permitted by Applicable Law. No waiver shall be effective unless it is in writing signed by a duly authorized officer of the waiving party that makes express reference to the provision or provisions subject to such waiver.</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457200" cy="175260"/>
                <wp:effectExtent l="0" t="0" r="0" b="0"/>
                <wp:wrapSquare wrapText="right"/>
                <wp:docPr id="224" name="Frame2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separate counterparts, each such counterpart being deemed to be an original instrument, and all such counterparts shall together constitute the same agreement. Executed signature pages to this Agreement may be transmitted electronically by “pdf” file and such pdf files shall be deemed as sufficient as if actual signature pages had been delivered.</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457200" cy="175260"/>
                <wp:effectExtent l="0" t="0" r="0" b="0"/>
                <wp:wrapSquare wrapText="right"/>
                <wp:docPr id="225" name="Frame2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19" w:right="8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Submission to Jurisdiction; WAIVER OF JURY TRIAL</w:t>
      </w:r>
      <w:r>
        <w:rPr>
          <w:rFonts w:ascii="Times New Roman;Times;Serif" w:hAnsi="Times New Roman;Times;Serif"/>
          <w:b w:val="false"/>
          <w:i w:val="false"/>
          <w:caps w:val="false"/>
          <w:smallCaps w:val="false"/>
          <w:sz w:val="20"/>
        </w:rPr>
        <w:t>. This Agreement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 submits to the personal jurisdiction and venue of the Chancery Court of Delaware, or if such court is unavailable, the United States District Court for Delaware (the “</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xml:space="preserve">”), in the event any dispute (whether in contract, tort or otherwise) arises out of this Agreement or the transactions contemplated hereby, (b) agrees that it shall not attempt to deny or defeat such personal jurisdiction by motion or other request for leave from any such court and waives any claim of lack of personal jurisdiction or improper venue and any claims that such courts are an inconvenient forum, and (c) agrees that it shall not bring any claim, action or proceeding relating to this Agreement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Agreement. EACH PARTY HEREBY WAIVES TO THE FULLEST EXTENT PERMITTED BY APPLICABLE LAW ANY RIGHT IT MAY HAVE TO A TRIAL BY JURY IN RESPECT OF ANY CLAIM, ACTION, OR PROCEEDING DIRECTLY OR INDIRECTLY ARISING OUT OF, UNDER, OR IN CONNECTION WITH THIS AGREEMENT OR THE TRANSACTIONS CONTEMPLATED HEREBY.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457200" cy="175260"/>
                <wp:effectExtent l="0" t="0" r="0" b="0"/>
                <wp:wrapSquare wrapText="right"/>
                <wp:docPr id="226" name="Frame2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8.5</w:t>
                      </w:r>
                    </w:p>
                  </w:txbxContent>
                </v:textbox>
                <w10:wrap type="square" side="right"/>
              </v:rect>
            </w:pict>
          </mc:Fallback>
        </mc:AlternateContent>
      </w:r>
    </w:p>
    <w:p>
      <w:pPr>
        <w:pStyle w:val="TextBody"/>
        <w:bidi w:val="0"/>
        <w:spacing w:before="0" w:after="0"/>
        <w:ind w:left="119" w:right="83"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instruction or other document to be given hereunder by any party to the other shall be in writing and shall be deemed to have been duly given if (a) sent by the U.S. Postal Service (registered, return receipt service required), United Parcel Service or FedEx, in each case on an overnight basis, signature receipt required, one (1) Business Day after mailing, or (b) if otherwise personally delivered, when delivered with signature receipt required. No notice, request or instruction may be deemed given through e-mail, and the e-mail addresses provided in this section are simply for courtesy purposes but in no event shall constitute notice under this Agreement. All notices hereunder shall be delivered as set forth below, or in accordance with such other instructions as may be designated in writing by the party to receive such notice.</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457200" cy="175260"/>
                <wp:effectExtent l="0" t="0" r="0" b="0"/>
                <wp:wrapSquare wrapText="right"/>
                <wp:docPr id="227" name="Frame2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8.6</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860"/>
        <w:gridCol w:w="4310"/>
      </w:tblGrid>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If to the Company, to:</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Name:</w:t>
            </w:r>
          </w:p>
        </w:tc>
        <w:tc>
          <w:tcPr>
            <w:tcW w:w="4310" w:type="dxa"/>
            <w:tcBorders/>
            <w:vAlign w:val="center"/>
          </w:tcPr>
          <w:p>
            <w:pPr>
              <w:pStyle w:val="TableContents"/>
              <w:bidi w:val="0"/>
              <w:spacing w:before="0" w:after="283"/>
              <w:jc w:val="left"/>
              <w:rPr/>
            </w:pPr>
            <w:r>
              <w:rPr/>
              <w:t>Applied Optoelectronics, Inc.</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4310" w:type="dxa"/>
            <w:tcBorders/>
            <w:vAlign w:val="center"/>
          </w:tcPr>
          <w:p>
            <w:pPr>
              <w:pStyle w:val="TableContents"/>
              <w:bidi w:val="0"/>
              <w:spacing w:before="0" w:after="283"/>
              <w:jc w:val="left"/>
              <w:rPr/>
            </w:pPr>
            <w:r>
              <w:rPr/>
              <w:t>13139 Jess Pirtle Blvd.</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Sugar Land, Texas 77478</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4310"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Attn:</w:t>
            </w:r>
          </w:p>
        </w:tc>
        <w:tc>
          <w:tcPr>
            <w:tcW w:w="4310" w:type="dxa"/>
            <w:tcBorders/>
            <w:vAlign w:val="center"/>
          </w:tcPr>
          <w:p>
            <w:pPr>
              <w:pStyle w:val="TableContents"/>
              <w:bidi w:val="0"/>
              <w:spacing w:before="0" w:after="283"/>
              <w:jc w:val="left"/>
              <w:rPr/>
            </w:pPr>
            <w:r>
              <w:rPr/>
              <w:t>David C. Kuo, Sr. VP &amp; Chief Legal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54" w:type="dxa"/>
        <w:jc w:val="left"/>
        <w:tblInd w:w="0" w:type="dxa"/>
        <w:tblLayout w:type="fixed"/>
        <w:tblCellMar>
          <w:top w:w="0" w:type="dxa"/>
          <w:left w:w="0" w:type="dxa"/>
          <w:bottom w:w="0" w:type="dxa"/>
          <w:right w:w="0" w:type="dxa"/>
        </w:tblCellMar>
      </w:tblPr>
      <w:tblGrid>
        <w:gridCol w:w="75"/>
        <w:gridCol w:w="1271"/>
        <w:gridCol w:w="4508"/>
      </w:tblGrid>
      <w:tr>
        <w:trPr/>
        <w:tc>
          <w:tcPr>
            <w:tcW w:w="75" w:type="dxa"/>
            <w:tcBorders/>
            <w:vAlign w:val="center"/>
          </w:tcPr>
          <w:p>
            <w:pPr>
              <w:pStyle w:val="TableContents"/>
              <w:bidi w:val="0"/>
              <w:spacing w:before="0" w:after="283"/>
              <w:jc w:val="left"/>
              <w:rPr/>
            </w:pPr>
            <w:r>
              <w:rPr/>
              <w:t> </w:t>
            </w:r>
          </w:p>
        </w:tc>
        <w:tc>
          <w:tcPr>
            <w:tcW w:w="5779" w:type="dxa"/>
            <w:gridSpan w:val="2"/>
            <w:tcBorders/>
            <w:vAlign w:val="center"/>
          </w:tcPr>
          <w:p>
            <w:pPr>
              <w:pStyle w:val="TableContents"/>
              <w:bidi w:val="0"/>
              <w:spacing w:before="0" w:after="283"/>
              <w:jc w:val="left"/>
              <w:rPr/>
            </w:pPr>
            <w:r>
              <w:rPr/>
              <w:t>with a copy to (which copy alone shall not constitute notice):</w:t>
            </w:r>
          </w:p>
        </w:tc>
      </w:tr>
      <w:tr>
        <w:trPr/>
        <w:tc>
          <w:tcPr>
            <w:tcW w:w="75" w:type="dxa"/>
            <w:tcBorders/>
            <w:vAlign w:val="center"/>
          </w:tcPr>
          <w:p>
            <w:pPr>
              <w:pStyle w:val="TableContents"/>
              <w:bidi w:val="0"/>
              <w:spacing w:before="0" w:after="283"/>
              <w:jc w:val="left"/>
              <w:rPr/>
            </w:pPr>
            <w:r>
              <w:rPr/>
              <w:t> </w:t>
            </w:r>
          </w:p>
        </w:tc>
        <w:tc>
          <w:tcPr>
            <w:tcW w:w="57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Name:</w:t>
            </w:r>
          </w:p>
        </w:tc>
        <w:tc>
          <w:tcPr>
            <w:tcW w:w="4508" w:type="dxa"/>
            <w:tcBorders/>
            <w:vAlign w:val="center"/>
          </w:tcPr>
          <w:p>
            <w:pPr>
              <w:pStyle w:val="TableContents"/>
              <w:bidi w:val="0"/>
              <w:spacing w:before="0" w:after="283"/>
              <w:jc w:val="left"/>
              <w:rPr/>
            </w:pPr>
            <w:r>
              <w:rPr/>
              <w:t>Norton Rose Fulbright US LLP</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Address:</w:t>
            </w:r>
          </w:p>
        </w:tc>
        <w:tc>
          <w:tcPr>
            <w:tcW w:w="4508" w:type="dxa"/>
            <w:tcBorders/>
            <w:vAlign w:val="center"/>
          </w:tcPr>
          <w:p>
            <w:pPr>
              <w:pStyle w:val="TableContents"/>
              <w:bidi w:val="0"/>
              <w:spacing w:before="0" w:after="283"/>
              <w:jc w:val="left"/>
              <w:rPr/>
            </w:pPr>
            <w:r>
              <w:rPr/>
              <w:t>1550 Lamar Street, Suite 2000</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 </w:t>
            </w:r>
          </w:p>
        </w:tc>
        <w:tc>
          <w:tcPr>
            <w:tcW w:w="4508" w:type="dxa"/>
            <w:tcBorders/>
            <w:vAlign w:val="center"/>
          </w:tcPr>
          <w:p>
            <w:pPr>
              <w:pStyle w:val="TableContents"/>
              <w:bidi w:val="0"/>
              <w:spacing w:before="0" w:after="283"/>
              <w:jc w:val="left"/>
              <w:rPr/>
            </w:pPr>
            <w:r>
              <w:rPr/>
              <w:t>Houston, Texas 77010</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Email:</w:t>
            </w:r>
          </w:p>
        </w:tc>
        <w:tc>
          <w:tcPr>
            <w:tcW w:w="4508"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Attn:</w:t>
            </w:r>
          </w:p>
        </w:tc>
        <w:tc>
          <w:tcPr>
            <w:tcW w:w="4508" w:type="dxa"/>
            <w:tcBorders/>
            <w:vAlign w:val="center"/>
          </w:tcPr>
          <w:p>
            <w:pPr>
              <w:pStyle w:val="TableContents"/>
              <w:bidi w:val="0"/>
              <w:spacing w:before="0" w:after="283"/>
              <w:jc w:val="left"/>
              <w:rPr/>
            </w:pPr>
            <w:r>
              <w:rPr/>
              <w:t>Amelia Zhang</w:t>
            </w:r>
          </w:p>
        </w:tc>
      </w:tr>
      <w:tr>
        <w:trPr/>
        <w:tc>
          <w:tcPr>
            <w:tcW w:w="75"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left"/>
              <w:rPr/>
            </w:pPr>
            <w:r>
              <w:rPr/>
              <w:t> </w:t>
            </w:r>
          </w:p>
        </w:tc>
        <w:tc>
          <w:tcPr>
            <w:tcW w:w="4508" w:type="dxa"/>
            <w:tcBorders/>
            <w:vAlign w:val="center"/>
          </w:tcPr>
          <w:p>
            <w:pPr>
              <w:pStyle w:val="TableContents"/>
              <w:bidi w:val="0"/>
              <w:spacing w:before="0" w:after="283"/>
              <w:jc w:val="left"/>
              <w:rPr/>
            </w:pPr>
            <w:r>
              <w:rPr/>
              <w:t>Charles D. Powell</w:t>
            </w:r>
          </w:p>
        </w:tc>
      </w:tr>
    </w:tbl>
    <w:p>
      <w:pPr>
        <w:pStyle w:val="TextBody"/>
        <w:bidi w:val="0"/>
        <w:spacing w:before="0" w:after="283"/>
        <w:jc w:val="left"/>
        <w:rPr/>
      </w:pPr>
      <w:r>
        <w:rPr/>
        <w:t> </w:t>
      </w:r>
    </w:p>
    <w:tbl>
      <w:tblPr>
        <w:tblW w:w="5215" w:type="dxa"/>
        <w:jc w:val="left"/>
        <w:tblInd w:w="0" w:type="dxa"/>
        <w:tblLayout w:type="fixed"/>
        <w:tblCellMar>
          <w:top w:w="0" w:type="dxa"/>
          <w:left w:w="0" w:type="dxa"/>
          <w:bottom w:w="0" w:type="dxa"/>
          <w:right w:w="0" w:type="dxa"/>
        </w:tblCellMar>
      </w:tblPr>
      <w:tblGrid>
        <w:gridCol w:w="75"/>
        <w:gridCol w:w="860"/>
        <w:gridCol w:w="428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pPr>
            <w:r>
              <w:rPr/>
              <w:t>and</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pPr>
            <w:r>
              <w:rPr/>
              <w:t>If to Amazon, to:</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Name:</w:t>
            </w:r>
          </w:p>
        </w:tc>
        <w:tc>
          <w:tcPr>
            <w:tcW w:w="4280" w:type="dxa"/>
            <w:tcBorders/>
            <w:vAlign w:val="center"/>
          </w:tcPr>
          <w:p>
            <w:pPr>
              <w:pStyle w:val="TableContents"/>
              <w:bidi w:val="0"/>
              <w:spacing w:before="0" w:after="283"/>
              <w:jc w:val="left"/>
              <w:rPr/>
            </w:pPr>
            <w:r>
              <w:rPr/>
              <w:t>Amazon.com NV Investment Holdings LLC</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c/o Amazon.com, Inc.</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4280" w:type="dxa"/>
            <w:tcBorders/>
            <w:vAlign w:val="center"/>
          </w:tcPr>
          <w:p>
            <w:pPr>
              <w:pStyle w:val="TableContents"/>
              <w:bidi w:val="0"/>
              <w:spacing w:before="0" w:after="283"/>
              <w:jc w:val="left"/>
              <w:rPr/>
            </w:pPr>
            <w:r>
              <w:rPr/>
              <w:t>410 Terry Avenue North</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Seattle, Washington 98109-5210</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Attn:</w:t>
            </w:r>
          </w:p>
        </w:tc>
        <w:tc>
          <w:tcPr>
            <w:tcW w:w="4280" w:type="dxa"/>
            <w:tcBorders/>
            <w:vAlign w:val="center"/>
          </w:tcPr>
          <w:p>
            <w:pPr>
              <w:pStyle w:val="TableContents"/>
              <w:bidi w:val="0"/>
              <w:spacing w:before="0" w:after="283"/>
              <w:jc w:val="left"/>
              <w:rPr/>
            </w:pPr>
            <w:r>
              <w:rPr/>
              <w:t>General Counsel</w:t>
            </w:r>
          </w:p>
        </w:tc>
      </w:tr>
    </w:tbl>
    <w:p>
      <w:pPr>
        <w:pStyle w:val="TextBody"/>
        <w:bidi w:val="0"/>
        <w:spacing w:before="0" w:after="283"/>
        <w:jc w:val="left"/>
        <w:rPr/>
      </w:pPr>
      <w:r>
        <w:rPr/>
        <w:t> </w:t>
      </w:r>
    </w:p>
    <w:tbl>
      <w:tblPr>
        <w:tblW w:w="5854" w:type="dxa"/>
        <w:jc w:val="left"/>
        <w:tblInd w:w="0" w:type="dxa"/>
        <w:tblLayout w:type="fixed"/>
        <w:tblCellMar>
          <w:top w:w="0" w:type="dxa"/>
          <w:left w:w="0" w:type="dxa"/>
          <w:bottom w:w="0" w:type="dxa"/>
          <w:right w:w="0" w:type="dxa"/>
        </w:tblCellMar>
      </w:tblPr>
      <w:tblGrid>
        <w:gridCol w:w="75"/>
        <w:gridCol w:w="1286"/>
        <w:gridCol w:w="4493"/>
      </w:tblGrid>
      <w:tr>
        <w:trPr/>
        <w:tc>
          <w:tcPr>
            <w:tcW w:w="75" w:type="dxa"/>
            <w:tcBorders/>
            <w:vAlign w:val="center"/>
          </w:tcPr>
          <w:p>
            <w:pPr>
              <w:pStyle w:val="TableContents"/>
              <w:bidi w:val="0"/>
              <w:spacing w:before="0" w:after="283"/>
              <w:jc w:val="left"/>
              <w:rPr/>
            </w:pPr>
            <w:r>
              <w:rPr/>
              <w:t> </w:t>
            </w:r>
          </w:p>
        </w:tc>
        <w:tc>
          <w:tcPr>
            <w:tcW w:w="5779" w:type="dxa"/>
            <w:gridSpan w:val="2"/>
            <w:tcBorders/>
            <w:vAlign w:val="center"/>
          </w:tcPr>
          <w:p>
            <w:pPr>
              <w:pStyle w:val="TableContents"/>
              <w:bidi w:val="0"/>
              <w:spacing w:before="0" w:after="283"/>
              <w:jc w:val="left"/>
              <w:rPr/>
            </w:pPr>
            <w:r>
              <w:rPr/>
              <w:t>with a copy to (which copy alone shall not constitute notice):</w:t>
            </w:r>
          </w:p>
        </w:tc>
      </w:tr>
      <w:tr>
        <w:trPr/>
        <w:tc>
          <w:tcPr>
            <w:tcW w:w="75" w:type="dxa"/>
            <w:tcBorders/>
            <w:vAlign w:val="center"/>
          </w:tcPr>
          <w:p>
            <w:pPr>
              <w:pStyle w:val="TableContents"/>
              <w:bidi w:val="0"/>
              <w:spacing w:before="0" w:after="283"/>
              <w:jc w:val="left"/>
              <w:rPr/>
            </w:pPr>
            <w:r>
              <w:rPr/>
              <w:t> </w:t>
            </w:r>
          </w:p>
        </w:tc>
        <w:tc>
          <w:tcPr>
            <w:tcW w:w="57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Name:</w:t>
            </w:r>
          </w:p>
        </w:tc>
        <w:tc>
          <w:tcPr>
            <w:tcW w:w="4493" w:type="dxa"/>
            <w:tcBorders/>
            <w:vAlign w:val="center"/>
          </w:tcPr>
          <w:p>
            <w:pPr>
              <w:pStyle w:val="TableContents"/>
              <w:bidi w:val="0"/>
              <w:spacing w:before="0" w:after="283"/>
              <w:jc w:val="left"/>
              <w:rPr/>
            </w:pPr>
            <w:r>
              <w:rPr/>
              <w:t>Gibson, Dunn &amp; Crutcher LLP</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Address:</w:t>
            </w:r>
          </w:p>
        </w:tc>
        <w:tc>
          <w:tcPr>
            <w:tcW w:w="4493" w:type="dxa"/>
            <w:tcBorders/>
            <w:vAlign w:val="center"/>
          </w:tcPr>
          <w:p>
            <w:pPr>
              <w:pStyle w:val="TableContents"/>
              <w:bidi w:val="0"/>
              <w:spacing w:before="0" w:after="283"/>
              <w:jc w:val="left"/>
              <w:rPr/>
            </w:pPr>
            <w:r>
              <w:rPr/>
              <w:t>310 University Avenue</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4493" w:type="dxa"/>
            <w:tcBorders/>
            <w:vAlign w:val="center"/>
          </w:tcPr>
          <w:p>
            <w:pPr>
              <w:pStyle w:val="TableContents"/>
              <w:bidi w:val="0"/>
              <w:spacing w:before="0" w:after="283"/>
              <w:jc w:val="left"/>
              <w:rPr/>
            </w:pPr>
            <w:r>
              <w:rPr/>
              <w:t>Palo Alto, California 94301</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Email:</w:t>
            </w:r>
          </w:p>
        </w:tc>
        <w:tc>
          <w:tcPr>
            <w:tcW w:w="4493" w:type="dxa"/>
            <w:tcBorders/>
            <w:vAlign w:val="center"/>
          </w:tcPr>
          <w:p>
            <w:pPr>
              <w:pStyle w:val="TableContents"/>
              <w:bidi w:val="0"/>
              <w:spacing w:before="0" w:after="283"/>
              <w:jc w:val="left"/>
              <w:rPr/>
            </w:pPr>
            <w:r>
              <w:rPr/>
              <w:t>ebatts@gibsondunn.com</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4493" w:type="dxa"/>
            <w:tcBorders/>
            <w:vAlign w:val="center"/>
          </w:tcPr>
          <w:p>
            <w:pPr>
              <w:pStyle w:val="TableContents"/>
              <w:bidi w:val="0"/>
              <w:spacing w:before="0" w:after="283"/>
              <w:jc w:val="left"/>
              <w:rPr/>
            </w:pPr>
            <w:r>
              <w:rPr/>
              <w:t>ctrester@gibsondunn.com</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Attn:</w:t>
            </w:r>
          </w:p>
        </w:tc>
        <w:tc>
          <w:tcPr>
            <w:tcW w:w="4493" w:type="dxa"/>
            <w:tcBorders/>
            <w:vAlign w:val="center"/>
          </w:tcPr>
          <w:p>
            <w:pPr>
              <w:pStyle w:val="TableContents"/>
              <w:bidi w:val="0"/>
              <w:spacing w:before="0" w:after="283"/>
              <w:jc w:val="left"/>
              <w:rPr/>
            </w:pPr>
            <w:r>
              <w:rPr/>
              <w:t>Ed Batts, Esq.</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4493" w:type="dxa"/>
            <w:tcBorders/>
            <w:vAlign w:val="center"/>
          </w:tcPr>
          <w:p>
            <w:pPr>
              <w:pStyle w:val="TableContents"/>
              <w:bidi w:val="0"/>
              <w:spacing w:before="0" w:after="283"/>
              <w:jc w:val="left"/>
              <w:rPr/>
            </w:pPr>
            <w:r>
              <w:rPr/>
              <w:t>Chris Trester, Esq.</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 Etc.</w:t>
      </w:r>
      <w:r>
        <w:rPr>
          <w:rFonts w:ascii="Times New Roman;Times;Serif" w:hAnsi="Times New Roman;Times;Serif"/>
          <w:b w:val="false"/>
          <w:i w:val="false"/>
          <w:caps w:val="false"/>
          <w:smallCaps w:val="false"/>
          <w:sz w:val="20"/>
        </w:rPr>
        <w:t xml:space="preserve"> This Agreement (including the Schedules, Exhibits, and Annexes hereto), the other Transaction Documents, and the Confidentiality Agreement constitute the entire agreement and supersede all other prior agreements, understandings, representations, and warranties, both written and oral, between the parties, with respect to the subject matter hereof. No party shall take, or cause to be taken, including by entering into agreements or other arrangements with provisions or obligations that conflict, or purport to conflict, with the terms of the Transaction Documents or any of the transactions contemplated thereby, any action with either an intent or effect of impairing any such other Person’s rights under any of the Transaction Documents.</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457200" cy="175260"/>
                <wp:effectExtent l="0" t="0" r="0" b="0"/>
                <wp:wrapSquare wrapText="right"/>
                <wp:docPr id="228" name="Frame2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8.7</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19" w:right="337"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this Agreement nor any right, remedy, obligation, or liability arising hereunder or by reason hereof shall be assignable by any party without the prior written consent of the other party, and any attempt to assign any right, remedy, obligation, or liability hereunder without such consent shall be void, except that Amazon may transfer or assign, in whole or from time to time in part, to one or more of its direct or indirect wholly owned subsidiaries, its rights and/or obligations under this Agreement, but any such transfer or assignment shall not relieve Amazon of its obligations hereunder. Subject to the preceding sentence, this Agreement shall be binding upon, inure to the benefit of, and be enforceable by the parties and their respective successors and assigns.</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457200" cy="175260"/>
                <wp:effectExtent l="0" t="0" r="0" b="0"/>
                <wp:wrapSquare wrapText="right"/>
                <wp:docPr id="229" name="Frame2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8.8</w:t>
                      </w:r>
                    </w:p>
                  </w:txbxContent>
                </v:textbox>
                <w10:wrap type="square" side="right"/>
              </v:rect>
            </w:pict>
          </mc:Fallback>
        </mc:AlternateContent>
      </w:r>
    </w:p>
    <w:p>
      <w:pPr>
        <w:pStyle w:val="TextBody"/>
        <w:bidi w:val="0"/>
        <w:spacing w:before="0" w:after="0"/>
        <w:ind w:left="119" w:right="337" w:firstLine="720"/>
        <w:jc w:val="left"/>
        <w:rPr>
          <w:caps w:val="false"/>
          <w:smallCaps w:val="false"/>
        </w:rPr>
      </w:pPr>
      <w:r>
        <w:rPr>
          <w:caps w:val="false"/>
          <w:smallCaps w:val="false"/>
        </w:rPr>
        <w:t> </w:t>
      </w:r>
    </w:p>
    <w:p>
      <w:pPr>
        <w:pStyle w:val="TextBody"/>
        <w:bidi w:val="0"/>
        <w:spacing w:before="0" w:after="0"/>
        <w:ind w:left="119" w:right="337" w:firstLine="720"/>
        <w:jc w:val="left"/>
        <w:rPr>
          <w:caps w:val="false"/>
          <w:smallCaps w:val="false"/>
        </w:rPr>
      </w:pPr>
      <w:r>
        <w:rPr>
          <w:caps w:val="false"/>
          <w:smallCaps w:val="false"/>
        </w:rPr>
        <w:t> </w:t>
      </w:r>
    </w:p>
    <w:p>
      <w:pPr>
        <w:pStyle w:val="TextBody"/>
        <w:bidi w:val="0"/>
        <w:spacing w:before="0" w:after="0"/>
        <w:ind w:left="119" w:right="337"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9" w:right="337"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a Transaction Document,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shall remain in full force and effect and shall in no way be affected, impaired, or invalidated thereby, so long as the economic or legal substance of the transactions contemplated hereby or thereby is not affected in any manner materially adverse to any party. Upon such determination, the parties shall negotiate in good faith in an effort to agree upon a suitable and equitable substitute provision to effect the original intent of the parties.</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457200" cy="175260"/>
                <wp:effectExtent l="0" t="0" r="0" b="0"/>
                <wp:wrapSquare wrapText="right"/>
                <wp:docPr id="230" name="Frame2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8.9</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Nothing contained in this Agreement, expressed or implied, is intended to confer upon any Person other than the parties and their respective successors and permitted assigns any benefits, rights, or remedies.</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457200" cy="175260"/>
                <wp:effectExtent l="0" t="0" r="0" b="0"/>
                <wp:wrapSquare wrapText="right"/>
                <wp:docPr id="231" name="Frame2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8.10</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agree that failure of any party to perform its agreements and covenants hereunder, including a party’s failure to take all actions as are necessary on such party’s part in accordance with the terms and conditions of this Agreement to consummate the transactions contemplated hereby,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hereunder, this being in addition to any other remedies to which the parties are entitled at law or equity.</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457200" cy="175260"/>
                <wp:effectExtent l="0" t="0" r="0" b="0"/>
                <wp:wrapSquare wrapText="right"/>
                <wp:docPr id="232" name="Frame2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8.11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rights and remedies provided in this Agreement are cumulative and are not exclusive of, and are in addition to and not in substitution for, any other rights or remedies available at law, in equity or otherwise.</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457200" cy="175260"/>
                <wp:effectExtent l="0" t="0" r="0" b="0"/>
                <wp:wrapSquare wrapText="right"/>
                <wp:docPr id="233" name="Frame2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8.12</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Notwithstanding anything to the contrary contained in this Agreement: (i) the maximum amount of Losses which may be recovered from Amazon and its Affiliates arising out of or relating to this Agreement shall be limited to an amount equal to the Aggregate Exercise Price and (ii) any Losses which may be recovered from Amazon and its Affiliates arising out of or relating to this Agreement shall not include consequential, indirect, punitive, or special damages.</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457200" cy="175260"/>
                <wp:effectExtent l="0" t="0" r="0" b="0"/>
                <wp:wrapSquare wrapText="right"/>
                <wp:docPr id="234" name="Frame2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8.13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xml:space="preserve">. Unless otherwise specified in this Agreement or the context otherwise requires: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457200" cy="175260"/>
                <wp:effectExtent l="0" t="0" r="0" b="0"/>
                <wp:wrapSquare wrapText="right"/>
                <wp:docPr id="235" name="Frame2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8.14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reference is made in this Agreement to “Sections” or “Annexes” such reference shall be to a Section of, or Annex to, this Agreement unless otherwise indicated;</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457200" cy="175260"/>
                <wp:effectExtent l="0" t="0" r="0" b="0"/>
                <wp:wrapSquare wrapText="right"/>
                <wp:docPr id="236" name="Frame2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“parties” refer to the parties to this Agreement;</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457200" cy="175260"/>
                <wp:effectExtent l="0" t="0" r="0" b="0"/>
                <wp:wrapSquare wrapText="right"/>
                <wp:docPr id="237" name="Frame2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contained in this Agreement are for reference purposes only and are not part of this Agreement;</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457200" cy="175260"/>
                <wp:effectExtent l="0" t="0" r="0" b="0"/>
                <wp:wrapSquare wrapText="right"/>
                <wp:docPr id="238" name="Frame2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 wholly owned subsidiary of a Person shall mean such subsidiary is directly or indirectly wholly owned by such Person;</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457200" cy="175260"/>
                <wp:effectExtent l="0" t="0" r="0" b="0"/>
                <wp:wrapSquare wrapText="right"/>
                <wp:docPr id="239" name="Frame2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the singular have a comparable meaning when used in the plural and vice versa;</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457200" cy="175260"/>
                <wp:effectExtent l="0" t="0" r="0" b="0"/>
                <wp:wrapSquare wrapText="right"/>
                <wp:docPr id="240" name="Frame2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term is defined as one part of speech (such as a noun), it shall have a corresponding meaning when used as another part of speech (such as a verb);</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457200" cy="175260"/>
                <wp:effectExtent l="0" t="0" r="0" b="0"/>
                <wp:wrapSquare wrapText="right"/>
                <wp:docPr id="241" name="Frame2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the singular shall have a comparable meaning when used in the plural and vice versa;</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457200" cy="175260"/>
                <wp:effectExtent l="0" t="0" r="0" b="0"/>
                <wp:wrapSquare wrapText="right"/>
                <wp:docPr id="242" name="Frame2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importing the masculine gender shall include the feminine and neutral genders and vice versa;</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457200" cy="175260"/>
                <wp:effectExtent l="0" t="0" r="0" b="0"/>
                <wp:wrapSquare wrapText="right"/>
                <wp:docPr id="243" name="Frame2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“hereto,” “herein,” “hereby,” “hereof,” “hereunder,” and the like refer to this Agreement as a whole and not to any particular section or provision, unless the context requires otherwise;</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457200" cy="175260"/>
                <wp:effectExtent l="0" t="0" r="0" b="0"/>
                <wp:wrapSquare wrapText="right"/>
                <wp:docPr id="244" name="Frame2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 “extent” in the phrase “to the extent” shall mean the degree to which a subject or other thing extends and such phrase shall not mean simply “if;”</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457200" cy="175260"/>
                <wp:effectExtent l="0" t="0" r="0" b="0"/>
                <wp:wrapSquare wrapText="right"/>
                <wp:docPr id="245" name="Frame2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words “include,” “includes,” or “including” are used in this Agreement, they shall be deemed followed by the words “without limitation;”</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457200" cy="175260"/>
                <wp:effectExtent l="0" t="0" r="0" b="0"/>
                <wp:wrapSquare wrapText="right"/>
                <wp:docPr id="246" name="Frame2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known as the ejusdem generis rule shall not apply, and accordingly, general words introduced by the word “other” shall not be given a restrictive meaning by reason of the fact that they are preceded by words indicating a particular class of acts, matters or things;</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457200" cy="175260"/>
                <wp:effectExtent l="0" t="0" r="0" b="0"/>
                <wp:wrapSquare wrapText="right"/>
                <wp:docPr id="247" name="Frame2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rule of construction against the draftsperson shall be applied in connection with the interpretation or enforcement of this Agreement. The parties have jointly negotiated and drafted this Agreement and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457200" cy="175260"/>
                <wp:effectExtent l="0" t="0" r="0" b="0"/>
                <wp:wrapSquare wrapText="right"/>
                <wp:docPr id="248" name="Frame2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forms of agreements attached to this Agreement as exhibits shall be subject only to such ministerial additions, deletions and modifications as necessary to complete any missing terms contemplated by the form to be completed by the parties or to correct any scrivener’s errors in the form;</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457200" cy="175260"/>
                <wp:effectExtent l="0" t="0" r="0" b="0"/>
                <wp:wrapSquare wrapText="right"/>
                <wp:docPr id="249" name="Frame2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“dollars” and the symbol “$” mean U.S. Dollars and all amounts in this Agreement shall be paid in U.S. Dollars, and if any amounts, costs, fees or expenses incurred by any party under this Agreement are denominated in a currency other than U.S. Dollars, to the extent applicable, the U.S. Dollar equivalent for such costs, fees and expenses shall be determined by converting such other currency to U.S. Dollars at the foreign exchange rates published in the Wall Street Journal or, if not reported thereby, another authoritative source reasonably determined by Amazon, in effect at the time such amount, cost, fee or expense is incurred, and if the resulting conversion yields a number that extends beyond two decimal points, rounded to the nearest penny;</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457200" cy="175260"/>
                <wp:effectExtent l="0" t="0" r="0" b="0"/>
                <wp:wrapSquare wrapText="right"/>
                <wp:docPr id="250" name="Frame2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457200" cy="175260"/>
                <wp:effectExtent l="0" t="0" r="0" b="0"/>
                <wp:wrapSquare wrapText="right"/>
                <wp:docPr id="251" name="Frame2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period of time within which, or following which, any action is to be taken under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references to a number of days shall refer to calendar days unless Business Days are specified; and</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75260"/>
                <wp:effectExtent l="0" t="0" r="0" b="0"/>
                <wp:wrapSquare wrapText="right"/>
                <wp:docPr id="252" name="Frame2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Warrant and Warrant Shares, such term shall include any shares of Common Stock or other Equity Securities of the Company received by Warrantholder as a result of any stock split, stock dividend or distribution, other subdivision, reorganization, reclassification, or similar capital transaction.</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457200" cy="175260"/>
                <wp:effectExtent l="0" t="0" r="0" b="0"/>
                <wp:wrapSquare wrapText="right"/>
                <wp:docPr id="253" name="Frame2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duly executed and delivered by the duly authorized officers of the parties as of the date first herein above written.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619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65"/>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3665" w:type="dxa"/>
            <w:tcBorders/>
            <w:vAlign w:val="center"/>
          </w:tcPr>
          <w:p>
            <w:pPr>
              <w:pStyle w:val="TableContents"/>
              <w:bidi w:val="0"/>
              <w:spacing w:before="0" w:after="283"/>
              <w:jc w:val="left"/>
              <w:rPr/>
            </w:pPr>
            <w:r>
              <w:rPr>
                <w:u w:val="single"/>
              </w:rPr>
              <w:t>/s/ Stefan Murry                                   </w:t>
            </w:r>
            <w:r>
              <w:rPr/>
              <w:br/>
              <w:t>Name: Stefan Murry</w:t>
              <w:br/>
              <w:t>Title: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619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AMAZON.COM, INC.</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365"/>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3695" w:type="dxa"/>
            <w:tcBorders/>
            <w:vAlign w:val="center"/>
          </w:tcPr>
          <w:p>
            <w:pPr>
              <w:pStyle w:val="TableContents"/>
              <w:bidi w:val="0"/>
              <w:spacing w:before="0" w:after="283"/>
              <w:jc w:val="left"/>
              <w:rPr/>
            </w:pPr>
            <w:r>
              <w:rPr>
                <w:u w:val="single"/>
              </w:rPr>
              <w:t>/s/ Michael Phillips                               </w:t>
              <w:br/>
            </w:r>
            <w:r>
              <w:rPr/>
              <w:t>Name: Michael Phillips</w:t>
              <w:br/>
              <w:t>Title: Authorized Signatory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5.1(a)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Financial Information and Reporting</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57200" cy="175260"/>
                <wp:effectExtent l="0" t="0" r="0" b="0"/>
                <wp:wrapSquare wrapText="right"/>
                <wp:docPr id="254" name="Frame2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02" w:right="102"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the end of each fiscal year of the Company, and in any event within 90 days thereafter, the Company shall furnish Amazon with a balance sheet and equity capitalization table of the Company, as of the end of such fiscal year, a statement of income, a statement of stockholders’ equity, and a statement of cash flows of the Company and accompanying notes to the financial statements, for such year, all audited and prepared in accordance with GAAP consistently applied (except as noted therein) and setting forth in each case in comparative form the figures for the previous fiscal year, all in reasonable detail. Such financial statements shall be accompanied by an audit report and opinion thereon by independent public accountants of national standing selected by the Board.</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457200" cy="175260"/>
                <wp:effectExtent l="0" t="0" r="0" b="0"/>
                <wp:wrapSquare wrapText="right"/>
                <wp:docPr id="255" name="Frame2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2" w:right="102" w:firstLine="1440"/>
        <w:jc w:val="left"/>
        <w:rPr>
          <w:caps w:val="false"/>
          <w:smallCaps w:val="false"/>
        </w:rPr>
      </w:pPr>
      <w:r>
        <w:rPr>
          <w:caps w:val="false"/>
          <w:smallCaps w:val="false"/>
        </w:rPr>
        <w:t> </w:t>
      </w:r>
    </w:p>
    <w:p>
      <w:pPr>
        <w:pStyle w:val="TextBody"/>
        <w:bidi w:val="0"/>
        <w:spacing w:before="0" w:after="0"/>
        <w:ind w:left="140" w:right="1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furnish to Amazon as soon as practicable after the end of the first, second, and third quarterly accounting periods in each fiscal year of the Company, and in any event within 45 days thereafter, a balance sheet and equity capitalization table of the Company as of the end of each such quarterly period and a statement of income and a statement of cash flows of the Company for such period and for the current fiscal year to date, prepared in accordance with GAAP consistently applied (except as noted therein or as disclosed to the recipients thereof), with the exception that no notes need be attached to such statements and year-end audit adjustments may not have been made. In order to facilitate Amazon’s compliance with its public reporting requirements, the Company shall deliver the financial statements described in this </w:t>
      </w:r>
      <w:r>
        <w:rPr>
          <w:rFonts w:ascii="Times New Roman;Times;Serif" w:hAnsi="Times New Roman;Times;Serif"/>
          <w:b w:val="false"/>
          <w:i w:val="false"/>
          <w:caps w:val="false"/>
          <w:smallCaps w:val="false"/>
          <w:sz w:val="20"/>
          <w:u w:val="single"/>
        </w:rPr>
        <w:t>Schedule 5.1(a)</w:t>
      </w:r>
      <w:r>
        <w:rPr>
          <w:rFonts w:ascii="Times New Roman;Times;Serif" w:hAnsi="Times New Roman;Times;Serif"/>
          <w:b w:val="false"/>
          <w:i w:val="false"/>
          <w:caps w:val="false"/>
          <w:smallCaps w:val="false"/>
          <w:sz w:val="20"/>
        </w:rPr>
        <w:t xml:space="preserve"> to Amazon, together with a certification that, to the Company’s knowledge, (i) such interim financial statements are fairly stated, in all material respects, in accordance with GAAP for the periods presented, applied on the same basis as the Company’s audited financial statements as of and for the most recent fiscal year end and reflect all adjustments necessary for a fair presentation of the interim financial statements, subject to the exceptions noted on an exhibit to such certification and (ii) the Company has made available to Amazon the information required by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this Agreement. In addition, to facilitate Amazon’s compliance with its public reporting requirements, the Company shall engage a nationally recognized accounting firm to perform quarterly review procedures that result in the issuance of an independent accountant’s review report on the Company’s quarterly and year-to-date balance sheet and statement of operations for each fiscal quarter, which reports shall be delivered within 45 days after the end of the quarter for which the report pertains. In order to facilitate Amazon’s compliance with its public reporting requirements, the Company’s chief financial officer and chief accounting officer shall participate in one or more teleconferences with Representatives of Amazon each quarter to review the financial statements previously delivered and discuss significant transactions reflected for the period of the financial statements.</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457200" cy="175260"/>
                <wp:effectExtent l="0" t="0" r="0" b="0"/>
                <wp:wrapSquare wrapText="right"/>
                <wp:docPr id="256" name="Frame2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0" w:right="140" w:firstLine="1440"/>
        <w:jc w:val="left"/>
        <w:rPr>
          <w:caps w:val="false"/>
          <w:smallCaps w:val="false"/>
        </w:rPr>
      </w:pPr>
      <w:r>
        <w:rPr>
          <w:caps w:val="false"/>
          <w:smallCaps w:val="false"/>
        </w:rPr>
        <w:t> </w:t>
      </w:r>
    </w:p>
    <w:p>
      <w:pPr>
        <w:pStyle w:val="TextBody"/>
        <w:bidi w:val="0"/>
        <w:spacing w:before="0" w:after="0"/>
        <w:ind w:left="199" w:right="199"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information required under clauses (A) and (B) above shall consist of consolidated financial statements (consolidating the Company and its subsidiaries) unless GAAP provides otherwise.</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457200" cy="175260"/>
                <wp:effectExtent l="0" t="0" r="0" b="0"/>
                <wp:wrapSquare wrapText="right"/>
                <wp:docPr id="257" name="Frame2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99" w:right="199" w:firstLine="1440"/>
        <w:jc w:val="left"/>
        <w:rPr>
          <w:caps w:val="false"/>
          <w:smallCaps w:val="false"/>
        </w:rPr>
      </w:pPr>
      <w:r>
        <w:rPr>
          <w:caps w:val="false"/>
          <w:smallCaps w:val="false"/>
        </w:rPr>
        <w:t> </w:t>
      </w:r>
    </w:p>
    <w:p>
      <w:pPr>
        <w:pStyle w:val="TextBody"/>
        <w:bidi w:val="0"/>
        <w:spacing w:before="0" w:after="0"/>
        <w:ind w:left="353" w:right="353"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reasonably practicable, and in any event within 15 days after the issuance of the report, the Company shall furnish to Amazon any 409A valuation reports that it prepares or causes to be prepared.</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457200" cy="175260"/>
                <wp:effectExtent l="0" t="0" r="0" b="0"/>
                <wp:wrapSquare wrapText="right"/>
                <wp:docPr id="258" name="Frame2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353" w:right="353" w:firstLine="1440"/>
        <w:jc w:val="left"/>
        <w:rPr>
          <w:caps w:val="false"/>
          <w:smallCaps w:val="false"/>
        </w:rPr>
      </w:pPr>
      <w:r>
        <w:rPr>
          <w:caps w:val="false"/>
          <w:smallCaps w:val="false"/>
        </w:rPr>
        <w:t> </w:t>
      </w:r>
    </w:p>
    <w:p>
      <w:pPr>
        <w:pStyle w:val="TextBody"/>
        <w:bidi w:val="0"/>
        <w:spacing w:before="0" w:after="0"/>
        <w:ind w:left="132" w:right="132"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Inspection Rights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this Agreement, Amazon shall have the right to visit and inspect any of the properties of the Company or any of its subsidiaries, and to discuss the affairs, finances, and accounts of the Company or any of its subsidiaries with its officers, and to review such information as is reasonably requested (electronically to the greatest extent possible), all at such reasonable business times, with reasonable advance notice and as often as may be reasonably requested.</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457200" cy="175260"/>
                <wp:effectExtent l="0" t="0" r="0" b="0"/>
                <wp:wrapSquare wrapText="right"/>
                <wp:docPr id="259" name="Frame2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132" w:right="132" w:firstLine="720"/>
        <w:jc w:val="left"/>
        <w:rPr>
          <w:caps w:val="false"/>
          <w:smallCaps w:val="false"/>
        </w:rPr>
      </w:pPr>
      <w:r>
        <w:rPr>
          <w:caps w:val="false"/>
          <w:smallCaps w:val="false"/>
        </w:rPr>
        <w:t> </w:t>
      </w:r>
    </w:p>
    <w:p>
      <w:pPr>
        <w:pStyle w:val="TextBody"/>
        <w:bidi w:val="0"/>
        <w:spacing w:before="0" w:after="0"/>
        <w:ind w:left="403" w:right="403"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Materials</w:t>
      </w:r>
      <w:r>
        <w:rPr>
          <w:rFonts w:ascii="Times New Roman;Times;Serif" w:hAnsi="Times New Roman;Times;Serif"/>
          <w:b w:val="false"/>
          <w:i w:val="false"/>
          <w:caps w:val="false"/>
          <w:smallCaps w:val="false"/>
          <w:sz w:val="20"/>
        </w:rPr>
        <w:t>. As soon as practicable (or otherwise as provided herein), the Company shall furnish Amazon with copies of the following documents:</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457200" cy="175260"/>
                <wp:effectExtent l="0" t="0" r="0" b="0"/>
                <wp:wrapSquare wrapText="right"/>
                <wp:docPr id="260" name="Frame2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403" w:right="403" w:firstLine="720"/>
        <w:jc w:val="left"/>
        <w:rPr>
          <w:caps w:val="false"/>
          <w:smallCaps w:val="false"/>
        </w:rPr>
      </w:pPr>
      <w:r>
        <w:rPr>
          <w:caps w:val="false"/>
          <w:smallCaps w:val="false"/>
        </w:rPr>
        <w:t> </w:t>
      </w:r>
    </w:p>
    <w:p>
      <w:pPr>
        <w:pStyle w:val="TextBody"/>
        <w:bidi w:val="0"/>
        <w:spacing w:before="0" w:after="0"/>
        <w:ind w:left="403" w:right="403" w:firstLine="720"/>
        <w:jc w:val="left"/>
        <w:rPr>
          <w:caps w:val="false"/>
          <w:smallCaps w:val="false"/>
        </w:rPr>
      </w:pPr>
      <w:r>
        <w:rPr>
          <w:caps w:val="false"/>
          <w:smallCaps w:val="false"/>
        </w:rPr>
        <w:t> </w:t>
      </w:r>
    </w:p>
    <w:p>
      <w:pPr>
        <w:pStyle w:val="TextBody"/>
        <w:bidi w:val="0"/>
        <w:spacing w:before="0" w:after="0"/>
        <w:ind w:left="403" w:right="403"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03" w:right="403" w:firstLine="720"/>
        <w:jc w:val="left"/>
        <w:rPr>
          <w:caps w:val="false"/>
          <w:smallCaps w:val="false"/>
        </w:rPr>
      </w:pPr>
      <w:r>
        <w:rPr>
          <w:caps w:val="false"/>
          <w:smallCaps w:val="false"/>
        </w:rPr>
        <w:t> </w:t>
      </w:r>
    </w:p>
    <w:p>
      <w:pPr>
        <w:pStyle w:val="TextBody"/>
        <w:bidi w:val="0"/>
        <w:spacing w:before="0" w:after="0"/>
        <w:ind w:left="176" w:right="1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documents filed with governmental agencies, including, without limitation, the Internal Revenue Service and the Commission, or any other documents or information requested by Amazon or necessary to support Amazon’s tax, accounting, and Commission reports and filings, including providing by February 15th of each year such information as is necessary to support Amazon’s tax reporting obligations.</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457200" cy="14605"/>
                <wp:effectExtent l="0" t="0" r="0" b="0"/>
                <wp:wrapSquare wrapText="right"/>
                <wp:docPr id="261" name="Frame261"/>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76" w:right="176" w:firstLine="1440"/>
        <w:jc w:val="left"/>
        <w:rPr>
          <w:caps w:val="false"/>
          <w:smallCaps w:val="false"/>
        </w:rPr>
      </w:pPr>
      <w:r>
        <w:rPr>
          <w:caps w:val="false"/>
          <w:smallCaps w:val="false"/>
        </w:rPr>
        <w:t> </w:t>
      </w:r>
    </w:p>
    <w:p>
      <w:pPr>
        <w:pStyle w:val="TextBody"/>
        <w:bidi w:val="0"/>
        <w:spacing w:before="0" w:after="0"/>
        <w:ind w:left="362" w:right="362"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regarding any default on any material loan or lease to which the Company is a party.</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457200" cy="14605"/>
                <wp:effectExtent l="0" t="0" r="0" b="0"/>
                <wp:wrapSquare wrapText="right"/>
                <wp:docPr id="262" name="Frame262"/>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362" w:right="362" w:firstLine="1440"/>
        <w:jc w:val="left"/>
        <w:rPr>
          <w:caps w:val="false"/>
          <w:smallCaps w:val="false"/>
        </w:rPr>
      </w:pPr>
      <w:r>
        <w:rPr>
          <w:caps w:val="false"/>
          <w:smallCaps w:val="false"/>
        </w:rPr>
        <w:t> </w:t>
      </w:r>
    </w:p>
    <w:p>
      <w:pPr>
        <w:pStyle w:val="TextBody"/>
        <w:bidi w:val="0"/>
        <w:spacing w:before="0" w:after="0"/>
        <w:ind w:left="250" w:right="25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shall furnish Amazon advance notice of (i) any dividend or other distribution to be paid by the Company to holders of the Common Stock or (ii) any nonfunctional currency investments or loans.</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457200" cy="14605"/>
                <wp:effectExtent l="0" t="0" r="0" b="0"/>
                <wp:wrapSquare wrapText="right"/>
                <wp:docPr id="263" name="Frame263"/>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250" w:right="25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Persons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540" w:right="25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37811</Words>
  <Characters>202057</Characters>
  <CharactersWithSpaces>240180</CharactersWithSpaces>
  <Paragraphs>2328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