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aoi20240331c_10q.htm"/>
      <w:bookmarkStart w:id="1" w:name="ksaaoi20240331c_10q"/>
      <w:bookmarkEnd w:id="0"/>
      <w:bookmarkEnd w:id="1"/>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March 31,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rPr/>
      </w:pPr>
      <w:r>
        <w:rPr/>
        <w:t>​</w:t>
      </w:r>
    </w:p>
    <w:tbl>
      <w:tblPr>
        <w:tblW w:w="8140" w:type="dxa"/>
        <w:jc w:val="left"/>
        <w:tblInd w:w="0" w:type="dxa"/>
        <w:tblLayout w:type="fixed"/>
        <w:tblCellMar>
          <w:top w:w="0" w:type="dxa"/>
          <w:left w:w="0" w:type="dxa"/>
          <w:bottom w:w="0" w:type="dxa"/>
          <w:right w:w="0" w:type="dxa"/>
        </w:tblCellMar>
      </w:tblPr>
      <w:tblGrid>
        <w:gridCol w:w="5135"/>
        <w:gridCol w:w="3005"/>
      </w:tblGrid>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rPr/>
      </w:pPr>
      <w:r>
        <w:rPr/>
        <w:t>​</w:t>
      </w:r>
    </w:p>
    <w:p>
      <w:pPr>
        <w:pStyle w:val="TextBody"/>
        <w:bidi w:val="0"/>
        <w:spacing w:before="0" w:after="0"/>
        <w:ind w:left="0" w:right="0" w:firstLine="462"/>
        <w:jc w:val="both"/>
        <w:rPr/>
      </w:pPr>
      <w:r>
        <w:rP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535" w:type="dxa"/>
        <w:jc w:val="left"/>
        <w:tblInd w:w="0" w:type="dxa"/>
        <w:tblLayout w:type="fixed"/>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85" w:type="dxa"/>
        <w:jc w:val="left"/>
        <w:tblInd w:w="0" w:type="dxa"/>
        <w:tblLayout w:type="fixed"/>
        <w:tblCellMar>
          <w:top w:w="0" w:type="dxa"/>
          <w:left w:w="0" w:type="dxa"/>
          <w:bottom w:w="0" w:type="dxa"/>
          <w:right w:w="0" w:type="dxa"/>
        </w:tblCellMar>
      </w:tblPr>
      <w:tblGrid>
        <w:gridCol w:w="60"/>
        <w:gridCol w:w="1820"/>
        <w:gridCol w:w="290"/>
        <w:gridCol w:w="2225"/>
        <w:gridCol w:w="290"/>
      </w:tblGrid>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90" w:type="dxa"/>
            <w:tcBorders/>
            <w:vAlign w:val="center"/>
          </w:tcPr>
          <w:p>
            <w:pPr>
              <w:pStyle w:val="TableContents"/>
              <w:bidi w:val="0"/>
              <w:spacing w:before="0" w:after="283"/>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9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9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As of May 6, 2024, there were 38,907,933 shares of the registrant’s Common Stock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54"/>
        <w:gridCol w:w="9140"/>
        <w:gridCol w:w="411"/>
      </w:tblGrid>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40"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Condensed Consolidated Balance Sheets as of March 31, 2024 (Unaudited) and December 31, 2023</w:t>
              </w:r>
            </w:hyperlink>
          </w:p>
        </w:tc>
        <w:tc>
          <w:tcPr>
            <w:tcW w:w="411" w:type="dxa"/>
            <w:tcBorders/>
            <w:vAlign w:val="center"/>
          </w:tcPr>
          <w:p>
            <w:pPr>
              <w:pStyle w:val="TableContents"/>
              <w:bidi w:val="0"/>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Months ended March 31, 2024 and 2023 (Unaudited)</w:t>
              </w:r>
            </w:hyperlink>
          </w:p>
        </w:tc>
        <w:tc>
          <w:tcPr>
            <w:tcW w:w="411" w:type="dxa"/>
            <w:tcBorders/>
            <w:vAlign w:val="center"/>
          </w:tcPr>
          <w:p>
            <w:pPr>
              <w:pStyle w:val="TableContents"/>
              <w:bidi w:val="0"/>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Months ended March 31, 2024 and 2023 (Unaudited)</w:t>
              </w:r>
            </w:hyperlink>
          </w:p>
        </w:tc>
        <w:tc>
          <w:tcPr>
            <w:tcW w:w="411" w:type="dxa"/>
            <w:tcBorders/>
            <w:vAlign w:val="center"/>
          </w:tcPr>
          <w:p>
            <w:pPr>
              <w:pStyle w:val="TableContents"/>
              <w:bidi w:val="0"/>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Months ended March 31, 2024 and 2023 (Unaudited)</w:t>
              </w:r>
            </w:hyperlink>
          </w:p>
        </w:tc>
        <w:tc>
          <w:tcPr>
            <w:tcW w:w="411" w:type="dxa"/>
            <w:tcBorders/>
            <w:vAlign w:val="center"/>
          </w:tcPr>
          <w:p>
            <w:pPr>
              <w:pStyle w:val="TableContents"/>
              <w:bidi w:val="0"/>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Three Months ended March 31, 2024 and 2023 (Unaudited)</w:t>
              </w:r>
            </w:hyperlink>
          </w:p>
        </w:tc>
        <w:tc>
          <w:tcPr>
            <w:tcW w:w="411"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sz w:val="20"/>
                </w:rPr>
                <w:t>7</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8</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40"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19</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4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27</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4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27</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0205"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40"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27</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40"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sz w:val="20"/>
                </w:rPr>
                <w:t>27</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4" w:type="dxa"/>
            <w:tcBorders/>
            <w:vAlign w:val="center"/>
          </w:tcPr>
          <w:p>
            <w:pPr>
              <w:pStyle w:val="TableContents"/>
              <w:bidi w:val="0"/>
              <w:spacing w:before="0" w:after="283"/>
              <w:jc w:val="left"/>
              <w:rPr/>
            </w:pPr>
            <w:r>
              <w:rPr/>
              <w:t>Item 5.</w:t>
            </w:r>
          </w:p>
        </w:tc>
        <w:tc>
          <w:tcPr>
            <w:tcW w:w="9140" w:type="dxa"/>
            <w:tcBorders/>
            <w:vAlign w:val="center"/>
          </w:tcPr>
          <w:p>
            <w:pPr>
              <w:pStyle w:val="TableContents"/>
              <w:bidi w:val="0"/>
              <w:spacing w:before="0" w:after="283"/>
              <w:jc w:val="left"/>
              <w:rPr/>
            </w:pPr>
            <w:hyperlink w:anchor="item5">
              <w:r>
                <w:rPr>
                  <w:rStyle w:val="InternetLink"/>
                </w:rPr>
                <w:t>Other Information</w:t>
              </w:r>
            </w:hyperlink>
          </w:p>
        </w:tc>
        <w:tc>
          <w:tcPr>
            <w:tcW w:w="411" w:type="dxa"/>
            <w:tcBorders/>
            <w:vAlign w:val="center"/>
          </w:tcPr>
          <w:p>
            <w:pPr>
              <w:pStyle w:val="TableContents"/>
              <w:bidi w:val="0"/>
              <w:spacing w:before="0" w:after="283"/>
              <w:jc w:val="right"/>
              <w:rPr/>
            </w:pPr>
            <w:hyperlink w:anchor="item5">
              <w:r>
                <w:rPr>
                  <w:rStyle w:val="InternetLink"/>
                </w:rPr>
                <w:t>28</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40"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sz w:val="20"/>
                </w:rPr>
                <w:t>28</w:t>
              </w:r>
            </w:hyperlink>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4"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sz w:val="20"/>
                </w:rPr>
                <w:t>29</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026"/>
        <w:gridCol w:w="60"/>
        <w:gridCol w:w="125"/>
        <w:gridCol w:w="755"/>
        <w:gridCol w:w="80"/>
        <w:gridCol w:w="60"/>
        <w:gridCol w:w="144"/>
        <w:gridCol w:w="874"/>
        <w:gridCol w:w="81"/>
      </w:tblGrid>
      <w:tr>
        <w:trPr/>
        <w:tc>
          <w:tcPr>
            <w:tcW w:w="80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45,366</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9,731</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trade, net of allowance of $0 and $3,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48,071</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63,866</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income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5,349</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172,605</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200,317</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5,030</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5,026</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389,186</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32,892</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15,482</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18,549</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lease liability - operating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notes payable and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23,197</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convertible senior notes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93,358</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lease liability - operating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4,726</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senior notes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76,233</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174,317</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5,000 shares authorized at $0.001 par value; no shares issued and outstanding at March 31,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80,000 shares authorized at $0.001 par value; 38,729 and 38,148 shares issued and outstanding at March 31,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478,972</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36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(265,116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26"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214,869</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389,186</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data)</w:t>
      </w:r>
    </w:p>
    <w:p>
      <w:pPr>
        <w:pStyle w:val="TextBody"/>
        <w:bidi w:val="0"/>
        <w:spacing w:before="0" w:after="0"/>
        <w:ind w:left="0" w:right="0" w:hanging="0"/>
        <w:jc w:val="center"/>
        <w:rPr/>
      </w:pPr>
      <w:r>
        <w:rPr/>
        <w:t>​</w:t>
      </w:r>
    </w:p>
    <w:tbl>
      <w:tblPr>
        <w:tblW w:w="7618" w:type="dxa"/>
        <w:jc w:val="left"/>
        <w:tblInd w:w="0" w:type="dxa"/>
        <w:tblLayout w:type="fixed"/>
        <w:tblCellMar>
          <w:top w:w="0" w:type="dxa"/>
          <w:left w:w="0" w:type="dxa"/>
          <w:bottom w:w="0" w:type="dxa"/>
          <w:right w:w="0" w:type="dxa"/>
        </w:tblCellMar>
      </w:tblPr>
      <w:tblGrid>
        <w:gridCol w:w="4895"/>
        <w:gridCol w:w="60"/>
        <w:gridCol w:w="141"/>
        <w:gridCol w:w="1072"/>
        <w:gridCol w:w="90"/>
        <w:gridCol w:w="67"/>
        <w:gridCol w:w="141"/>
        <w:gridCol w:w="1072"/>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53,030</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33,082</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43,786</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7,591</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9,244</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11,712</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13,727</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12,548</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29,237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(21,646</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1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21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1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21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38,362,118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28,871,857</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38,362,118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28,871,857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6613" w:type="dxa"/>
        <w:jc w:val="left"/>
        <w:tblInd w:w="0" w:type="dxa"/>
        <w:tblLayout w:type="fixed"/>
        <w:tblCellMar>
          <w:top w:w="0" w:type="dxa"/>
          <w:left w:w="0" w:type="dxa"/>
          <w:bottom w:w="0" w:type="dxa"/>
          <w:right w:w="0" w:type="dxa"/>
        </w:tblCellMar>
      </w:tblPr>
      <w:tblGrid>
        <w:gridCol w:w="3890"/>
        <w:gridCol w:w="60"/>
        <w:gridCol w:w="191"/>
        <w:gridCol w:w="994"/>
        <w:gridCol w:w="122"/>
        <w:gridCol w:w="91"/>
        <w:gridCol w:w="191"/>
        <w:gridCol w:w="994"/>
        <w:gridCol w:w="80"/>
      </w:tblGrid>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1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1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(24,835</w:t>
            </w:r>
          </w:p>
        </w:tc>
        <w:tc>
          <w:tcPr>
            <w:tcW w:w="1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2024 and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for share amount)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69"/>
        <w:gridCol w:w="60"/>
        <w:gridCol w:w="125"/>
        <w:gridCol w:w="542"/>
        <w:gridCol w:w="71"/>
        <w:gridCol w:w="71"/>
        <w:gridCol w:w="184"/>
        <w:gridCol w:w="436"/>
        <w:gridCol w:w="60"/>
        <w:gridCol w:w="60"/>
        <w:gridCol w:w="69"/>
        <w:gridCol w:w="598"/>
        <w:gridCol w:w="61"/>
        <w:gridCol w:w="61"/>
        <w:gridCol w:w="184"/>
        <w:gridCol w:w="436"/>
        <w:gridCol w:w="60"/>
        <w:gridCol w:w="60"/>
        <w:gridCol w:w="120"/>
        <w:gridCol w:w="665"/>
        <w:gridCol w:w="80"/>
        <w:gridCol w:w="60"/>
        <w:gridCol w:w="205"/>
        <w:gridCol w:w="910"/>
        <w:gridCol w:w="80"/>
        <w:gridCol w:w="60"/>
        <w:gridCol w:w="139"/>
        <w:gridCol w:w="841"/>
        <w:gridCol w:w="80"/>
        <w:gridCol w:w="60"/>
        <w:gridCol w:w="152"/>
        <w:gridCol w:w="846"/>
        <w:gridCol w:w="100"/>
      </w:tblGrid>
      <w:tr>
        <w:trPr/>
        <w:tc>
          <w:tcPr>
            <w:tcW w:w="2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100" w:type="dxa"/>
            <w:tcBorders/>
            <w:shd w:fill="FFFF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100"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38,148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214,869</w:t>
            </w:r>
          </w:p>
        </w:tc>
        <w:tc>
          <w:tcPr>
            <w:tcW w:w="100"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(1,010</w:t>
            </w:r>
          </w:p>
        </w:tc>
        <w:tc>
          <w:tcPr>
            <w:tcW w:w="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2,839</w:t>
            </w:r>
          </w:p>
        </w:tc>
        <w:tc>
          <w:tcPr>
            <w:tcW w:w="100"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3,826</w:t>
            </w:r>
          </w:p>
        </w:tc>
        <w:tc>
          <w:tcPr>
            <w:tcW w:w="100"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converted by Notes Holder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w:t>
            </w:r>
          </w:p>
        </w:tc>
        <w:tc>
          <w:tcPr>
            <w:tcW w:w="100"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(1,665</w:t>
            </w:r>
          </w:p>
        </w:tc>
        <w:tc>
          <w:tcPr>
            <w:tcW w:w="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(23,170</w:t>
            </w:r>
          </w:p>
        </w:tc>
        <w:tc>
          <w:tcPr>
            <w:tcW w:w="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38,729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(288,288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195,726</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01"/>
        <w:gridCol w:w="60"/>
        <w:gridCol w:w="125"/>
        <w:gridCol w:w="542"/>
        <w:gridCol w:w="72"/>
        <w:gridCol w:w="72"/>
        <w:gridCol w:w="184"/>
        <w:gridCol w:w="436"/>
        <w:gridCol w:w="60"/>
        <w:gridCol w:w="60"/>
        <w:gridCol w:w="69"/>
        <w:gridCol w:w="598"/>
        <w:gridCol w:w="61"/>
        <w:gridCol w:w="61"/>
        <w:gridCol w:w="184"/>
        <w:gridCol w:w="436"/>
        <w:gridCol w:w="60"/>
        <w:gridCol w:w="60"/>
        <w:gridCol w:w="120"/>
        <w:gridCol w:w="665"/>
        <w:gridCol w:w="80"/>
        <w:gridCol w:w="60"/>
        <w:gridCol w:w="228"/>
        <w:gridCol w:w="887"/>
        <w:gridCol w:w="60"/>
        <w:gridCol w:w="60"/>
        <w:gridCol w:w="139"/>
        <w:gridCol w:w="841"/>
        <w:gridCol w:w="80"/>
        <w:gridCol w:w="60"/>
        <w:gridCol w:w="152"/>
        <w:gridCol w:w="846"/>
        <w:gridCol w:w="86"/>
      </w:tblGrid>
      <w:tr>
        <w:trPr/>
        <w:tc>
          <w:tcPr>
            <w:tcW w:w="2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6" w:type="dxa"/>
            <w:tcBorders/>
            <w:shd w:fill="FFFF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6"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28,622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391,526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184,670</w:t>
            </w:r>
          </w:p>
        </w:tc>
        <w:tc>
          <w:tcPr>
            <w:tcW w:w="86"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2,290</w:t>
            </w:r>
          </w:p>
        </w:tc>
        <w:tc>
          <w:tcPr>
            <w:tcW w:w="86"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w:t>
            </w:r>
          </w:p>
        </w:tc>
        <w:tc>
          <w:tcPr>
            <w:tcW w:w="86"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1,638</w:t>
            </w:r>
          </w:p>
        </w:tc>
        <w:tc>
          <w:tcPr>
            <w:tcW w:w="86"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(16,292</w:t>
            </w:r>
          </w:p>
        </w:tc>
        <w:tc>
          <w:tcPr>
            <w:tcW w:w="8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29,072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394,147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(225,362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172,637</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04"/>
        <w:gridCol w:w="60"/>
        <w:gridCol w:w="189"/>
        <w:gridCol w:w="985"/>
        <w:gridCol w:w="120"/>
        <w:gridCol w:w="90"/>
        <w:gridCol w:w="189"/>
        <w:gridCol w:w="985"/>
        <w:gridCol w:w="83"/>
      </w:tblGrid>
      <w:tr>
        <w:trPr/>
        <w:tc>
          <w:tcPr>
            <w:tcW w:w="7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7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17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17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of bad debt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assets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foreign exchange (gain)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trade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(9,402</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4,365</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Notes receivable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7,291</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right of use asset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(9,253</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(5,071</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(28,481</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(5,761</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equipment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pPr>
            <w:r>
              <w:rPr/>
              <w:t>—</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and prepaid for equipment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of long-term debt and notes payable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line of credit borrowings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7,997</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19,482</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bank acceptance payable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18,974</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bank acceptance payable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(14,912</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issuance of convertible senior notes, net of debt issuance costs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of financing lease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pPr>
            <w:r>
              <w:rPr/>
              <w:t>—</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tax withholding on behalf of employees related to share-based compensation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common stock offering, net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3,826</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(used)/provided by 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(37,692</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(8,639</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55,097</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35,587</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26,948</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net of amounts capitalized</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2,304</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accounts payable related to property and equipment additions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deposits and prepaid for equipment related to property and equipment additions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CATV and certain data center transceiver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The unaudited condensed consolidated financial statements of the Company as of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2024</w:t>
      </w:r>
      <w:r>
        <w:rPr>
          <w:rFonts w:ascii="Times New Roman;Times;serif" w:hAnsi="Times New Roman;Times;serif"/>
          <w:sz w:val="20"/>
        </w:rPr>
        <w:t xml:space="preserve"> and </w:t>
      </w:r>
      <w:r>
        <w:rPr>
          <w:rStyle w:val="Emphasis"/>
          <w:rFonts w:ascii="Times New Roman;Times;serif" w:hAnsi="Times New Roman;Times;serif"/>
          <w:sz w:val="20"/>
        </w:rPr>
        <w:t>March 31, 2023</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2023</w:t>
      </w:r>
      <w:r>
        <w:rPr>
          <w:rFonts w:ascii="Times New Roman;Times;serif" w:hAnsi="Times New Roman;Times;serif"/>
          <w:sz w:val="20"/>
        </w:rPr>
        <w:t>.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2024</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allowance for doubtful accounts, inventory reserve, impairment of long-lived assets, service and product warranty costs, share-based compensation expense, estimated useful lives of property and equipment, and taxes.</w:t>
      </w:r>
    </w:p>
    <w:p>
      <w:pPr>
        <w:pStyle w:val="TextBody"/>
        <w:bidi w:val="0"/>
        <w:spacing w:before="0" w:after="0"/>
        <w:ind w:left="0" w:right="0" w:firstLine="720"/>
        <w:jc w:val="left"/>
        <w:rPr/>
      </w:pPr>
      <w:r>
        <w:rPr/>
        <w:t> </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2024</w:t>
      </w:r>
      <w:r>
        <w:rPr>
          <w:rFonts w:ascii="Times New Roman;Times;serif" w:hAnsi="Times New Roman;Times;serif"/>
          <w:sz w:val="20"/>
        </w:rPr>
        <w:t>, as compared to the significant accounting policies described in its </w:t>
      </w:r>
      <w:r>
        <w:rPr>
          <w:rStyle w:val="Emphasis"/>
          <w:rFonts w:ascii="Times New Roman;Times;serif" w:hAnsi="Times New Roman;Times;serif"/>
          <w:sz w:val="20"/>
        </w:rPr>
        <w:t>2023</w:t>
      </w:r>
      <w:r>
        <w:rPr>
          <w:rFonts w:ascii="Times New Roman;Times;serif" w:hAnsi="Times New Roman;Times;serif"/>
          <w:sz w:val="20"/>
        </w:rPr>
        <w:t xml:space="preserv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Recent Accounting Pronouncements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pPr>
      <w:r>
        <w:rPr>
          <w:caps w:val="false"/>
          <w:smallCaps w:val="false"/>
        </w:rPr>
        <w:t>           </w:t>
      </w:r>
      <w:r>
        <w:rPr>
          <w:rFonts w:ascii="Times New Roman" w:hAnsi="Times New Roman"/>
          <w:caps w:val="false"/>
          <w:smallCaps w:val="false"/>
          <w:sz w:val="20"/>
        </w:rPr>
        <w:t xml:space="preserve">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accounting pronouncement adopted in </w:t>
      </w:r>
      <w:r>
        <w:rPr>
          <w:rStyle w:val="Emphasis"/>
          <w:rFonts w:ascii="Times New Roman" w:hAnsi="Times New Roman"/>
          <w:caps w:val="false"/>
          <w:smallCaps w:val="false"/>
          <w:sz w:val="20"/>
        </w:rPr>
        <w:t>Q1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p>
    <w:p>
      <w:pPr>
        <w:pStyle w:val="TextBody"/>
        <w:bidi w:val="0"/>
        <w:spacing w:before="0" w:after="0"/>
        <w:ind w:left="160" w:right="0" w:hanging="0"/>
        <w:jc w:val="left"/>
        <w:rPr>
          <w:caps w:val="false"/>
          <w:smallCaps w:val="false"/>
        </w:rPr>
      </w:pPr>
      <w:r>
        <w:rPr>
          <w:caps w:val="false"/>
          <w:smallCaps w:val="false"/>
        </w:rPr>
        <w:t>         </w:t>
      </w:r>
      <w:r>
        <w:rPr>
          <w:caps w:val="false"/>
          <w:smallCaps w:val="false"/>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Recent Accounting Pronouncements Yet to be Adopted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 xml:space="preserve">the Financial Accounting Standard Board ("FASB") issued Accounting Standard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which requires the Company to disclose disaggregated jurisdictional and categorical information for the tax rate reconciliation, income taxes paid and other income tax related amounts. This guidance is effective for annual periods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with early adoption permitted. The adoption is expected to enhance the Company's Notes to the Consolidated Financial Statements. The Company is currently evaluating the impact the new standard will have on its financial statements and related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t>
      </w:r>
      <w:r>
        <w:rPr>
          <w:rFonts w:ascii="Times New Roman" w:hAnsi="Times New Roman"/>
          <w:i/>
          <w:caps w:val="false"/>
          <w:smallCaps w:val="false"/>
          <w:sz w:val="20"/>
        </w:rPr>
        <w:t>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which requires the Company to expand the breadth and frequency of segment disclosures to include additional information about significant segment expenses, the chief operating decision maker (CODM) and other items, and also require the annual disclosures on an interim basis. This guidance is effective for annual periods beginning after </w:t>
      </w:r>
      <w:r>
        <w:rPr>
          <w:rStyle w:val="Emphasis"/>
          <w:rFonts w:ascii="Times New Roman" w:hAnsi="Times New Roman"/>
          <w:caps w:val="false"/>
          <w:smallCaps w:val="false"/>
          <w:sz w:val="20"/>
        </w:rPr>
        <w:t xml:space="preserve"> December 15, 2023, </w:t>
      </w:r>
      <w:r>
        <w:rPr>
          <w:rFonts w:ascii="Times New Roman" w:hAnsi="Times New Roman"/>
          <w:caps w:val="false"/>
          <w:smallCaps w:val="false"/>
          <w:sz w:val="20"/>
        </w:rPr>
        <w:t xml:space="preserve">with early adoption permitted. The standard will be effective for the Company beginning with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-K and interim periods afterwards. The Company has evaluated this new standard and intends to comply with the new disclosure requirements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October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Codification Amendments in Response to the SEC’s Disclosure Update and Simplification Initiative</w:t>
      </w:r>
      <w:r>
        <w:rPr>
          <w:rFonts w:ascii="Times New Roman" w:hAnsi="Times New Roman"/>
          <w:caps w:val="false"/>
          <w:smallCaps w:val="false"/>
          <w:sz w:val="20"/>
        </w:rPr>
        <w:t>", which amends U.S. GAAP to include </w:t>
      </w:r>
      <w:r>
        <w:rPr>
          <w:rStyle w:val="Emphasis"/>
          <w:rFonts w:ascii="Times New Roman" w:hAnsi="Times New Roman"/>
          <w:caps w:val="false"/>
          <w:smallCaps w:val="false"/>
          <w:sz w:val="20"/>
        </w:rPr>
        <w:t>14</w:t>
      </w:r>
      <w:r>
        <w:rPr>
          <w:rFonts w:ascii="Times New Roman" w:hAnsi="Times New Roman"/>
          <w:caps w:val="false"/>
          <w:smallCaps w:val="false"/>
          <w:sz w:val="20"/>
        </w:rPr>
        <w:t> disclosure requirements that are currently required under SEC Regulation S-</w:t>
      </w:r>
      <w:r>
        <w:rPr>
          <w:rStyle w:val="Emphasis"/>
          <w:rFonts w:ascii="Times New Roman" w:hAnsi="Times New Roman"/>
          <w:caps w:val="false"/>
          <w:smallCaps w:val="false"/>
          <w:sz w:val="20"/>
        </w:rPr>
        <w:t>X</w:t>
      </w:r>
      <w:r>
        <w:rPr>
          <w:rFonts w:ascii="Times New Roman" w:hAnsi="Times New Roman"/>
          <w:caps w:val="false"/>
          <w:smallCaps w:val="false"/>
          <w:sz w:val="20"/>
        </w:rPr>
        <w:t> or Regulation S-K. Each amendment will be effective on the date on which the SEC removes the related disclosure requirement from SEC Regulation S-</w:t>
      </w:r>
      <w:r>
        <w:rPr>
          <w:rStyle w:val="Emphasis"/>
          <w:rFonts w:ascii="Times New Roman" w:hAnsi="Times New Roman"/>
          <w:caps w:val="false"/>
          <w:smallCaps w:val="false"/>
          <w:sz w:val="20"/>
        </w:rPr>
        <w:t>X</w:t>
      </w:r>
      <w:r>
        <w:rPr>
          <w:rFonts w:ascii="Times New Roman" w:hAnsi="Times New Roman"/>
          <w:caps w:val="false"/>
          <w:smallCaps w:val="false"/>
          <w:sz w:val="20"/>
        </w:rPr>
        <w:t> or Regulation S-K.  The Company has evaluated the new standard and determined that it will have </w:t>
      </w:r>
      <w:r>
        <w:rPr>
          <w:rStyle w:val="Emphasis"/>
          <w:rFonts w:ascii="Times New Roman" w:hAnsi="Times New Roman"/>
          <w:caps w:val="false"/>
          <w:smallCaps w:val="false"/>
          <w:sz w:val="20"/>
        </w:rPr>
        <w:t>no</w:t>
      </w:r>
      <w:r>
        <w:rPr>
          <w:rFonts w:ascii="Times New Roman" w:hAnsi="Times New Roman"/>
          <w:caps w:val="false"/>
          <w:smallCaps w:val="false"/>
          <w:sz w:val="20"/>
        </w:rPr>
        <w:t> material impact on its financial statements or disclosures since the Company is already subject to the relevant SEC disclosure requirements.</w:t>
      </w:r>
    </w:p>
    <w:p>
      <w:pPr>
        <w:pStyle w:val="TextBody"/>
        <w:bidi w:val="0"/>
        <w:ind w:left="0" w:right="0" w:firstLine="72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"Geographic Information."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categories and is presented below (in thousands):</w:t>
      </w:r>
    </w:p>
    <w:p>
      <w:pPr>
        <w:pStyle w:val="TextBody"/>
        <w:bidi w:val="0"/>
        <w:spacing w:before="0" w:after="0"/>
        <w:ind w:left="0" w:right="0" w:hanging="0"/>
        <w:jc w:val="both"/>
        <w:rPr/>
      </w:pPr>
      <w:r>
        <w:rPr/>
        <w:t>​</w:t>
      </w:r>
    </w:p>
    <w:tbl>
      <w:tblPr>
        <w:tblW w:w="4830"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Unearned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We record unearned revenues when cash payments are received or due in advance of our performance, including amounts which are refundable. Unearned revenues solely relate to statement of work with Microsoft regarding contract prices allocated to the performance obligations that are unsatisfied, or partially unsatisfied, as of the balance sheet dates. Unearned revenue balance as of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was $1.7 million and $1.8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revenue recognized from the unearned revenue balance wa</w:t>
      </w:r>
      <w:r>
        <w:rPr>
          <w:rFonts w:ascii="Times New Roman;Times;serif" w:hAnsi="Times New Roman;Times;serif"/>
          <w:sz w:val="20"/>
          <w:shd w:fill="FFFFFF" w:val="clear"/>
        </w:rPr>
        <w:t>s $114 thousand </w:t>
      </w:r>
      <w:r>
        <w:rPr>
          <w:rFonts w:ascii="Times New Roman;Times;serif" w:hAnsi="Times New Roman;Times;serif"/>
          <w:sz w:val="20"/>
        </w:rPr>
        <w:t>and $237 thousand, respectively. </w:t>
      </w:r>
    </w:p>
    <w:p>
      <w:pPr>
        <w:pStyle w:val="TextBody"/>
        <w:bidi w:val="0"/>
        <w:spacing w:before="0" w:after="0"/>
        <w:ind w:left="0" w:right="0" w:firstLine="720"/>
        <w:jc w:val="both"/>
        <w:rPr/>
      </w:pPr>
      <w:r>
        <w:rPr/>
        <w:t> </w:t>
      </w:r>
    </w:p>
    <w:tbl>
      <w:tblPr>
        <w:tblW w:w="5977" w:type="dxa"/>
        <w:jc w:val="left"/>
        <w:tblInd w:w="0" w:type="dxa"/>
        <w:tblLayout w:type="fixed"/>
        <w:tblCellMar>
          <w:top w:w="0" w:type="dxa"/>
          <w:left w:w="0" w:type="dxa"/>
          <w:bottom w:w="0" w:type="dxa"/>
          <w:right w:w="0" w:type="dxa"/>
        </w:tblCellMar>
      </w:tblPr>
      <w:tblGrid>
        <w:gridCol w:w="3275"/>
        <w:gridCol w:w="60"/>
        <w:gridCol w:w="241"/>
        <w:gridCol w:w="935"/>
        <w:gridCol w:w="115"/>
        <w:gridCol w:w="115"/>
        <w:gridCol w:w="241"/>
        <w:gridCol w:w="935"/>
        <w:gridCol w:w="60"/>
      </w:tblGrid>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6" w:type="dxa"/>
            <w:gridSpan w:val="2"/>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2024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76" w:type="dxa"/>
            <w:gridSpan w:val="2"/>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2023</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 beginning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Unearned Revenue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The Company leases space under non-cancellable operating leases for manufacturing facilities, research and development offices and certain storage facilities and apartments. These leases do </w:t>
      </w:r>
      <w:r>
        <w:rPr>
          <w:rStyle w:val="Emphasis"/>
          <w:rFonts w:ascii="Times New Roman" w:hAnsi="Times New Roman"/>
          <w:sz w:val="20"/>
        </w:rPr>
        <w:t>not</w:t>
      </w:r>
      <w:r>
        <w:rPr>
          <w:rFonts w:ascii="Times New Roman" w:hAnsi="Times New Roman"/>
          <w:sz w:val="20"/>
        </w:rPr>
        <w:t xml:space="preserve"> contain contingent rent provisions. The Company also leases certain machinery, office equipment and a vehicle under an operating lease.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sz w:val="20"/>
        </w:rPr>
        <w:t>one</w:t>
      </w:r>
      <w:r>
        <w:rPr>
          <w:rFonts w:ascii="Times New Roman" w:hAnsi="Times New Roman"/>
          <w:sz w:val="20"/>
        </w:rPr>
        <w:t xml:space="preserv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sz w:val="20"/>
        </w:rPr>
        <w:t>one</w:t>
      </w:r>
      <w:r>
        <w:rPr>
          <w:rFonts w:ascii="Times New Roman" w:hAnsi="Times New Roman"/>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b w:val="false"/>
          <w:sz w:val="20"/>
          <w:shd w:fill="FFFFFF" w:val="clear"/>
        </w:rPr>
        <w:t xml:space="preserve">Lease expense is included under general and administrative expenses and was </w:t>
      </w:r>
      <w:r>
        <w:rPr>
          <w:rFonts w:ascii="Times New Roman" w:hAnsi="Times New Roman"/>
          <w:b w:val="false"/>
          <w:color w:val="000000"/>
          <w:sz w:val="20"/>
          <w:shd w:fill="FFFFFF" w:val="clear"/>
        </w:rPr>
        <w:t xml:space="preserve">$0.3 million each for the </w:t>
      </w:r>
      <w:r>
        <w:rPr>
          <w:rStyle w:val="Emphasis"/>
          <w:rFonts w:ascii="Times New Roman" w:hAnsi="Times New Roman"/>
          <w:b w:val="false"/>
          <w:color w:val="000000"/>
          <w:sz w:val="20"/>
          <w:shd w:fill="FFFFFF" w:val="clear"/>
        </w:rPr>
        <w:t>three</w:t>
      </w:r>
      <w:r>
        <w:rPr>
          <w:rFonts w:ascii="Times New Roman" w:hAnsi="Times New Roman"/>
          <w:b w:val="false"/>
          <w:color w:val="000000"/>
          <w:sz w:val="20"/>
          <w:shd w:fill="FFFFFF" w:val="clear"/>
        </w:rPr>
        <w:t xml:space="preserve"> months ended </w:t>
      </w:r>
      <w:r>
        <w:rPr>
          <w:rStyle w:val="Emphasis"/>
          <w:rFonts w:ascii="Times New Roman;Times;serif" w:hAnsi="Times New Roman;Times;serif"/>
          <w:b w:val="false"/>
          <w:sz w:val="20"/>
        </w:rPr>
        <w:t xml:space="preserve">March 31, 2024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2023</w:t>
      </w:r>
      <w:r>
        <w:rPr>
          <w:rFonts w:ascii="Times New Roman" w:hAnsi="Times New Roman"/>
          <w:b w:val="false"/>
          <w:color w:val="000000"/>
          <w:sz w:val="20"/>
          <w:shd w:fill="FFFFFF" w:val="clear"/>
        </w:rPr>
        <w:t>, respectively</w:t>
      </w:r>
      <w:r>
        <w:rPr>
          <w:rFonts w:ascii="Times New Roman" w:hAnsi="Times New Roman"/>
          <w:b w:val="false"/>
          <w:color w:val="0782C1"/>
          <w:sz w:val="20"/>
          <w:shd w:fill="FFFFFF" w:val="clear"/>
        </w:rPr>
        <w:t>.</w:t>
      </w:r>
      <w:r>
        <w:rPr>
          <w:rFonts w:ascii="Times New Roman;Times;serif" w:hAnsi="Times New Roman;Times;serif"/>
          <w:b w:val="false"/>
          <w:sz w:val="20"/>
        </w:rPr>
        <w:t> </w:t>
      </w:r>
      <w:r>
        <w:rPr>
          <w:rFonts w:ascii="Times New Roman" w:hAnsi="Times New Roman"/>
          <w:b w:val="false"/>
          <w:sz w:val="20"/>
        </w:rPr>
        <w:t>The components of lease expense were as follows for the periods indicated (in thousands):</w:t>
      </w:r>
    </w:p>
    <w:p>
      <w:pPr>
        <w:pStyle w:val="TextBody"/>
        <w:bidi w:val="0"/>
        <w:spacing w:before="0" w:after="0"/>
        <w:ind w:left="0" w:right="0" w:hanging="0"/>
        <w:jc w:val="left"/>
        <w:rPr/>
      </w:pPr>
      <w:r>
        <w:rPr/>
        <w:t>  </w:t>
      </w:r>
    </w:p>
    <w:tbl>
      <w:tblPr>
        <w:tblW w:w="4777" w:type="dxa"/>
        <w:jc w:val="left"/>
        <w:tblInd w:w="0" w:type="dxa"/>
        <w:tblLayout w:type="fixed"/>
        <w:tblCellMar>
          <w:top w:w="0" w:type="dxa"/>
          <w:left w:w="0" w:type="dxa"/>
          <w:bottom w:w="0" w:type="dxa"/>
          <w:right w:w="0" w:type="dxa"/>
        </w:tblCellMar>
      </w:tblPr>
      <w:tblGrid>
        <w:gridCol w:w="2075"/>
        <w:gridCol w:w="60"/>
        <w:gridCol w:w="310"/>
        <w:gridCol w:w="832"/>
        <w:gridCol w:w="149"/>
        <w:gridCol w:w="149"/>
        <w:gridCol w:w="310"/>
        <w:gridCol w:w="832"/>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expense</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pPr>
            <w:r>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Term lease expense</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March 31, 2024</w:t>
      </w:r>
      <w:r>
        <w:rPr>
          <w:rFonts w:ascii="Times New Roman" w:hAnsi="Times New Roman"/>
          <w:sz w:val="20"/>
        </w:rPr>
        <w:t xml:space="preserve"> (in thousands):</w:t>
      </w:r>
    </w:p>
    <w:p>
      <w:pPr>
        <w:pStyle w:val="TextBody"/>
        <w:bidi w:val="0"/>
        <w:spacing w:before="0" w:after="0"/>
        <w:ind w:left="0" w:right="0" w:firstLine="720"/>
        <w:jc w:val="left"/>
        <w:rPr/>
      </w:pPr>
      <w:r>
        <w:rPr/>
        <w:t>​</w:t>
      </w:r>
    </w:p>
    <w:tbl>
      <w:tblPr>
        <w:tblW w:w="3255" w:type="dxa"/>
        <w:jc w:val="left"/>
        <w:tblInd w:w="0" w:type="dxa"/>
        <w:tblLayout w:type="fixed"/>
        <w:tblCellMar>
          <w:top w:w="0" w:type="dxa"/>
          <w:left w:w="0" w:type="dxa"/>
          <w:bottom w:w="0" w:type="dxa"/>
          <w:right w:w="0" w:type="dxa"/>
        </w:tblCellMar>
      </w:tblPr>
      <w:tblGrid>
        <w:gridCol w:w="2225"/>
        <w:gridCol w:w="60"/>
        <w:gridCol w:w="182"/>
        <w:gridCol w:w="708"/>
        <w:gridCol w:w="80"/>
      </w:tblGrid>
      <w:tr>
        <w:trPr/>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years:</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w:t>
            </w:r>
          </w:p>
        </w:tc>
        <w:tc>
          <w:tcPr>
            <w:tcW w:w="8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(remaining 9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5,896</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rPr/>
      </w:pPr>
      <w:r>
        <w:rPr/>
        <w:t>​</w:t>
      </w:r>
    </w:p>
    <w:tbl>
      <w:tblPr>
        <w:tblW w:w="8352" w:type="dxa"/>
        <w:jc w:val="left"/>
        <w:tblInd w:w="0" w:type="dxa"/>
        <w:tblLayout w:type="fixed"/>
        <w:tblCellMar>
          <w:top w:w="0" w:type="dxa"/>
          <w:left w:w="0" w:type="dxa"/>
          <w:bottom w:w="0" w:type="dxa"/>
          <w:right w:w="0" w:type="dxa"/>
        </w:tblCellMar>
      </w:tblPr>
      <w:tblGrid>
        <w:gridCol w:w="5525"/>
        <w:gridCol w:w="60"/>
        <w:gridCol w:w="137"/>
        <w:gridCol w:w="873"/>
        <w:gridCol w:w="425"/>
        <w:gridCol w:w="137"/>
        <w:gridCol w:w="137"/>
        <w:gridCol w:w="873"/>
        <w:gridCol w:w="18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42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42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18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 - financing leases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pPr>
            <w:r>
              <w:rPr>
                <w:rStyle w:val="Emphasis"/>
              </w:rPr>
              <w:t>—</w:t>
            </w:r>
          </w:p>
        </w:tc>
        <w:tc>
          <w:tcPr>
            <w:tcW w:w="42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0.58</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4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financing leases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pPr>
            <w:r>
              <w:rPr/>
              <w:t>—</w:t>
            </w:r>
          </w:p>
        </w:tc>
        <w:tc>
          <w:tcPr>
            <w:tcW w:w="42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rPr/>
      </w:pPr>
      <w:r>
        <w:rPr/>
        <w:t> </w:t>
      </w:r>
    </w:p>
    <w:tbl>
      <w:tblPr>
        <w:tblW w:w="8407" w:type="dxa"/>
        <w:jc w:val="left"/>
        <w:tblInd w:w="0" w:type="dxa"/>
        <w:tblLayout w:type="fixed"/>
        <w:tblCellMar>
          <w:top w:w="0" w:type="dxa"/>
          <w:left w:w="0" w:type="dxa"/>
          <w:bottom w:w="0" w:type="dxa"/>
          <w:right w:w="0" w:type="dxa"/>
        </w:tblCellMar>
      </w:tblPr>
      <w:tblGrid>
        <w:gridCol w:w="5705"/>
        <w:gridCol w:w="60"/>
        <w:gridCol w:w="310"/>
        <w:gridCol w:w="832"/>
        <w:gridCol w:w="149"/>
        <w:gridCol w:w="149"/>
        <w:gridCol w:w="310"/>
        <w:gridCol w:w="832"/>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4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4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3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financing lease</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financing lease</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pPr>
            <w:r>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3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rPr/>
      </w:pPr>
      <w:r>
        <w:rPr/>
        <w:t> </w:t>
      </w:r>
    </w:p>
    <w:tbl>
      <w:tblPr>
        <w:tblW w:w="9148" w:type="dxa"/>
        <w:jc w:val="left"/>
        <w:tblInd w:w="0" w:type="dxa"/>
        <w:tblLayout w:type="fixed"/>
        <w:tblCellMar>
          <w:top w:w="0" w:type="dxa"/>
          <w:left w:w="0" w:type="dxa"/>
          <w:bottom w:w="0" w:type="dxa"/>
          <w:right w:w="0" w:type="dxa"/>
        </w:tblCellMar>
      </w:tblPr>
      <w:tblGrid>
        <w:gridCol w:w="6845"/>
        <w:gridCol w:w="60"/>
        <w:gridCol w:w="155"/>
        <w:gridCol w:w="734"/>
        <w:gridCol w:w="60"/>
        <w:gridCol w:w="60"/>
        <w:gridCol w:w="204"/>
        <w:gridCol w:w="970"/>
        <w:gridCol w:w="60"/>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45,366</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Restricted cash includes guarantee deposits for customs duties, China government subsidy fund, and compensating balances associated with certain credit facilities. As of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December 31, 2023</w:t>
      </w:r>
      <w:r>
        <w:rPr>
          <w:rFonts w:ascii="Times New Roman" w:hAnsi="Times New Roman"/>
          <w:sz w:val="20"/>
        </w:rPr>
        <w:t>, there was $5.3 million and $6.5 million of restricted cash required for bank acceptance notes issued to vendors, respectively. In addition, there was $2.5 million and $2.5 million certificate of deposit associated with credit facilities with a bank in China as of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December 31, 2023</w:t>
      </w:r>
      <w:r>
        <w:rPr>
          <w:rFonts w:ascii="Times New Roman" w:hAnsi="Times New Roman"/>
          <w:sz w:val="20"/>
        </w:rPr>
        <w:t>, respectively. There was $1.1 million and $0.7 million guarantee deposits for customs duties as of </w:t>
      </w:r>
      <w:r>
        <w:rPr>
          <w:rStyle w:val="Emphasis"/>
          <w:rFonts w:ascii="Times New Roman" w:hAnsi="Times New Roman"/>
          <w:sz w:val="20"/>
        </w:rPr>
        <w:t xml:space="preserve"> March 31, 2024</w:t>
      </w:r>
      <w:r>
        <w:rPr>
          <w:rFonts w:ascii="Times New Roman" w:hAnsi="Times New Roman"/>
          <w:sz w:val="20"/>
        </w:rPr>
        <w:t xml:space="preserve"> and </w:t>
      </w:r>
      <w:r>
        <w:rPr>
          <w:rStyle w:val="Emphasis"/>
          <w:rFonts w:ascii="Times New Roman" w:hAnsi="Times New Roman"/>
          <w:sz w:val="20"/>
        </w:rPr>
        <w:t>December 31, 2023</w:t>
      </w:r>
      <w:r>
        <w:rPr>
          <w:rFonts w:ascii="Times New Roman" w:hAnsi="Times New Roman"/>
          <w:sz w:val="20"/>
        </w:rPr>
        <w:t>, respectively.</w:t>
      </w:r>
    </w:p>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bidi w:val="0"/>
        <w:spacing w:before="0" w:after="0"/>
        <w:ind w:left="0" w:right="0" w:hanging="0"/>
        <w:jc w:val="left"/>
        <w:rPr/>
      </w:pPr>
      <w:r>
        <w:rPr/>
        <w:t>​</w:t>
      </w:r>
    </w:p>
    <w:tbl>
      <w:tblPr>
        <w:tblW w:w="7558" w:type="dxa"/>
        <w:jc w:val="left"/>
        <w:tblInd w:w="0" w:type="dxa"/>
        <w:tblLayout w:type="fixed"/>
        <w:tblCellMar>
          <w:top w:w="0" w:type="dxa"/>
          <w:left w:w="0" w:type="dxa"/>
          <w:bottom w:w="0" w:type="dxa"/>
          <w:right w:w="0" w:type="dxa"/>
        </w:tblCellMar>
      </w:tblPr>
      <w:tblGrid>
        <w:gridCol w:w="4835"/>
        <w:gridCol w:w="60"/>
        <w:gridCol w:w="191"/>
        <w:gridCol w:w="994"/>
        <w:gridCol w:w="122"/>
        <w:gridCol w:w="91"/>
        <w:gridCol w:w="191"/>
        <w:gridCol w:w="994"/>
        <w:gridCol w:w="80"/>
      </w:tblGrid>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18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18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1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ind w:left="0" w:right="0" w:hanging="0"/>
              <w:jc w:val="left"/>
              <w:rPr/>
            </w:pPr>
            <w:r>
              <w:rPr/>
              <w:t> </w:t>
            </w:r>
          </w:p>
        </w:tc>
        <w:tc>
          <w:tcPr>
            <w:tcW w:w="118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18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38,362</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28,872</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38,362</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28,872</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18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18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1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1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firstLine="720"/>
        <w:jc w:val="left"/>
        <w:rPr/>
      </w:pPr>
      <w:r>
        <w:rPr/>
        <w:t> </w:t>
      </w:r>
    </w:p>
    <w:tbl>
      <w:tblPr>
        <w:tblW w:w="5514" w:type="dxa"/>
        <w:jc w:val="left"/>
        <w:tblInd w:w="0" w:type="dxa"/>
        <w:tblLayout w:type="fixed"/>
        <w:tblCellMar>
          <w:top w:w="0" w:type="dxa"/>
          <w:left w:w="0" w:type="dxa"/>
          <w:bottom w:w="0" w:type="dxa"/>
          <w:right w:w="0" w:type="dxa"/>
        </w:tblCellMar>
      </w:tblPr>
      <w:tblGrid>
        <w:gridCol w:w="2810"/>
        <w:gridCol w:w="60"/>
        <w:gridCol w:w="128"/>
        <w:gridCol w:w="1036"/>
        <w:gridCol w:w="128"/>
        <w:gridCol w:w="128"/>
        <w:gridCol w:w="128"/>
        <w:gridCol w:w="1036"/>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stock options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3,128</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for convertible senior notes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antidilutive shares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8,392</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of inventory write-downs, consist of the following for the periods indicated (in thousands):​</w:t>
      </w:r>
    </w:p>
    <w:p>
      <w:pPr>
        <w:pStyle w:val="TextBody"/>
        <w:bidi w:val="0"/>
        <w:spacing w:before="0" w:after="0"/>
        <w:ind w:left="0" w:right="0" w:firstLine="720"/>
        <w:jc w:val="left"/>
        <w:rPr/>
      </w:pPr>
      <w:r>
        <w:rPr/>
        <w:t> </w:t>
      </w:r>
    </w:p>
    <w:tbl>
      <w:tblPr>
        <w:tblW w:w="6158" w:type="dxa"/>
        <w:jc w:val="left"/>
        <w:tblInd w:w="0" w:type="dxa"/>
        <w:tblLayout w:type="fixed"/>
        <w:tblCellMar>
          <w:top w:w="0" w:type="dxa"/>
          <w:left w:w="0" w:type="dxa"/>
          <w:bottom w:w="0" w:type="dxa"/>
          <w:right w:w="0" w:type="dxa"/>
        </w:tblCellMar>
      </w:tblPr>
      <w:tblGrid>
        <w:gridCol w:w="2930"/>
        <w:gridCol w:w="60"/>
        <w:gridCol w:w="216"/>
        <w:gridCol w:w="1123"/>
        <w:gridCol w:w="80"/>
        <w:gridCol w:w="60"/>
        <w:gridCol w:w="259"/>
        <w:gridCol w:w="1350"/>
        <w:gridCol w:w="80"/>
      </w:tblGrid>
      <w:tr>
        <w:trPr/>
        <w:tc>
          <w:tcPr>
            <w:tcW w:w="29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22,128</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33,792</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22,452</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inventory</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160" w:right="0" w:firstLine="54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the inventory reserve adjustment expensed for inventory was $1.6 million, and $2.6 million, respectively.</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the direct inventory write-offs related to scrap, discontinued products, and damaged inventories were $0.9 million and $3.8 million, respectively.</w:t>
      </w:r>
    </w:p>
    <w:p>
      <w:pPr>
        <w:pStyle w:val="TextBody"/>
        <w:bidi w:val="0"/>
        <w:spacing w:before="0" w:after="0"/>
        <w:ind w:left="160" w:right="0" w:firstLine="540"/>
        <w:jc w:val="left"/>
        <w:rPr>
          <w:caps w:val="false"/>
          <w:smallCaps w:val="false"/>
        </w:rPr>
      </w:pPr>
      <w:r>
        <w:rPr>
          <w:caps w:val="false"/>
          <w:smallCaps w:val="false"/>
        </w:rPr>
        <w:t xml:space="preserve">    </w:t>
      </w:r>
      <w:r>
        <w:rPr>
          <w:caps w:val="false"/>
          <w:smallCaps w:val="false"/>
          <w:shd w:fill="FFFFFF" w:val="clear"/>
        </w:rPr>
        <w:t xml:space="preserve">​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rPr/>
      </w:pPr>
      <w:r>
        <w:rPr/>
        <w:t>​</w:t>
      </w:r>
    </w:p>
    <w:tbl>
      <w:tblPr>
        <w:tblW w:w="6533" w:type="dxa"/>
        <w:jc w:val="left"/>
        <w:tblInd w:w="0" w:type="dxa"/>
        <w:tblLayout w:type="fixed"/>
        <w:tblCellMar>
          <w:top w:w="0" w:type="dxa"/>
          <w:left w:w="0" w:type="dxa"/>
          <w:bottom w:w="0" w:type="dxa"/>
          <w:right w:w="0" w:type="dxa"/>
        </w:tblCellMar>
      </w:tblPr>
      <w:tblGrid>
        <w:gridCol w:w="3305"/>
        <w:gridCol w:w="60"/>
        <w:gridCol w:w="190"/>
        <w:gridCol w:w="1149"/>
        <w:gridCol w:w="80"/>
        <w:gridCol w:w="60"/>
        <w:gridCol w:w="228"/>
        <w:gridCol w:w="1381"/>
        <w:gridCol w:w="80"/>
      </w:tblGrid>
      <w:tr>
        <w:trPr/>
        <w:tc>
          <w:tcPr>
            <w:tcW w:w="33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86,534</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257,842</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12,059</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363,363</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169,277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29,939</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the depreciation expense of property, plant and equipment wa</w:t>
      </w:r>
      <w:r>
        <w:rPr>
          <w:rFonts w:ascii="Times New Roman;Times;serif" w:hAnsi="Times New Roman;Times;serif"/>
          <w:sz w:val="20"/>
          <w:shd w:fill="FFFFFF" w:val="clear"/>
        </w:rPr>
        <w:t xml:space="preserve">s $4.9 million </w:t>
      </w:r>
      <w:r>
        <w:rPr>
          <w:rFonts w:ascii="Times New Roman;Times;serif" w:hAnsi="Times New Roman;Times;serif"/>
          <w:sz w:val="20"/>
        </w:rPr>
        <w:t>and $5.2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2024</w:t>
      </w:r>
      <w:r>
        <w:rPr>
          <w:rFonts w:ascii="Times New Roman;Times;serif" w:hAnsi="Times New Roman;Times;serif"/>
          <w:i/>
          <w:sz w:val="20"/>
        </w:rPr>
        <w:t xml:space="preserve">, </w:t>
      </w:r>
      <w:r>
        <w:rPr>
          <w:rFonts w:ascii="Times New Roman;Times;serif" w:hAnsi="Times New Roman;Times;serif"/>
          <w:sz w:val="20"/>
        </w:rPr>
        <w:t xml:space="preserve">the Company concluded that its continued loss history constitutes a triggering event as described in ASC </w:t>
      </w:r>
      <w:r>
        <w:rPr>
          <w:rStyle w:val="Emphasis"/>
          <w:rFonts w:ascii="Times New Roman;Times;serif" w:hAnsi="Times New Roman;Times;serif"/>
          <w:i/>
          <w:sz w:val="20"/>
        </w:rPr>
        <w:t>360</w:t>
      </w:r>
      <w:r>
        <w:rPr>
          <w:rFonts w:ascii="Times New Roman;Times;serif" w:hAnsi="Times New Roman;Times;serif"/>
          <w:sz w:val="20"/>
        </w:rPr>
        <w:t>-</w:t>
      </w:r>
      <w:r>
        <w:rPr>
          <w:rStyle w:val="Emphasis"/>
          <w:rFonts w:ascii="Times New Roman;Times;serif" w:hAnsi="Times New Roman;Times;serif"/>
          <w:i/>
          <w:sz w:val="20"/>
        </w:rPr>
        <w:t>10</w:t>
      </w:r>
      <w:r>
        <w:rPr>
          <w:rFonts w:ascii="Times New Roman;Times;serif" w:hAnsi="Times New Roman;Times;serif"/>
          <w:sz w:val="20"/>
        </w:rPr>
        <w:t>-</w:t>
      </w:r>
      <w:r>
        <w:rPr>
          <w:rStyle w:val="Emphasis"/>
          <w:rFonts w:ascii="Times New Roman;Times;serif" w:hAnsi="Times New Roman;Times;serif"/>
          <w:i/>
          <w:sz w:val="20"/>
        </w:rPr>
        <w:t>35</w:t>
      </w:r>
      <w:r>
        <w:rPr>
          <w:rFonts w:ascii="Times New Roman;Times;serif" w:hAnsi="Times New Roman;Times;serif"/>
          <w:sz w:val="20"/>
        </w:rPr>
        <w:t>-</w:t>
      </w:r>
      <w:r>
        <w:rPr>
          <w:rStyle w:val="Emphasis"/>
          <w:rFonts w:ascii="Times New Roman;Times;serif" w:hAnsi="Times New Roman;Times;serif"/>
          <w:i/>
          <w:sz w:val="20"/>
        </w:rPr>
        <w:t>21,</w:t>
      </w:r>
      <w:r>
        <w:rPr>
          <w:rFonts w:ascii="Times New Roman;Times;serif" w:hAnsi="Times New Roman;Times;serif"/>
          <w:i/>
          <w:sz w:val="20"/>
        </w:rPr>
        <w:t>Property, Plant, and Equipment</w:t>
      </w:r>
      <w:r>
        <w:rPr>
          <w:rFonts w:ascii="Times New Roman;Times;serif" w:hAnsi="Times New Roman;Times;serif"/>
          <w:sz w:val="20"/>
        </w:rPr>
        <w:t xml:space="preserve">.  The Company performed a recoverability test and concluded that future undiscounted cash flows exceed the carrying amount of the Company’s long-lived assets and therefore </w:t>
      </w:r>
      <w:r>
        <w:rPr>
          <w:rStyle w:val="Emphasis"/>
          <w:rFonts w:ascii="Times New Roman;Times;serif" w:hAnsi="Times New Roman;Times;serif"/>
          <w:sz w:val="20"/>
        </w:rPr>
        <w:t>no</w:t>
      </w:r>
      <w:r>
        <w:rPr>
          <w:rFonts w:ascii="Times New Roman;Times;serif" w:hAnsi="Times New Roman;Times;serif"/>
          <w:sz w:val="20"/>
        </w:rPr>
        <w:t xml:space="preserve"> impairment charge was recorded.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rPr/>
      </w:pPr>
      <w:r>
        <w:rPr/>
        <w:t>​</w:t>
      </w:r>
    </w:p>
    <w:tbl>
      <w:tblPr>
        <w:tblW w:w="4915" w:type="dxa"/>
        <w:jc w:val="left"/>
        <w:tblInd w:w="0" w:type="dxa"/>
        <w:tblLayout w:type="fixed"/>
        <w:tblCellMar>
          <w:top w:w="0" w:type="dxa"/>
          <w:left w:w="0" w:type="dxa"/>
          <w:bottom w:w="0" w:type="dxa"/>
          <w:right w:w="0" w:type="dxa"/>
        </w:tblCellMar>
      </w:tblPr>
      <w:tblGrid>
        <w:gridCol w:w="1850"/>
        <w:gridCol w:w="60"/>
        <w:gridCol w:w="139"/>
        <w:gridCol w:w="541"/>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15" w:type="dxa"/>
        <w:jc w:val="left"/>
        <w:tblInd w:w="0" w:type="dxa"/>
        <w:tblLayout w:type="fixed"/>
        <w:tblCellMar>
          <w:top w:w="0" w:type="dxa"/>
          <w:left w:w="0" w:type="dxa"/>
          <w:bottom w:w="0" w:type="dxa"/>
          <w:right w:w="0" w:type="dxa"/>
        </w:tblCellMar>
      </w:tblPr>
      <w:tblGrid>
        <w:gridCol w:w="1850"/>
        <w:gridCol w:w="60"/>
        <w:gridCol w:w="139"/>
        <w:gridCol w:w="541"/>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amortization expense for intangible assets, included in general and administrative expenses on the statement of operations, was $0.1 million and $0.2 million, respectively. The remaining weighted average amortization period for intangible assets is approxi</w:t>
      </w:r>
      <w:r>
        <w:rPr>
          <w:rFonts w:ascii="Times New Roman;Times;serif" w:hAnsi="Times New Roman;Times;serif"/>
          <w:sz w:val="20"/>
          <w:shd w:fill="FFFFFF" w:val="clear"/>
        </w:rPr>
        <w:t>mately 7 years.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March 31, 2024</w:t>
      </w:r>
      <w:r>
        <w:rPr>
          <w:rFonts w:ascii="Times New Roman;Times;serif" w:hAnsi="Times New Roman;Times;serif"/>
          <w:sz w:val="20"/>
        </w:rPr>
        <w:t xml:space="preserve">, future amortization expenses for intangible assets for future </w:t>
      </w:r>
      <w:r>
        <w:rPr>
          <w:rStyle w:val="Emphasis"/>
          <w:rFonts w:ascii="Times New Roman;Times;serif" w:hAnsi="Times New Roman;Times;serif"/>
          <w:sz w:val="20"/>
        </w:rPr>
        <w:t>one</w:t>
      </w:r>
      <w:r>
        <w:rPr>
          <w:rFonts w:ascii="Times New Roman;Times;serif" w:hAnsi="Times New Roman;Times;serif"/>
          <w:sz w:val="20"/>
        </w:rPr>
        <w:t xml:space="preserve"> year periods are estimated to be (in thousands):</w:t>
      </w:r>
    </w:p>
    <w:p>
      <w:pPr>
        <w:pStyle w:val="TextBody"/>
        <w:bidi w:val="0"/>
        <w:spacing w:before="0" w:after="0"/>
        <w:ind w:left="0" w:right="0" w:firstLine="720"/>
        <w:jc w:val="left"/>
        <w:rPr/>
      </w:pPr>
      <w:r>
        <w:rPr/>
        <w:t> </w:t>
      </w:r>
    </w:p>
    <w:tbl>
      <w:tblPr>
        <w:tblW w:w="2910" w:type="dxa"/>
        <w:jc w:val="left"/>
        <w:tblInd w:w="0" w:type="dxa"/>
        <w:tblLayout w:type="fixed"/>
        <w:tblCellMar>
          <w:top w:w="0" w:type="dxa"/>
          <w:left w:w="0" w:type="dxa"/>
          <w:bottom w:w="0" w:type="dxa"/>
          <w:right w:w="0" w:type="dxa"/>
        </w:tblCellMar>
      </w:tblPr>
      <w:tblGrid>
        <w:gridCol w:w="2180"/>
        <w:gridCol w:w="60"/>
        <w:gridCol w:w="125"/>
        <w:gridCol w:w="485"/>
        <w:gridCol w:w="60"/>
      </w:tblGrid>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2024(remaining 9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 xml:space="preserve"> March 31, 2024</w:t>
      </w:r>
      <w:r>
        <w:rPr>
          <w:rFonts w:ascii="Times New Roman;Times;serif" w:hAnsi="Times New Roman;Times;serif"/>
          <w:sz w:val="20"/>
        </w:rPr>
        <w:t xml:space="preserve"> was $92.9 million and $76.3 million, respectively. As of </w:t>
      </w:r>
      <w:r>
        <w:rPr>
          <w:rStyle w:val="Emphasis"/>
          <w:rFonts w:ascii="Times New Roman;Times;serif" w:hAnsi="Times New Roman;Times;serif"/>
          <w:sz w:val="20"/>
        </w:rPr>
        <w:t>December 31, 2023</w:t>
      </w:r>
      <w:r>
        <w:rPr>
          <w:rFonts w:ascii="Times New Roman;Times;serif" w:hAnsi="Times New Roman;Times;serif"/>
          <w:sz w:val="20"/>
        </w:rPr>
        <w:t xml:space="preserve">, the fair value and carrying amount of our convertible senior notes were $76.5 million. The fair value is based on observable market prices for this debt, which is traded in less active markets and are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w:t>
      </w:r>
    </w:p>
    <w:p>
      <w:pPr>
        <w:pStyle w:val="TextBody"/>
        <w:bidi w:val="0"/>
        <w:spacing w:before="0" w:after="0"/>
        <w:ind w:left="0" w:right="144" w:firstLine="72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370"/>
        <w:gridCol w:w="60"/>
        <w:gridCol w:w="189"/>
        <w:gridCol w:w="982"/>
        <w:gridCol w:w="80"/>
        <w:gridCol w:w="60"/>
        <w:gridCol w:w="222"/>
        <w:gridCol w:w="1160"/>
        <w:gridCol w:w="82"/>
      </w:tblGrid>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82"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Revolving line of credit with a China bank up to $25.37 million with interest from 4.35% to 4.57%, maturing May 24, 2024</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12,608</w:t>
            </w:r>
          </w:p>
        </w:tc>
        <w:tc>
          <w:tcPr>
            <w:tcW w:w="82"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 with a China bank up to $28.19 million with interest of 4.35%, maturing June 6, 2027</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10,589</w:t>
            </w:r>
          </w:p>
        </w:tc>
        <w:tc>
          <w:tcPr>
            <w:tcW w:w="82"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23,197</w:t>
            </w:r>
          </w:p>
        </w:tc>
        <w:tc>
          <w:tcPr>
            <w:tcW w:w="82"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118" w:type="dxa"/>
        <w:jc w:val="left"/>
        <w:tblInd w:w="0" w:type="dxa"/>
        <w:tblLayout w:type="fixed"/>
        <w:tblCellMar>
          <w:top w:w="0" w:type="dxa"/>
          <w:left w:w="0" w:type="dxa"/>
          <w:bottom w:w="28" w:type="dxa"/>
          <w:right w:w="0" w:type="dxa"/>
        </w:tblCellMar>
      </w:tblPr>
      <w:tblGrid>
        <w:gridCol w:w="5915"/>
        <w:gridCol w:w="60"/>
        <w:gridCol w:w="100"/>
        <w:gridCol w:w="1239"/>
        <w:gridCol w:w="60"/>
        <w:gridCol w:w="60"/>
        <w:gridCol w:w="120"/>
        <w:gridCol w:w="1489"/>
        <w:gridCol w:w="75"/>
      </w:tblGrid>
      <w:tr>
        <w:trPr/>
        <w:tc>
          <w:tcPr>
            <w:tcW w:w="591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 Acceptance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9" w:type="dxa"/>
            <w:gridSpan w:val="2"/>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9" w:type="dxa"/>
            <w:gridSpan w:val="2"/>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notes issued to vendors with a zero percent interest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$ 10,712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489"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$ 15,482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current portion of long-term debt is the amount payable within </w:t>
      </w:r>
      <w:r>
        <w:rPr>
          <w:rStyle w:val="Emphasis"/>
          <w:rFonts w:ascii="Times New Roman;Times;serif" w:hAnsi="Times New Roman;Times;serif"/>
          <w:sz w:val="20"/>
        </w:rPr>
        <w:t>one</w:t>
      </w:r>
      <w:r>
        <w:rPr>
          <w:rFonts w:ascii="Times New Roman;Times;serif" w:hAnsi="Times New Roman;Times;serif"/>
          <w:sz w:val="20"/>
        </w:rPr>
        <w:t xml:space="preserve"> year of the balance sheet date of </w:t>
      </w:r>
      <w:r>
        <w:rPr>
          <w:rStyle w:val="Emphasis"/>
          <w:rFonts w:ascii="Times New Roman;Times;serif" w:hAnsi="Times New Roman;Times;serif"/>
          <w:sz w:val="20"/>
        </w:rPr>
        <w:t>March 31, 2024</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Maturities of long-term debt are as follows for the future </w:t>
      </w:r>
      <w:r>
        <w:rPr>
          <w:rStyle w:val="Emphasis"/>
          <w:rFonts w:ascii="Times New Roman;Times;serif" w:hAnsi="Times New Roman;Times;serif"/>
          <w:sz w:val="20"/>
        </w:rPr>
        <w:t>one</w:t>
      </w:r>
      <w:r>
        <w:rPr>
          <w:rFonts w:ascii="Times New Roman;Times;serif" w:hAnsi="Times New Roman;Times;serif"/>
          <w:sz w:val="20"/>
        </w:rPr>
        <w:t>-year periods ending </w:t>
      </w:r>
      <w:r>
        <w:rPr>
          <w:rStyle w:val="Emphasis"/>
          <w:rFonts w:ascii="Times New Roman;Times;serif" w:hAnsi="Times New Roman;Times;serif"/>
          <w:sz w:val="20"/>
        </w:rPr>
        <w:t xml:space="preserve"> March 31, 2024</w:t>
      </w:r>
      <w:r>
        <w:rPr>
          <w:rFonts w:ascii="Times New Roman;Times;serif" w:hAnsi="Times New Roman;Times;serif"/>
          <w:sz w:val="20"/>
        </w:rPr>
        <w:t xml:space="preserve"> (in thousands):</w:t>
      </w:r>
    </w:p>
    <w:p>
      <w:pPr>
        <w:pStyle w:val="TextBody"/>
        <w:bidi w:val="0"/>
        <w:spacing w:before="0" w:after="0"/>
        <w:ind w:left="0" w:right="0" w:firstLine="720"/>
        <w:jc w:val="left"/>
        <w:rPr/>
      </w:pPr>
      <w:r>
        <w:rPr/>
        <w:t>​</w:t>
      </w:r>
    </w:p>
    <w:tbl>
      <w:tblPr>
        <w:tblW w:w="2310" w:type="dxa"/>
        <w:jc w:val="left"/>
        <w:tblInd w:w="0" w:type="dxa"/>
        <w:tblLayout w:type="fixed"/>
        <w:tblCellMar>
          <w:top w:w="0" w:type="dxa"/>
          <w:left w:w="0" w:type="dxa"/>
          <w:bottom w:w="0" w:type="dxa"/>
          <w:right w:w="0" w:type="dxa"/>
        </w:tblCellMar>
      </w:tblPr>
      <w:tblGrid>
        <w:gridCol w:w="1475"/>
        <w:gridCol w:w="60"/>
        <w:gridCol w:w="125"/>
        <w:gridCol w:w="590"/>
        <w:gridCol w:w="60"/>
      </w:tblGrid>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24,129</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Beyond one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outstanding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the Company’s China subsidiary, Global, entered into a five-year revolving credit line agreement, totaling 180,000,000 RMB (the "SPD Credit Line"), or approximately $25.4 million at that time, and a mortgage security agreement (the "Security Agreement"), with Shanghai Pudong Development Bank Co., Ltd ("SPD"). Borrowing under the SPD Credit Line will be used for general corporate and capital investment purposes, including the issuance of bank acceptance notes to Global’s vendors.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SPD Credit Line on an as-needed basis at any time during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-year term; however, draws under the SPD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$11.4 million was outstanding under the SPD Credit Line and the outstanding balance of bank acceptance notes issued to vendors was $525 thousand.</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 xml:space="preserve">the Company's China Subsidiary, Global, entered a security agreement with China Zheshang Bank in Ningbo City, China ("CZB") for a five-year credit line agreement, totaling 200,000,000 RMB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or approximately $29.9 million at that time.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between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6, 2027 ("¥200M</w:t>
      </w:r>
      <w:r>
        <w:rPr>
          <w:rFonts w:ascii="Times New Roman" w:hAnsi="Times New Roman"/>
          <w:caps w:val="false"/>
          <w:smallCaps w:val="false"/>
          <w:sz w:val="20"/>
        </w:rPr>
        <w:t xml:space="preserve"> Credit Period"). During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Period,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to draw upon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on an as-needed basis; however, draws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will be secured by real property owned by Global and mortgaged to CZB under the terms of the Real Estate Security Agreement. On </w:t>
      </w:r>
      <w:r>
        <w:rPr>
          <w:rStyle w:val="Emphasis"/>
          <w:rFonts w:ascii="Times New Roman" w:hAnsi="Times New Roman"/>
          <w:caps w:val="false"/>
          <w:smallCaps w:val="false"/>
          <w:sz w:val="20"/>
        </w:rPr>
        <w:t xml:space="preserve">December 21, 2023, </w:t>
      </w:r>
      <w:r>
        <w:rPr>
          <w:rFonts w:ascii="Times New Roman" w:hAnsi="Times New Roman"/>
          <w:caps w:val="false"/>
          <w:smallCaps w:val="false"/>
          <w:sz w:val="20"/>
        </w:rPr>
        <w:t xml:space="preserve">Global entered into an asset pool business cooperation agreement ("Asset Pool Agreement") and an asset pool pledge contract ("Pledge Contract") (referred to collectively as the Pledge Asset Line"), with CZB, which supplements the existing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The Pledge Asset Line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constitute a new credit line or an increase to the existing credit limits.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Pledge Asset Line between </w:t>
      </w:r>
      <w:r>
        <w:rPr>
          <w:rStyle w:val="Emphasis"/>
          <w:rFonts w:ascii="Times New Roman" w:hAnsi="Times New Roman"/>
          <w:caps w:val="false"/>
          <w:smallCaps w:val="false"/>
          <w:sz w:val="20"/>
        </w:rPr>
        <w:t xml:space="preserve">December 21,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21, 2025 (</w:t>
      </w:r>
      <w:r>
        <w:rPr>
          <w:rFonts w:ascii="Times New Roman" w:hAnsi="Times New Roman"/>
          <w:caps w:val="false"/>
          <w:smallCaps w:val="false"/>
          <w:sz w:val="20"/>
        </w:rPr>
        <w:t xml:space="preserve">"Asset Pool Period"). During the Asset Pool Period,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to draw upon the Pledge Asset Line on an as-needed bases; however, amount of available credit under the Pledge Asset Line and approval of each draw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reduced or declined by CZB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Pledge Asset Line will be secured by certain financial assets,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deposit receipts, domestic accounts receivable and electronic commercial paper.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$12.7 million was outstanding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and the outstanding balance of bank acceptance notes issued to vendors was $10.2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As of </w:t>
      </w:r>
      <w:r>
        <w:rPr>
          <w:rStyle w:val="Emphasis"/>
          <w:rFonts w:ascii="Times New Roman;Times;serif" w:hAnsi="Times New Roman;Times;serif"/>
          <w:sz w:val="20"/>
        </w:rPr>
        <w:t xml:space="preserve"> March 31, 2024</w:t>
      </w:r>
      <w:r>
        <w:rPr>
          <w:rFonts w:ascii="Times New Roman;Times;serif" w:hAnsi="Times New Roman;Times;serif"/>
          <w:sz w:val="20"/>
          <w:shd w:fill="FFFFFF" w:val="clear"/>
        </w:rPr>
        <w:t xml:space="preserve"> and </w:t>
      </w:r>
      <w:r>
        <w:rPr>
          <w:rStyle w:val="Emphasis"/>
          <w:rFonts w:ascii="Times New Roman;Times;serif" w:hAnsi="Times New Roman;Times;serif"/>
          <w:sz w:val="20"/>
        </w:rPr>
        <w:t>December 31, 2023</w:t>
      </w:r>
      <w:r>
        <w:rPr>
          <w:rFonts w:ascii="Times New Roman;Times;serif" w:hAnsi="Times New Roman;Times;serif"/>
          <w:sz w:val="20"/>
          <w:shd w:fill="FFFFFF" w:val="clear"/>
        </w:rPr>
        <w:t>, the Company had $</w:t>
      </w:r>
      <w:r>
        <w:rPr>
          <w:rFonts w:ascii="Times New Roman;Times;serif" w:hAnsi="Times New Roman;Times;serif"/>
          <w:color w:val="000000"/>
          <w:sz w:val="20"/>
          <w:shd w:fill="FFFFFF" w:val="clear"/>
        </w:rPr>
        <w:t>29.4</w:t>
      </w:r>
      <w:r>
        <w:rPr>
          <w:rFonts w:ascii="Times New Roman;Times;serif" w:hAnsi="Times New Roman;Times;serif"/>
          <w:color w:val="FF0000"/>
          <w:sz w:val="20"/>
        </w:rPr>
        <w:t> </w:t>
      </w:r>
      <w:r>
        <w:rPr>
          <w:rFonts w:ascii="Times New Roman;Times;serif" w:hAnsi="Times New Roman;Times;serif"/>
          <w:sz w:val="20"/>
        </w:rPr>
        <w:t>million and $22.5 </w:t>
      </w:r>
      <w:r>
        <w:rPr>
          <w:rFonts w:ascii="Times New Roman;Times;serif" w:hAnsi="Times New Roman;Times;serif"/>
          <w:sz w:val="20"/>
          <w:shd w:fill="FFFFFF" w:val="clear"/>
        </w:rPr>
        <w:t>million of unused borrowing capacity,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As of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w:t>
      </w:r>
      <w:r>
        <w:rPr>
          <w:rStyle w:val="Emphasis"/>
          <w:rFonts w:ascii="Times New Roman;Times;serif" w:hAnsi="Times New Roman;Times;serif"/>
          <w:sz w:val="20"/>
        </w:rPr>
        <w:t>December 31, 2023</w:t>
      </w:r>
      <w:r>
        <w:rPr>
          <w:rFonts w:ascii="Times New Roman;Times;serif" w:hAnsi="Times New Roman;Times;serif"/>
          <w:sz w:val="20"/>
        </w:rPr>
        <w:t xml:space="preserve">, there </w:t>
      </w:r>
      <w:r>
        <w:rPr>
          <w:rFonts w:ascii="Times New Roman;Times;serif" w:hAnsi="Times New Roman;Times;serif"/>
          <w:sz w:val="20"/>
          <w:shd w:fill="FFFFFF" w:val="clear"/>
        </w:rPr>
        <w:t xml:space="preserve">was </w:t>
      </w:r>
      <w:r>
        <w:rPr>
          <w:rFonts w:ascii="Times New Roman;Times;serif" w:hAnsi="Times New Roman;Times;serif"/>
          <w:color w:val="000000"/>
          <w:sz w:val="20"/>
          <w:shd w:fill="FFFFFF" w:val="clear"/>
        </w:rPr>
        <w:t>$9</w:t>
      </w:r>
      <w:r>
        <w:rPr>
          <w:rFonts w:ascii="Times New Roman;Times;serif" w:hAnsi="Times New Roman;Times;serif"/>
          <w:sz w:val="20"/>
          <w:shd w:fill="FFFFFF" w:val="clear"/>
        </w:rPr>
        <w:t> million and $9.7 million of restricted cash, investme</w:t>
      </w:r>
      <w:r>
        <w:rPr>
          <w:rFonts w:ascii="Times New Roman;Times;serif" w:hAnsi="Times New Roman;Times;serif"/>
          <w:sz w:val="20"/>
        </w:rPr>
        <w:t>nts or security deposits associated with the loan facilities, respectively.</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5, 2019, </w:t>
      </w:r>
      <w:r>
        <w:rPr>
          <w:rFonts w:ascii="Times New Roman" w:hAnsi="Times New Roman"/>
          <w:caps w:val="false"/>
          <w:smallCaps w:val="false"/>
          <w:sz w:val="20"/>
        </w:rPr>
        <w:t>the Company issued $80.5 million of 5% convertible senior notes due </w:t>
      </w:r>
      <w:r>
        <w:rPr>
          <w:rStyle w:val="Emphasis"/>
          <w:rFonts w:ascii="Times New Roman" w:hAnsi="Times New Roman"/>
          <w:caps w:val="false"/>
          <w:smallCaps w:val="false"/>
          <w:sz w:val="20"/>
        </w:rPr>
        <w:t>2024</w:t>
      </w:r>
      <w:r>
        <w:rPr>
          <w:rFonts w:ascii="Times New Roman" w:hAnsi="Times New Roman"/>
          <w:caps w:val="false"/>
          <w:smallCaps w:val="false"/>
          <w:sz w:val="20"/>
        </w:rPr>
        <w:t> (the </w:t>
      </w:r>
      <w:r>
        <w:rPr>
          <w:rStyle w:val="Emphasis"/>
          <w:rFonts w:ascii="Times New Roman" w:hAnsi="Times New Roman"/>
          <w:caps w:val="false"/>
          <w:smallCaps w:val="false"/>
          <w:sz w:val="20"/>
        </w:rPr>
        <w:t>“2024</w:t>
      </w:r>
      <w:r>
        <w:rPr>
          <w:rFonts w:ascii="Times New Roman" w:hAnsi="Times New Roman"/>
          <w:caps w:val="false"/>
          <w:smallCaps w:val="false"/>
          <w:sz w:val="20"/>
        </w:rPr>
        <w:t> Notes”). On </w:t>
      </w:r>
      <w:r>
        <w:rPr>
          <w:rStyle w:val="Emphasis"/>
          <w:rFonts w:ascii="Times New Roman" w:hAnsi="Times New Roman"/>
          <w:caps w:val="false"/>
          <w:smallCaps w:val="false"/>
          <w:sz w:val="20"/>
        </w:rPr>
        <w:t xml:space="preserve"> December 5, 2023, </w:t>
      </w:r>
      <w:r>
        <w:rPr>
          <w:rFonts w:ascii="Times New Roman" w:hAnsi="Times New Roman"/>
          <w:caps w:val="false"/>
          <w:smallCaps w:val="false"/>
          <w:sz w:val="20"/>
        </w:rPr>
        <w:t>the Company issued approximately $80.2 million aggregate principal amount of 5.250% convertible senior notes due </w:t>
      </w:r>
      <w:r>
        <w:rPr>
          <w:rStyle w:val="Emphasis"/>
          <w:rFonts w:ascii="Times New Roman" w:hAnsi="Times New Roman"/>
          <w:caps w:val="false"/>
          <w:smallCaps w:val="false"/>
          <w:sz w:val="20"/>
        </w:rPr>
        <w:t>2026</w:t>
      </w:r>
      <w:r>
        <w:rPr>
          <w:rFonts w:ascii="Times New Roman" w:hAnsi="Times New Roman"/>
          <w:caps w:val="false"/>
          <w:smallCaps w:val="false"/>
          <w:sz w:val="20"/>
        </w:rPr>
        <w:t>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on the same day consummated various separate, privately negotiated exchange agreements with certain holders of its </w:t>
      </w:r>
      <w:r>
        <w:rPr>
          <w:rStyle w:val="Emphasis"/>
          <w:rFonts w:ascii="Times New Roman" w:hAnsi="Times New Roman"/>
          <w:caps w:val="false"/>
          <w:smallCaps w:val="false"/>
          <w:sz w:val="20"/>
        </w:rPr>
        <w:t>2024</w:t>
      </w:r>
      <w:r>
        <w:rPr>
          <w:rFonts w:ascii="Times New Roman" w:hAnsi="Times New Roman"/>
          <w:caps w:val="false"/>
          <w:smallCaps w:val="false"/>
          <w:sz w:val="20"/>
        </w:rPr>
        <w:t> Notes to exchange or repurchase approximately $80.2 million principal amount of the </w:t>
      </w:r>
      <w:r>
        <w:rPr>
          <w:rStyle w:val="Emphasis"/>
          <w:rFonts w:ascii="Times New Roman" w:hAnsi="Times New Roman"/>
          <w:caps w:val="false"/>
          <w:smallCaps w:val="false"/>
          <w:sz w:val="20"/>
        </w:rPr>
        <w:t>2024</w:t>
      </w:r>
      <w:r>
        <w:rPr>
          <w:rFonts w:ascii="Times New Roman" w:hAnsi="Times New Roman"/>
          <w:caps w:val="false"/>
          <w:smallCaps w:val="false"/>
          <w:sz w:val="20"/>
        </w:rPr>
        <w:t> Notes for aggregate consideration consisting of approximately $81.1 million in cash, which included accrued interest on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Notes, and approximately 466,368 shares of the Company's common stock, par value $0.001 per share. </w:t>
      </w:r>
      <w:r>
        <w:rPr>
          <w:rFonts w:ascii="Times New Roman" w:hAnsi="Times New Roman"/>
          <w:caps w:val="false"/>
          <w:smallCaps w:val="false"/>
          <w:color w:val="000000"/>
          <w:sz w:val="20"/>
        </w:rPr>
        <w:t xml:space="preserve">The Company paid off the remaining $0.29 million of the </w:t>
      </w:r>
      <w:r>
        <w:rPr>
          <w:rStyle w:val="Emphasis"/>
          <w:rFonts w:ascii="Times New Roman" w:hAnsi="Times New Roman"/>
          <w:caps w:val="false"/>
          <w:smallCaps w:val="false"/>
          <w:color w:val="000000"/>
          <w:sz w:val="20"/>
        </w:rPr>
        <w:t>2024</w:t>
      </w:r>
      <w:r>
        <w:rPr>
          <w:rFonts w:ascii="Times New Roman" w:hAnsi="Times New Roman"/>
          <w:caps w:val="false"/>
          <w:smallCaps w:val="false"/>
          <w:color w:val="000000"/>
          <w:sz w:val="20"/>
        </w:rPr>
        <w:t xml:space="preserve"> Notes on </w:t>
      </w:r>
      <w:r>
        <w:rPr>
          <w:rStyle w:val="Emphasis"/>
          <w:rFonts w:ascii="Times New Roman" w:hAnsi="Times New Roman"/>
          <w:caps w:val="false"/>
          <w:smallCaps w:val="false"/>
          <w:color w:val="000000"/>
          <w:sz w:val="20"/>
        </w:rPr>
        <w:t>March 15, </w:t>
      </w:r>
      <w:r>
        <w:rPr>
          <w:rStyle w:val="Emphasis"/>
          <w:rFonts w:ascii="Times New Roman" w:hAnsi="Times New Roman"/>
          <w:caps w:val="false"/>
          <w:smallCaps w:val="false"/>
          <w:sz w:val="20"/>
        </w:rPr>
        <w:t>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were issued pursuant to an Indenture, dated as of </w:t>
      </w:r>
      <w:r>
        <w:rPr>
          <w:rStyle w:val="Emphasis"/>
          <w:rFonts w:ascii="Times New Roman" w:hAnsi="Times New Roman"/>
          <w:caps w:val="false"/>
          <w:smallCaps w:val="false"/>
          <w:sz w:val="20"/>
        </w:rPr>
        <w:t xml:space="preserve"> December 5, 2023, (</w:t>
      </w:r>
      <w:r>
        <w:rPr>
          <w:rFonts w:ascii="Times New Roman" w:hAnsi="Times New Roman"/>
          <w:caps w:val="false"/>
          <w:smallCaps w:val="false"/>
          <w:sz w:val="20"/>
        </w:rPr>
        <w:t>the "Indenture"), between the Company and Computershare Trust Company, N.A., as trustee. The </w:t>
      </w:r>
      <w:r>
        <w:rPr>
          <w:rStyle w:val="Emphasis"/>
          <w:rFonts w:ascii="Times New Roman" w:hAnsi="Times New Roman"/>
          <w:caps w:val="false"/>
          <w:smallCaps w:val="false"/>
          <w:sz w:val="20"/>
        </w:rPr>
        <w:t>2026</w:t>
      </w:r>
      <w:r>
        <w:rPr>
          <w:rFonts w:ascii="Times New Roman" w:hAnsi="Times New Roman"/>
          <w:caps w:val="false"/>
          <w:smallCaps w:val="false"/>
          <w:sz w:val="20"/>
        </w:rPr>
        <w:t> Notes bear interest at a rate of </w:t>
      </w:r>
      <w:r>
        <w:rPr>
          <w:rStyle w:val="Emphasis"/>
          <w:rFonts w:ascii="Times New Roman" w:hAnsi="Times New Roman"/>
          <w:caps w:val="false"/>
          <w:smallCaps w:val="false"/>
          <w:sz w:val="20"/>
        </w:rPr>
        <w:t>5.250%</w:t>
      </w:r>
      <w:r>
        <w:rPr>
          <w:rFonts w:ascii="Times New Roman" w:hAnsi="Times New Roman"/>
          <w:caps w:val="false"/>
          <w:smallCaps w:val="false"/>
          <w:sz w:val="20"/>
        </w:rPr>
        <w:t> per year and pay interest semi-annually in arrears on </w:t>
      </w:r>
      <w:r>
        <w:rPr>
          <w:rStyle w:val="Emphasis"/>
          <w:rFonts w:ascii="Times New Roman" w:hAnsi="Times New Roman"/>
          <w:caps w:val="false"/>
          <w:smallCaps w:val="false"/>
          <w:sz w:val="20"/>
        </w:rPr>
        <w:t xml:space="preserve"> June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June 15, 2024. </w:t>
      </w: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mature on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unless earlier converted, redeemed or repurchased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following table presents the carrying value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for the periods indicated (in thousands):</w:t>
      </w:r>
    </w:p>
    <w:p>
      <w:pPr>
        <w:pStyle w:val="TextBody"/>
        <w:bidi w:val="0"/>
        <w:spacing w:before="0" w:after="0"/>
        <w:ind w:left="0" w:right="0" w:firstLine="941"/>
        <w:jc w:val="left"/>
        <w:rPr/>
      </w:pPr>
      <w:r>
        <w:rPr/>
        <w:t>​</w:t>
      </w:r>
    </w:p>
    <w:tbl>
      <w:tblPr>
        <w:tblW w:w="4958" w:type="dxa"/>
        <w:jc w:val="left"/>
        <w:tblInd w:w="0" w:type="dxa"/>
        <w:tblLayout w:type="fixed"/>
        <w:tblCellMar>
          <w:top w:w="0" w:type="dxa"/>
          <w:left w:w="0" w:type="dxa"/>
          <w:bottom w:w="0" w:type="dxa"/>
          <w:right w:w="0" w:type="dxa"/>
        </w:tblCellMar>
      </w:tblPr>
      <w:tblGrid>
        <w:gridCol w:w="2660"/>
        <w:gridCol w:w="60"/>
        <w:gridCol w:w="152"/>
        <w:gridCol w:w="722"/>
        <w:gridCol w:w="80"/>
        <w:gridCol w:w="60"/>
        <w:gridCol w:w="199"/>
        <w:gridCol w:w="945"/>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80,214</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The conversion rate for the </w:t>
      </w:r>
      <w:r>
        <w:rPr>
          <w:rStyle w:val="Emphasis"/>
          <w:rFonts w:ascii="Times New Roman" w:hAnsi="Times New Roman"/>
          <w:caps w:val="false"/>
          <w:smallCaps w:val="false"/>
          <w:sz w:val="20"/>
        </w:rPr>
        <w:t>2026</w:t>
      </w:r>
      <w:r>
        <w:rPr>
          <w:rFonts w:ascii="Times New Roman" w:hAnsi="Times New Roman"/>
          <w:caps w:val="false"/>
          <w:smallCaps w:val="false"/>
          <w:sz w:val="20"/>
        </w:rPr>
        <w:t> Notes is 65.6276 shares of the Company’s common stock per $1,000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(which is equivalent to a conversion price of approximately $15.24 per share of the Company’s common stock, representing a premium of approximately 15% over the last reported sale price of the Company’s common stock on </w:t>
      </w:r>
      <w:r>
        <w:rPr>
          <w:rStyle w:val="Emphasis"/>
          <w:rFonts w:ascii="Times New Roman" w:hAnsi="Times New Roman"/>
          <w:caps w:val="false"/>
          <w:smallCaps w:val="false"/>
          <w:sz w:val="20"/>
        </w:rPr>
        <w:t xml:space="preserve"> November 30, 2023 </w:t>
      </w:r>
      <w:r>
        <w:rPr>
          <w:rFonts w:ascii="Times New Roman" w:hAnsi="Times New Roman"/>
          <w:caps w:val="false"/>
          <w:smallCaps w:val="false"/>
          <w:sz w:val="20"/>
        </w:rPr>
        <w:t>of $13.25 per share), subject to adjustment. Before </w:t>
      </w:r>
      <w:r>
        <w:rPr>
          <w:rStyle w:val="Emphasis"/>
          <w:rFonts w:ascii="Times New Roman" w:hAnsi="Times New Roman"/>
          <w:caps w:val="false"/>
          <w:smallCaps w:val="false"/>
          <w:sz w:val="20"/>
        </w:rPr>
        <w:t xml:space="preserve"> September 15, 2026,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have the right to convert their </w:t>
      </w:r>
      <w:r>
        <w:rPr>
          <w:rStyle w:val="Emphasis"/>
          <w:rFonts w:ascii="Times New Roman" w:hAnsi="Times New Roman"/>
          <w:caps w:val="false"/>
          <w:smallCaps w:val="false"/>
          <w:sz w:val="20"/>
        </w:rPr>
        <w:t>2026</w:t>
      </w:r>
      <w:r>
        <w:rPr>
          <w:rFonts w:ascii="Times New Roman" w:hAnsi="Times New Roman"/>
          <w:caps w:val="false"/>
          <w:smallCaps w:val="false"/>
          <w:sz w:val="20"/>
        </w:rPr>
        <w:t> Notes only upon the occurrence of certain events. From and after </w:t>
      </w:r>
      <w:r>
        <w:rPr>
          <w:rStyle w:val="Emphasis"/>
          <w:rFonts w:ascii="Times New Roman" w:hAnsi="Times New Roman"/>
          <w:caps w:val="false"/>
          <w:smallCaps w:val="false"/>
          <w:sz w:val="20"/>
        </w:rPr>
        <w:t xml:space="preserve"> September 15, 2026,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convert their </w:t>
      </w:r>
      <w:r>
        <w:rPr>
          <w:rStyle w:val="Emphasis"/>
          <w:rFonts w:ascii="Times New Roman" w:hAnsi="Times New Roman"/>
          <w:caps w:val="false"/>
          <w:smallCaps w:val="false"/>
          <w:sz w:val="20"/>
        </w:rPr>
        <w:t>2026</w:t>
      </w:r>
      <w:r>
        <w:rPr>
          <w:rFonts w:ascii="Times New Roman" w:hAnsi="Times New Roman"/>
          <w:caps w:val="false"/>
          <w:smallCaps w:val="false"/>
          <w:sz w:val="20"/>
        </w:rPr>
        <w:t> Notes at any time at their election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Currently there are </w:t>
      </w:r>
      <w:r>
        <w:rPr>
          <w:rStyle w:val="Emphasis"/>
          <w:rFonts w:ascii="Times New Roman" w:hAnsi="Times New Roman"/>
          <w:caps w:val="false"/>
          <w:smallCaps w:val="false"/>
          <w:sz w:val="20"/>
        </w:rPr>
        <w:t>no</w:t>
      </w:r>
      <w:r>
        <w:rPr>
          <w:rFonts w:ascii="Times New Roman" w:hAnsi="Times New Roman"/>
          <w:caps w:val="false"/>
          <w:smallCaps w:val="false"/>
          <w:sz w:val="20"/>
        </w:rPr>
        <w:t> guarantors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but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would be fully and unconditionally guaranteed, on a senior, unsecured basis by certain of the Company’s future domestic subsidiaries, should any such subsidiaries be formed.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are the Company’s senior, unsecured obligations and are equal in right of payment with existing and future senior, unsecured indebtedness, senior in right of payment to the Company’s existing and future indebtedness that is expressly subordinated to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is equal in right of payment with existing and future senior, unsecured indebtedness, senior in right of payment to such future guarantor’s existing and future indebtedness that is expressly subordinated to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effectively subordinated to such future guarantor’s existing and future secured indebtedness, to the extent of the value of the collateral securing that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Indenture contains covenants that limit the Company’s ability and the ability of our subsidiaries to, among other things: (i) incur or guarantee additional indebtedness or issue disqualified stock; and (ii) create or incur liens.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will be redeemable, in whole or in part (subject to certain limitations described in the Indenture), at the Company’s option at any time, and from time to time, on or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and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scheduled trading day immediately before the maturity date, at a cash redemption price equal to the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be redeemed, plus accrued and unpaid interest, if any, to, but excluding, the redemption date, but only if the last reported sale price per share of the Company’s common stock exceeds 130% of the conversion price on ( </w:t>
      </w:r>
      <w:r>
        <w:rPr>
          <w:rStyle w:val="Emphasis"/>
          <w:rFonts w:ascii="Times New Roman" w:hAnsi="Times New Roman"/>
          <w:caps w:val="false"/>
          <w:smallCaps w:val="false"/>
          <w:sz w:val="20"/>
        </w:rPr>
        <w:t>1</w:t>
      </w:r>
      <w:r>
        <w:rPr>
          <w:rFonts w:ascii="Times New Roman" w:hAnsi="Times New Roman"/>
          <w:caps w:val="false"/>
          <w:smallCaps w:val="false"/>
          <w:sz w:val="20"/>
        </w:rPr>
        <w:t>) each of at least 20 trading days,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consecutive, during the 30 consecutive trading days ending on, and including, the trading day immediately before the date the Company sends the related redemption notice; and ( </w:t>
      </w:r>
      <w:r>
        <w:rPr>
          <w:rStyle w:val="Emphasis"/>
          <w:rFonts w:ascii="Times New Roman" w:hAnsi="Times New Roman"/>
          <w:caps w:val="false"/>
          <w:smallCaps w:val="false"/>
          <w:sz w:val="20"/>
        </w:rPr>
        <w:t>2</w:t>
      </w:r>
      <w:r>
        <w:rPr>
          <w:rFonts w:ascii="Times New Roman" w:hAnsi="Times New Roman"/>
          <w:caps w:val="false"/>
          <w:smallCaps w:val="false"/>
          <w:sz w:val="20"/>
        </w:rPr>
        <w:t>) the trading day immediately before the date it sends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will be redeemable, in whole or in part, at the Company’s option at any time, and from time to time,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scheduled trading day immediately before the maturity date, at a cash redemption price equal to the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be redeemed, plus accrued and unpaid interest, if any, to, but excluding, the redemption date (subject to the right of a holder of </w:t>
      </w:r>
      <w:r>
        <w:rPr>
          <w:rStyle w:val="Emphasis"/>
          <w:rFonts w:ascii="Times New Roman" w:hAnsi="Times New Roman"/>
          <w:caps w:val="false"/>
          <w:smallCaps w:val="false"/>
          <w:sz w:val="20"/>
        </w:rPr>
        <w:t>2026</w:t>
      </w:r>
      <w:r>
        <w:rPr>
          <w:rFonts w:ascii="Times New Roman" w:hAnsi="Times New Roman"/>
          <w:caps w:val="false"/>
          <w:smallCaps w:val="false"/>
          <w:sz w:val="20"/>
        </w:rPr>
        <w:t> Notes as of the close of business on a record date to receive the related interest payment on the corresponding interest payment date), if the Company completes the "Specified Divestiture" of (</w:t>
      </w:r>
      <w:r>
        <w:rPr>
          <w:rStyle w:val="Emphasis"/>
          <w:rFonts w:ascii="Times New Roman" w:hAnsi="Times New Roman"/>
          <w:caps w:val="false"/>
          <w:smallCaps w:val="false"/>
          <w:sz w:val="20"/>
        </w:rPr>
        <w:t>x</w:t>
      </w:r>
      <w:r>
        <w:rPr>
          <w:rFonts w:ascii="Times New Roman" w:hAnsi="Times New Roman"/>
          <w:caps w:val="false"/>
          <w:smallCaps w:val="false"/>
          <w:sz w:val="20"/>
        </w:rPr>
        <w:t>) </w:t>
      </w:r>
      <w:r>
        <w:rPr>
          <w:rStyle w:val="Emphasis"/>
          <w:rFonts w:ascii="Times New Roman" w:hAnsi="Times New Roman"/>
          <w:caps w:val="false"/>
          <w:smallCaps w:val="false"/>
          <w:sz w:val="20"/>
        </w:rPr>
        <w:t>one</w:t>
      </w:r>
      <w:r>
        <w:rPr>
          <w:rFonts w:ascii="Times New Roman" w:hAnsi="Times New Roman"/>
          <w:caps w:val="false"/>
          <w:smallCaps w:val="false"/>
          <w:sz w:val="20"/>
        </w:rPr>
        <w:t> or more of its manufacturing facilities located in the People’s Republic of China and/or (y) significant assets located in the People’s Republic of China which relate to the Company’s transceiver business and multi-channel optical sub-assembly products (or any substantially related assets), for aggregate consideration in cash to the Company of </w:t>
      </w:r>
      <w:r>
        <w:rPr>
          <w:rStyle w:val="Emphasis"/>
          <w:rFonts w:ascii="Times New Roman" w:hAnsi="Times New Roman"/>
          <w:caps w:val="false"/>
          <w:smallCaps w:val="false"/>
          <w:sz w:val="20"/>
        </w:rPr>
        <w:t>not</w:t>
      </w:r>
      <w:r>
        <w:rPr>
          <w:rFonts w:ascii="Times New Roman" w:hAnsi="Times New Roman"/>
          <w:caps w:val="false"/>
          <w:smallCaps w:val="false"/>
          <w:sz w:val="20"/>
        </w:rPr>
        <w:t> less than the U.S. Dollar equivalent of $150,000,000 (measured at the time of completion).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Calling any Convertible Note for redemption will constitute a “Make-whole fundamental change” (as defined in the Indenture) with respect to that Convertible Note, in which case the conversion rate applicable to the conversion of that Convertible Note will be increased in certain circumstances if it is converted after it is called for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if the Specified Divestiture is completed, then each holder of </w:t>
      </w:r>
      <w:r>
        <w:rPr>
          <w:rStyle w:val="Emphasis"/>
          <w:rFonts w:ascii="Times New Roman" w:hAnsi="Times New Roman"/>
          <w:caps w:val="false"/>
          <w:smallCaps w:val="false"/>
          <w:sz w:val="20"/>
        </w:rPr>
        <w:t>2026</w:t>
      </w:r>
      <w:r>
        <w:rPr>
          <w:rFonts w:ascii="Times New Roman" w:hAnsi="Times New Roman"/>
          <w:caps w:val="false"/>
          <w:smallCaps w:val="false"/>
          <w:sz w:val="20"/>
        </w:rPr>
        <w:t> Notes will have the right to require the Company to repurchase its </w:t>
      </w:r>
      <w:r>
        <w:rPr>
          <w:rStyle w:val="Emphasis"/>
          <w:rFonts w:ascii="Times New Roman" w:hAnsi="Times New Roman"/>
          <w:caps w:val="false"/>
          <w:smallCaps w:val="false"/>
          <w:sz w:val="20"/>
        </w:rPr>
        <w:t>2026</w:t>
      </w:r>
      <w:r>
        <w:rPr>
          <w:rFonts w:ascii="Times New Roman" w:hAnsi="Times New Roman"/>
          <w:caps w:val="false"/>
          <w:smallCaps w:val="false"/>
          <w:sz w:val="20"/>
        </w:rPr>
        <w:t> Notes for cash on a date of the Company’s choosing, which must be a business day that is </w:t>
      </w:r>
      <w:r>
        <w:rPr>
          <w:rStyle w:val="Emphasis"/>
          <w:rFonts w:ascii="Times New Roman" w:hAnsi="Times New Roman"/>
          <w:caps w:val="false"/>
          <w:smallCaps w:val="false"/>
          <w:sz w:val="20"/>
        </w:rPr>
        <w:t>no</w:t>
      </w:r>
      <w:r>
        <w:rPr>
          <w:rFonts w:ascii="Times New Roman" w:hAnsi="Times New Roman"/>
          <w:caps w:val="false"/>
          <w:smallCaps w:val="false"/>
          <w:sz w:val="20"/>
        </w:rPr>
        <w:t> more than </w:t>
      </w:r>
      <w:r>
        <w:rPr>
          <w:rStyle w:val="Emphasis"/>
          <w:rFonts w:ascii="Times New Roman" w:hAnsi="Times New Roman"/>
          <w:caps w:val="false"/>
          <w:smallCaps w:val="false"/>
          <w:sz w:val="20"/>
        </w:rPr>
        <w:t>35,</w:t>
      </w:r>
      <w:r>
        <w:rPr>
          <w:rFonts w:ascii="Times New Roman" w:hAnsi="Times New Roman"/>
          <w:caps w:val="false"/>
          <w:smallCaps w:val="false"/>
          <w:sz w:val="20"/>
        </w:rPr>
        <w:t> nor less than </w:t>
      </w:r>
      <w:r>
        <w:rPr>
          <w:rStyle w:val="Emphasis"/>
          <w:rFonts w:ascii="Times New Roman" w:hAnsi="Times New Roman"/>
          <w:caps w:val="false"/>
          <w:smallCaps w:val="false"/>
          <w:sz w:val="20"/>
        </w:rPr>
        <w:t>20,</w:t>
      </w:r>
      <w:r>
        <w:rPr>
          <w:rFonts w:ascii="Times New Roman" w:hAnsi="Times New Roman"/>
          <w:caps w:val="false"/>
          <w:smallCaps w:val="false"/>
          <w:sz w:val="20"/>
        </w:rPr>
        <w:t> business days after we send the related notice of Specified Divestiture. The repurchase price for a note tendered for such repurchase will be equal to the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be repurchased, plus accrued and unpaid interest, if any, to, but excluding, the repurchase date (subject to the right of a holder of </w:t>
      </w:r>
      <w:r>
        <w:rPr>
          <w:rStyle w:val="Emphasis"/>
          <w:rFonts w:ascii="Times New Roman" w:hAnsi="Times New Roman"/>
          <w:caps w:val="false"/>
          <w:smallCaps w:val="false"/>
          <w:sz w:val="20"/>
        </w:rPr>
        <w:t>2026</w:t>
      </w:r>
      <w:r>
        <w:rPr>
          <w:rFonts w:ascii="Times New Roman" w:hAnsi="Times New Roman"/>
          <w:caps w:val="false"/>
          <w:smallCaps w:val="false"/>
          <w:sz w:val="20"/>
        </w:rPr>
        <w:t> Notes as of the close of business on a record date to receive the related interest payment on the corresponding interest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Moreover, if the Company undergoes a fundamental change, as described in the Indenture, holders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repurchase for cash all or part of their </w:t>
      </w:r>
      <w:r>
        <w:rPr>
          <w:rStyle w:val="Emphasis"/>
          <w:rFonts w:ascii="Times New Roman" w:hAnsi="Times New Roman"/>
          <w:caps w:val="false"/>
          <w:smallCaps w:val="false"/>
          <w:sz w:val="20"/>
        </w:rPr>
        <w:t>2026</w:t>
      </w:r>
      <w:r>
        <w:rPr>
          <w:rFonts w:ascii="Times New Roman" w:hAnsi="Times New Roman"/>
          <w:caps w:val="false"/>
          <w:smallCaps w:val="false"/>
          <w:sz w:val="20"/>
        </w:rPr>
        <w:t> Notes at a repurchase price equal to 100% of the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be repurchased, plus accrued and unpaid interest to, but excluding, the required repurchase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Additionally,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are subject to customary events of default. </w:t>
      </w:r>
      <w:r>
        <w:rPr>
          <w:rStyle w:val="Emphasis"/>
          <w:rFonts w:ascii="Times New Roman" w:hAnsi="Times New Roman"/>
          <w:caps w:val="false"/>
          <w:smallCaps w:val="false"/>
          <w:sz w:val="20"/>
        </w:rPr>
        <w:t>No</w:t>
      </w:r>
      <w:r>
        <w:rPr>
          <w:rFonts w:ascii="Times New Roman" w:hAnsi="Times New Roman"/>
          <w:caps w:val="false"/>
          <w:smallCaps w:val="false"/>
          <w:sz w:val="20"/>
        </w:rPr>
        <w:t> sinking fund is provided for the </w:t>
      </w:r>
      <w:r>
        <w:rPr>
          <w:rStyle w:val="Emphasis"/>
          <w:rFonts w:ascii="Times New Roman" w:hAnsi="Times New Roman"/>
          <w:caps w:val="false"/>
          <w:smallCaps w:val="false"/>
          <w:sz w:val="20"/>
        </w:rPr>
        <w:t>2026</w:t>
      </w:r>
      <w:r>
        <w:rPr>
          <w:rFonts w:ascii="Times New Roman" w:hAnsi="Times New Roman"/>
          <w:caps w:val="false"/>
          <w:smallCaps w:val="false"/>
          <w:sz w:val="20"/>
        </w:rPr>
        <w:t>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to qualify for equity classification (or non-bifurcation, if embedded) the instrument (or embedded feature) must be both (</w:t>
      </w:r>
      <w:r>
        <w:rPr>
          <w:rStyle w:val="Emphasis"/>
          <w:rFonts w:ascii="Times New Roman" w:hAnsi="Times New Roman"/>
          <w:caps w:val="false"/>
          <w:smallCaps w:val="false"/>
          <w:sz w:val="20"/>
        </w:rPr>
        <w:t>1</w:t>
      </w:r>
      <w:r>
        <w:rPr>
          <w:rFonts w:ascii="Times New Roman" w:hAnsi="Times New Roman"/>
          <w:caps w:val="false"/>
          <w:smallCaps w:val="false"/>
          <w:sz w:val="20"/>
        </w:rPr>
        <w:t>) indexed to the issuer’s own stock and (</w:t>
      </w:r>
      <w:r>
        <w:rPr>
          <w:rStyle w:val="Emphasis"/>
          <w:rFonts w:ascii="Times New Roman" w:hAnsi="Times New Roman"/>
          <w:caps w:val="false"/>
          <w:smallCaps w:val="false"/>
          <w:sz w:val="20"/>
        </w:rPr>
        <w:t>2</w:t>
      </w:r>
      <w:r>
        <w:rPr>
          <w:rFonts w:ascii="Times New Roman" w:hAnsi="Times New Roman"/>
          <w:caps w:val="false"/>
          <w:smallCaps w:val="false"/>
          <w:sz w:val="20"/>
        </w:rPr>
        <w:t>) meet the requirements of the equity classification guidance. Based upon the Company’s analysis, it was determined the conversion option is indexed to its own stock and also met all the criteria for equity classification contained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25</w:t>
      </w:r>
      <w:r>
        <w:rPr>
          <w:rFonts w:ascii="Times New Roman" w:hAnsi="Times New Roman"/>
          <w:caps w:val="false"/>
          <w:smallCaps w:val="false"/>
          <w:sz w:val="20"/>
        </w:rPr>
        <w:t>-</w:t>
      </w:r>
      <w:r>
        <w:rPr>
          <w:rStyle w:val="Emphasis"/>
          <w:rFonts w:ascii="Times New Roman" w:hAnsi="Times New Roman"/>
          <w:caps w:val="false"/>
          <w:smallCaps w:val="false"/>
          <w:sz w:val="20"/>
        </w:rPr>
        <w:t>7</w:t>
      </w:r>
      <w:r>
        <w:rPr>
          <w:rFonts w:ascii="Times New Roman" w:hAnsi="Times New Roman"/>
          <w:caps w:val="false"/>
          <w:smallCaps w:val="false"/>
          <w:sz w:val="20"/>
        </w:rPr>
        <w:t> and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Accordingly, the conversion option is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Debt with Conversion and Other Options. The Company determined that notes should be accounted for in their entirety as a liability.</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sz w:val="20"/>
        </w:rPr>
        <w:t xml:space="preserve">The Company incurred approximately $4.3 million in transaction costs in connection with the issuance of the </w:t>
      </w:r>
      <w:r>
        <w:rPr>
          <w:rStyle w:val="Emphasis"/>
          <w:rFonts w:ascii="Times New Roman" w:hAnsi="Times New Roman"/>
          <w:sz w:val="20"/>
        </w:rPr>
        <w:t>2026</w:t>
      </w:r>
      <w:r>
        <w:rPr>
          <w:rFonts w:ascii="Times New Roman" w:hAnsi="Times New Roman"/>
          <w:sz w:val="20"/>
        </w:rPr>
        <w:t xml:space="preserve"> Notes. These costs were recognized as a reduction of the carrying amount of the Notes utilizing the effective interest method and are being amortized over the term of the Notes.</w:t>
      </w:r>
    </w:p>
    <w:p>
      <w:pPr>
        <w:pStyle w:val="TextBody"/>
        <w:bidi w:val="0"/>
        <w:spacing w:before="0" w:after="0"/>
        <w:ind w:left="0" w:right="0" w:firstLine="360"/>
        <w:jc w:val="left"/>
        <w:rPr/>
      </w:pPr>
      <w:r>
        <w:rPr/>
        <w:t>​</w:t>
      </w:r>
    </w:p>
    <w:p>
      <w:pPr>
        <w:pStyle w:val="TextBody"/>
        <w:bidi w:val="0"/>
        <w:spacing w:before="0" w:after="0"/>
        <w:ind w:left="360" w:right="0" w:firstLine="360"/>
        <w:jc w:val="left"/>
        <w:rPr/>
      </w:pPr>
      <w:r>
        <w:rPr>
          <w:rFonts w:ascii="Times New Roman" w:hAnsi="Times New Roman"/>
          <w:sz w:val="20"/>
        </w:rPr>
        <w:t xml:space="preserve">The following table sets forth interest expense information related to the </w:t>
      </w:r>
      <w:r>
        <w:rPr>
          <w:rStyle w:val="Emphasis"/>
          <w:rFonts w:ascii="Times New Roman" w:hAnsi="Times New Roman"/>
          <w:color w:val="000000"/>
          <w:sz w:val="20"/>
        </w:rPr>
        <w:t>2024</w:t>
      </w:r>
      <w:r>
        <w:rPr>
          <w:rFonts w:ascii="Times New Roman" w:hAnsi="Times New Roman"/>
          <w:color w:val="000000"/>
          <w:sz w:val="20"/>
        </w:rPr>
        <w:t xml:space="preserve"> Notes and </w:t>
      </w:r>
      <w:r>
        <w:rPr>
          <w:rStyle w:val="Emphasis"/>
          <w:rFonts w:ascii="Times New Roman" w:hAnsi="Times New Roman"/>
          <w:color w:val="000000"/>
          <w:sz w:val="20"/>
        </w:rPr>
        <w:t>2026</w:t>
      </w:r>
      <w:r>
        <w:rPr>
          <w:rFonts w:ascii="Times New Roman" w:hAnsi="Times New Roman"/>
          <w:color w:val="000000"/>
          <w:sz w:val="20"/>
        </w:rPr>
        <w:t xml:space="preserve"> Notes (in thousands):</w:t>
      </w:r>
    </w:p>
    <w:p>
      <w:pPr>
        <w:pStyle w:val="TextBody"/>
        <w:bidi w:val="0"/>
        <w:spacing w:before="0" w:after="0"/>
        <w:ind w:left="0" w:right="0" w:hanging="0"/>
        <w:jc w:val="left"/>
        <w:rPr/>
      </w:pPr>
      <w:r>
        <w:rPr/>
        <w:t>​</w:t>
      </w:r>
    </w:p>
    <w:tbl>
      <w:tblPr>
        <w:tblW w:w="5726" w:type="dxa"/>
        <w:jc w:val="left"/>
        <w:tblInd w:w="0" w:type="dxa"/>
        <w:tblLayout w:type="fixed"/>
        <w:tblCellMar>
          <w:top w:w="0" w:type="dxa"/>
          <w:left w:w="0" w:type="dxa"/>
          <w:bottom w:w="0" w:type="dxa"/>
          <w:right w:w="0" w:type="dxa"/>
        </w:tblCellMar>
      </w:tblPr>
      <w:tblGrid>
        <w:gridCol w:w="2900"/>
        <w:gridCol w:w="60"/>
        <w:gridCol w:w="230"/>
        <w:gridCol w:w="895"/>
        <w:gridCol w:w="341"/>
        <w:gridCol w:w="110"/>
        <w:gridCol w:w="110"/>
        <w:gridCol w:w="895"/>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341"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w:t>
            </w:r>
          </w:p>
        </w:tc>
        <w:tc>
          <w:tcPr>
            <w:tcW w:w="341"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341"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w:t>
            </w:r>
          </w:p>
        </w:tc>
        <w:tc>
          <w:tcPr>
            <w:tcW w:w="341"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3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rPr/>
      </w:pPr>
      <w:r>
        <w:rPr/>
        <w:t>​</w:t>
      </w:r>
    </w:p>
    <w:tbl>
      <w:tblPr>
        <w:tblW w:w="6208" w:type="dxa"/>
        <w:jc w:val="left"/>
        <w:tblInd w:w="0" w:type="dxa"/>
        <w:tblLayout w:type="fixed"/>
        <w:tblCellMar>
          <w:top w:w="0" w:type="dxa"/>
          <w:left w:w="0" w:type="dxa"/>
          <w:bottom w:w="0" w:type="dxa"/>
          <w:right w:w="0" w:type="dxa"/>
        </w:tblCellMar>
      </w:tblPr>
      <w:tblGrid>
        <w:gridCol w:w="3020"/>
        <w:gridCol w:w="60"/>
        <w:gridCol w:w="234"/>
        <w:gridCol w:w="1105"/>
        <w:gridCol w:w="60"/>
        <w:gridCol w:w="60"/>
        <w:gridCol w:w="280"/>
        <w:gridCol w:w="13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shipping and tariff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commission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hanging="0"/>
        <w:jc w:val="left"/>
        <w:rPr/>
      </w:pPr>
      <w:r>
        <w:rPr/>
        <w:t> </w:t>
      </w:r>
    </w:p>
    <w:tbl>
      <w:tblPr>
        <w:tblW w:w="5577" w:type="dxa"/>
        <w:jc w:val="left"/>
        <w:tblInd w:w="0" w:type="dxa"/>
        <w:tblLayout w:type="fixed"/>
        <w:tblCellMar>
          <w:top w:w="0" w:type="dxa"/>
          <w:left w:w="0" w:type="dxa"/>
          <w:bottom w:w="0" w:type="dxa"/>
          <w:right w:w="0" w:type="dxa"/>
        </w:tblCellMar>
      </w:tblPr>
      <w:tblGrid>
        <w:gridCol w:w="2855"/>
        <w:gridCol w:w="60"/>
        <w:gridCol w:w="273"/>
        <w:gridCol w:w="865"/>
        <w:gridCol w:w="175"/>
        <w:gridCol w:w="131"/>
        <w:gridCol w:w="273"/>
        <w:gridCol w:w="865"/>
        <w:gridCol w:w="8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transaction loss</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subsidy income</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gain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disposal of assets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(expenses) , net</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rPr/>
      </w:pPr>
      <w:r>
        <w:rPr/>
        <w:t>​</w:t>
      </w:r>
    </w:p>
    <w:tbl>
      <w:tblPr>
        <w:tblW w:w="3925" w:type="dxa"/>
        <w:jc w:val="left"/>
        <w:tblInd w:w="0" w:type="dxa"/>
        <w:tblLayout w:type="fixed"/>
        <w:tblCellMar>
          <w:top w:w="0" w:type="dxa"/>
          <w:left w:w="0" w:type="dxa"/>
          <w:bottom w:w="0" w:type="dxa"/>
          <w:right w:w="0" w:type="dxa"/>
        </w:tblCellMar>
      </w:tblPr>
      <w:tblGrid>
        <w:gridCol w:w="60"/>
        <w:gridCol w:w="170"/>
        <w:gridCol w:w="3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695"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2013</w:t>
            </w:r>
            <w:r>
              <w:rPr>
                <w:rFonts w:ascii="Times New Roman" w:hAnsi="Times New Roman"/>
                <w:sz w:val="20"/>
              </w:rPr>
              <w:t xml:space="preserve"> Equity Incentive Plan (</w:t>
            </w:r>
            <w:r>
              <w:rPr>
                <w:rStyle w:val="Emphasis"/>
                <w:rFonts w:ascii="Times New Roman" w:hAnsi="Times New Roman"/>
                <w:sz w:val="20"/>
              </w:rPr>
              <w:t>"2013</w:t>
            </w:r>
            <w:r>
              <w:rPr>
                <w:rFonts w:ascii="Times New Roman" w:hAnsi="Times New Roman"/>
                <w:sz w:val="20"/>
              </w:rPr>
              <w:t xml:space="preserve"> Plan")</w:t>
            </w:r>
          </w:p>
        </w:tc>
      </w:tr>
    </w:tbl>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430"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pPr>
            <w:r>
              <w:rPr>
                <w:rFonts w:ascii="Times New Roman" w:hAnsi="Times New Roman"/>
                <w:sz w:val="20"/>
              </w:rPr>
              <w:t xml:space="preserve">the </w:t>
            </w:r>
            <w:r>
              <w:rPr>
                <w:rStyle w:val="Emphasis"/>
                <w:rFonts w:ascii="Times New Roman" w:hAnsi="Times New Roman"/>
                <w:sz w:val="20"/>
              </w:rPr>
              <w:t>2023</w:t>
            </w:r>
            <w:r>
              <w:rPr>
                <w:rFonts w:ascii="Times New Roman" w:hAnsi="Times New Roman"/>
                <w:sz w:val="20"/>
              </w:rPr>
              <w:t xml:space="preserve"> Equity Inducement Plan ("Inducement Plan")</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 xml:space="preserve">be granted from these plans. Prior to the Company’s initial public offering in </w:t>
      </w:r>
      <w:r>
        <w:rPr>
          <w:rStyle w:val="Emphasis"/>
          <w:rFonts w:ascii="Times New Roman" w:hAnsi="Times New Roman"/>
          <w:sz w:val="20"/>
        </w:rPr>
        <w:t xml:space="preserve">September 2013, </w:t>
      </w:r>
      <w:r>
        <w:rPr>
          <w:rFonts w:ascii="Times New Roman" w:hAnsi="Times New Roman"/>
          <w:sz w:val="20"/>
        </w:rPr>
        <w:t xml:space="preserve">the fair market value of the Company’s stock had been historically determined by the board of directors and from time to time with the assistance of </w:t>
      </w:r>
      <w:r>
        <w:rPr>
          <w:rStyle w:val="Emphasis"/>
          <w:rFonts w:ascii="Times New Roman" w:hAnsi="Times New Roman"/>
          <w:sz w:val="20"/>
        </w:rPr>
        <w:t>third</w:t>
      </w:r>
      <w:r>
        <w:rPr>
          <w:rFonts w:ascii="Times New Roman" w:hAnsi="Times New Roman"/>
          <w:sz w:val="20"/>
        </w:rPr>
        <w:t>-party valuation specialists.</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Stock Options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Options have been granted to the Company’s employees under the </w:t>
      </w:r>
      <w:r>
        <w:rPr>
          <w:rStyle w:val="Emphasis"/>
          <w:rFonts w:ascii="Times New Roman" w:hAnsi="Times New Roman"/>
          <w:sz w:val="20"/>
        </w:rPr>
        <w:t>2013</w:t>
      </w:r>
      <w:r>
        <w:rPr>
          <w:rFonts w:ascii="Times New Roman" w:hAnsi="Times New Roman"/>
          <w:sz w:val="20"/>
        </w:rPr>
        <w:t xml:space="preserve"> Plan and generally become exercisable as to 25% of the shares on the </w:t>
      </w:r>
      <w:r>
        <w:rPr>
          <w:rStyle w:val="Emphasis"/>
          <w:rFonts w:ascii="Times New Roman" w:hAnsi="Times New Roman"/>
          <w:sz w:val="20"/>
        </w:rPr>
        <w:t>first</w:t>
      </w:r>
      <w:r>
        <w:rPr>
          <w:rFonts w:ascii="Times New Roman" w:hAnsi="Times New Roman"/>
          <w:sz w:val="20"/>
        </w:rPr>
        <w:t xml:space="preserve"> anniversary date following the date of grant and 12.5% on a semi-annual basis thereafter. All options expire </w:t>
      </w:r>
      <w:r>
        <w:rPr>
          <w:rStyle w:val="Emphasis"/>
          <w:rFonts w:ascii="Times New Roman" w:hAnsi="Times New Roman"/>
          <w:sz w:val="20"/>
        </w:rPr>
        <w:t>ten</w:t>
      </w:r>
      <w:r>
        <w:rPr>
          <w:rFonts w:ascii="Times New Roman" w:hAnsi="Times New Roman"/>
          <w:sz w:val="20"/>
        </w:rPr>
        <w:t xml:space="preserve"> years after the date of grant.</w:t>
      </w:r>
    </w:p>
    <w:p>
      <w:pPr>
        <w:pStyle w:val="TextBody"/>
        <w:bidi w:val="0"/>
        <w:spacing w:before="0" w:after="0"/>
        <w:ind w:left="0" w:right="0" w:firstLine="720"/>
        <w:jc w:val="left"/>
        <w:rPr/>
      </w:pPr>
      <w:r>
        <w:rPr/>
        <w:t>​</w:t>
      </w:r>
    </w:p>
    <w:p>
      <w:pPr>
        <w:pStyle w:val="TextBody"/>
        <w:bidi w:val="0"/>
        <w:spacing w:before="0" w:after="0"/>
        <w:ind w:left="720" w:right="0" w:hanging="0"/>
        <w:jc w:val="left"/>
        <w:rPr>
          <w:rFonts w:ascii="Times New Roman" w:hAnsi="Times New Roman"/>
          <w:sz w:val="20"/>
        </w:rPr>
      </w:pPr>
      <w:r>
        <w:rPr>
          <w:rFonts w:ascii="Times New Roman" w:hAnsi="Times New Roman"/>
          <w:sz w:val="20"/>
        </w:rPr>
        <w:t>The following is a summary of option activity:</w:t>
      </w:r>
    </w:p>
    <w:p>
      <w:pPr>
        <w:pStyle w:val="TextBody"/>
        <w:bidi w:val="0"/>
        <w:spacing w:before="0" w:after="0"/>
        <w:ind w:left="720" w:right="0" w:hanging="0"/>
        <w:jc w:val="left"/>
        <w:rPr/>
      </w:pPr>
      <w:r>
        <w:rPr/>
        <w:t>​</w:t>
      </w:r>
    </w:p>
    <w:tbl>
      <w:tblPr>
        <w:tblW w:w="8827" w:type="dxa"/>
        <w:jc w:val="left"/>
        <w:tblInd w:w="0" w:type="dxa"/>
        <w:tblLayout w:type="fixed"/>
        <w:tblCellMar>
          <w:top w:w="0" w:type="dxa"/>
          <w:left w:w="0" w:type="dxa"/>
          <w:bottom w:w="0" w:type="dxa"/>
          <w:right w:w="0" w:type="dxa"/>
        </w:tblCellMar>
      </w:tblPr>
      <w:tblGrid>
        <w:gridCol w:w="2555"/>
        <w:gridCol w:w="60"/>
        <w:gridCol w:w="166"/>
        <w:gridCol w:w="723"/>
        <w:gridCol w:w="80"/>
        <w:gridCol w:w="60"/>
        <w:gridCol w:w="167"/>
        <w:gridCol w:w="648"/>
        <w:gridCol w:w="60"/>
        <w:gridCol w:w="60"/>
        <w:gridCol w:w="182"/>
        <w:gridCol w:w="797"/>
        <w:gridCol w:w="60"/>
        <w:gridCol w:w="60"/>
        <w:gridCol w:w="230"/>
        <w:gridCol w:w="704"/>
        <w:gridCol w:w="60"/>
        <w:gridCol w:w="60"/>
        <w:gridCol w:w="139"/>
        <w:gridCol w:w="886"/>
        <w:gridCol w:w="60"/>
        <w:gridCol w:w="60"/>
        <w:gridCol w:w="288"/>
        <w:gridCol w:w="602"/>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on Date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152"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 and Contractual Life)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March 31, 2024</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March 31, 2024</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2024</w:t>
      </w:r>
      <w:r>
        <w:rPr>
          <w:rFonts w:ascii="Times New Roman" w:hAnsi="Times New Roman"/>
          <w:sz w:val="20"/>
        </w:rPr>
        <w:t>, there was no unrecognized stock option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 xml:space="preserve">Performance Based Incentive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r>
        <w:rPr>
          <w:rFonts w:ascii="Times New Roman" w:hAnsi="Times New Roman"/>
          <w:sz w:val="20"/>
        </w:rPr>
        <w:t xml:space="preserve">The Company approved to grant restricted performance stock units ("PSUs") to senior executives as a part of our long-term equity compensation program starting from </w:t>
      </w:r>
      <w:r>
        <w:rPr>
          <w:rStyle w:val="Emphasis"/>
          <w:rFonts w:ascii="Times New Roman" w:hAnsi="Times New Roman"/>
          <w:sz w:val="20"/>
        </w:rPr>
        <w:t xml:space="preserve">June 2021. </w:t>
      </w:r>
      <w:r>
        <w:rPr>
          <w:rFonts w:ascii="Times New Roman" w:hAnsi="Times New Roman"/>
          <w:sz w:val="20"/>
        </w:rPr>
        <w:t xml:space="preserve">The number of shares of common stock that will ultimately be issued to settle PSUs granted ranges from 0% to 200% of the number granted and is determined based on certain performance criteria over a </w:t>
      </w:r>
      <w:r>
        <w:rPr>
          <w:rStyle w:val="Emphasis"/>
          <w:rFonts w:ascii="Times New Roman" w:hAnsi="Times New Roman"/>
          <w:sz w:val="20"/>
        </w:rPr>
        <w:t>three</w:t>
      </w:r>
      <w:r>
        <w:rPr>
          <w:rFonts w:ascii="Times New Roman" w:hAnsi="Times New Roman"/>
          <w:sz w:val="20"/>
        </w:rPr>
        <w:t xml:space="preserv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w:t>
      </w:r>
      <w:r>
        <w:rPr>
          <w:rStyle w:val="Emphasis"/>
          <w:rFonts w:ascii="Times New Roman" w:hAnsi="Times New Roman"/>
          <w:sz w:val="20"/>
        </w:rPr>
        <w:t>third</w:t>
      </w:r>
      <w:r>
        <w:rPr>
          <w:rFonts w:ascii="Times New Roman" w:hAnsi="Times New Roman"/>
          <w:sz w:val="20"/>
        </w:rPr>
        <w:t> anniversary of their grant, assuming achievement of the applicable performance criteria. We estimated the fair value of the PSUs using a Monte Carlo simulation model on the date of grant. Compensation expense is recognized ratably over the explicit service period</w:t>
      </w:r>
      <w:r>
        <w:rPr>
          <w:rFonts w:ascii="Times New Roman" w:hAnsi="Times New Roman"/>
          <w:sz w:val="20"/>
          <w:shd w:fill="FFFFFF" w:val="clear"/>
        </w:rPr>
        <w:t xml:space="preserve">. The Company recognized </w:t>
      </w:r>
      <w:r>
        <w:rPr>
          <w:rFonts w:ascii="Times New Roman" w:hAnsi="Times New Roman"/>
          <w:sz w:val="20"/>
        </w:rPr>
        <w:t xml:space="preserve">PSU expenses for the </w:t>
      </w:r>
      <w:r>
        <w:rPr>
          <w:rStyle w:val="Emphasis"/>
          <w:rFonts w:ascii="Times New Roman" w:hAnsi="Times New Roman"/>
          <w:sz w:val="20"/>
        </w:rPr>
        <w:t>three</w:t>
      </w:r>
      <w:r>
        <w:rPr>
          <w:rFonts w:ascii="Times New Roman" w:hAnsi="Times New Roman"/>
          <w:sz w:val="20"/>
        </w:rPr>
        <w:t> months ended </w:t>
      </w:r>
      <w:r>
        <w:rPr>
          <w:rStyle w:val="Emphasis"/>
          <w:rFonts w:ascii="Times New Roman" w:hAnsi="Times New Roman"/>
          <w:sz w:val="20"/>
        </w:rPr>
        <w:t xml:space="preserve"> March 31, 2024 </w:t>
      </w:r>
      <w:r>
        <w:rPr>
          <w:rFonts w:ascii="Times New Roman" w:hAnsi="Times New Roman"/>
          <w:sz w:val="20"/>
        </w:rPr>
        <w:t xml:space="preserve">and </w:t>
      </w:r>
      <w:r>
        <w:rPr>
          <w:rStyle w:val="Emphasis"/>
          <w:rFonts w:ascii="Times New Roman" w:hAnsi="Times New Roman"/>
          <w:sz w:val="20"/>
        </w:rPr>
        <w:t>2023</w:t>
      </w:r>
      <w:r>
        <w:rPr>
          <w:rFonts w:ascii="Times New Roman" w:hAnsi="Times New Roman"/>
          <w:sz w:val="20"/>
        </w:rPr>
        <w:t xml:space="preserve"> of $1.0 million and $0.4 million, respectively. </w:t>
      </w:r>
    </w:p>
    <w:p>
      <w:pPr>
        <w:pStyle w:val="TextBody"/>
        <w:bidi w:val="0"/>
        <w:spacing w:before="0" w:after="0"/>
        <w:ind w:left="0" w:right="0" w:firstLine="72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PSU activity:</w:t>
      </w:r>
    </w:p>
    <w:p>
      <w:pPr>
        <w:pStyle w:val="TextBody"/>
        <w:bidi w:val="0"/>
        <w:spacing w:before="0" w:after="0"/>
        <w:ind w:left="160" w:right="0" w:firstLine="540"/>
        <w:jc w:val="left"/>
        <w:rPr>
          <w:caps w:val="false"/>
          <w:smallCaps w:val="false"/>
        </w:rPr>
      </w:pPr>
      <w:r>
        <w:rPr>
          <w:caps w:val="false"/>
          <w:smallCaps w:val="false"/>
        </w:rPr>
        <w:t> </w:t>
      </w:r>
    </w:p>
    <w:tbl>
      <w:tblPr>
        <w:tblW w:w="7237" w:type="dxa"/>
        <w:jc w:val="left"/>
        <w:tblInd w:w="0" w:type="dxa"/>
        <w:tblLayout w:type="fixed"/>
        <w:tblCellMar>
          <w:top w:w="0" w:type="dxa"/>
          <w:left w:w="0" w:type="dxa"/>
          <w:bottom w:w="0" w:type="dxa"/>
          <w:right w:w="0" w:type="dxa"/>
        </w:tblCellMar>
      </w:tblPr>
      <w:tblGrid>
        <w:gridCol w:w="2555"/>
        <w:gridCol w:w="60"/>
        <w:gridCol w:w="96"/>
        <w:gridCol w:w="793"/>
        <w:gridCol w:w="60"/>
        <w:gridCol w:w="60"/>
        <w:gridCol w:w="239"/>
        <w:gridCol w:w="1040"/>
        <w:gridCol w:w="60"/>
        <w:gridCol w:w="60"/>
        <w:gridCol w:w="279"/>
        <w:gridCol w:w="850"/>
        <w:gridCol w:w="60"/>
        <w:gridCol w:w="60"/>
        <w:gridCol w:w="158"/>
        <w:gridCol w:w="747"/>
        <w:gridCol w:w="6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4562"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ind w:left="0" w:right="0" w:hanging="0"/>
              <w:jc w:val="right"/>
              <w:rPr/>
            </w:pPr>
            <w:r>
              <w:rPr/>
              <w:t> </w:t>
            </w:r>
          </w:p>
        </w:tc>
        <w:tc>
          <w:tcPr>
            <w:tcW w:w="10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29,610</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ind w:left="0" w:right="0" w:hanging="0"/>
              <w:jc w:val="right"/>
              <w:rPr/>
            </w:pPr>
            <w:r>
              <w:rPr/>
              <w:t> </w:t>
            </w:r>
          </w:p>
        </w:tc>
        <w:tc>
          <w:tcPr>
            <w:tcW w:w="10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ind w:left="0" w:right="0" w:hanging="0"/>
              <w:jc w:val="right"/>
              <w:rPr/>
            </w:pPr>
            <w:r>
              <w:rPr/>
              <w:t> </w:t>
            </w:r>
          </w:p>
        </w:tc>
        <w:tc>
          <w:tcPr>
            <w:tcW w:w="10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ind w:left="0" w:right="0" w:hanging="0"/>
              <w:jc w:val="right"/>
              <w:rPr/>
            </w:pPr>
            <w:r>
              <w:rPr/>
              <w:t> </w:t>
            </w:r>
          </w:p>
        </w:tc>
        <w:tc>
          <w:tcPr>
            <w:tcW w:w="10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March 31, 2024</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ind w:left="0" w:right="0" w:hanging="0"/>
              <w:jc w:val="right"/>
              <w:rPr/>
            </w:pPr>
            <w:r>
              <w:rPr/>
              <w:t> </w:t>
            </w:r>
          </w:p>
        </w:tc>
        <w:tc>
          <w:tcPr>
            <w:tcW w:w="10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21,242</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ind w:left="0" w:right="0" w:hanging="0"/>
              <w:jc w:val="right"/>
              <w:rPr/>
            </w:pPr>
            <w:r>
              <w:rPr/>
              <w:t> </w:t>
            </w:r>
          </w:p>
        </w:tc>
        <w:tc>
          <w:tcPr>
            <w:tcW w:w="10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2024</w:t>
      </w:r>
      <w:r>
        <w:rPr>
          <w:rFonts w:ascii="Times New Roman" w:hAnsi="Times New Roman"/>
          <w:sz w:val="20"/>
        </w:rPr>
        <w:t>, there was $5.5 mil</w:t>
      </w:r>
      <w:r>
        <w:rPr>
          <w:rFonts w:ascii="Times New Roman" w:hAnsi="Times New Roman"/>
          <w:sz w:val="20"/>
          <w:shd w:fill="FFFFFF" w:val="clear"/>
        </w:rPr>
        <w:t>lion</w:t>
      </w:r>
      <w:r>
        <w:rPr>
          <w:rFonts w:ascii="Times New Roman" w:hAnsi="Times New Roman"/>
          <w:sz w:val="20"/>
        </w:rPr>
        <w:t xml:space="preserve"> of unrecognized compensation expense related to these PSUs. This expense is expected to be recognized over 2.0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7257" w:type="dxa"/>
        <w:jc w:val="left"/>
        <w:tblInd w:w="0" w:type="dxa"/>
        <w:tblLayout w:type="fixed"/>
        <w:tblCellMar>
          <w:top w:w="0" w:type="dxa"/>
          <w:left w:w="0" w:type="dxa"/>
          <w:bottom w:w="0" w:type="dxa"/>
          <w:right w:w="0" w:type="dxa"/>
        </w:tblCellMar>
      </w:tblPr>
      <w:tblGrid>
        <w:gridCol w:w="2555"/>
        <w:gridCol w:w="60"/>
        <w:gridCol w:w="96"/>
        <w:gridCol w:w="793"/>
        <w:gridCol w:w="80"/>
        <w:gridCol w:w="60"/>
        <w:gridCol w:w="239"/>
        <w:gridCol w:w="1040"/>
        <w:gridCol w:w="60"/>
        <w:gridCol w:w="60"/>
        <w:gridCol w:w="231"/>
        <w:gridCol w:w="898"/>
        <w:gridCol w:w="60"/>
        <w:gridCol w:w="60"/>
        <w:gridCol w:w="158"/>
        <w:gridCol w:w="747"/>
        <w:gridCol w:w="6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4582"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55,507</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0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5,840</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0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March 31, 2024</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35,030</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0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2024</w:t>
      </w:r>
      <w:r>
        <w:rPr>
          <w:rFonts w:ascii="Times New Roman" w:hAnsi="Times New Roman"/>
          <w:sz w:val="20"/>
        </w:rPr>
        <w:t>, there was</w:t>
      </w:r>
      <w:r>
        <w:rPr>
          <w:rFonts w:ascii="Times New Roman" w:hAnsi="Times New Roman"/>
          <w:sz w:val="20"/>
          <w:shd w:fill="FFFFFF" w:val="clear"/>
        </w:rPr>
        <w:t xml:space="preserve"> $10.9 million</w:t>
      </w:r>
      <w:r>
        <w:rPr>
          <w:rFonts w:ascii="Times New Roman" w:hAnsi="Times New Roman"/>
          <w:sz w:val="20"/>
        </w:rPr>
        <w:t xml:space="preserve"> of unrecognized compensation expense related to these RSUs. This expense is expected to be recognized over </w:t>
      </w:r>
      <w:r>
        <w:rPr>
          <w:rFonts w:ascii="Times New Roman" w:hAnsi="Times New Roman"/>
          <w:sz w:val="20"/>
          <w:shd w:fill="FFFFFF" w:val="clear"/>
        </w:rPr>
        <w:t>2.4 years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hanging="0"/>
        <w:jc w:val="left"/>
        <w:rPr/>
      </w:pPr>
      <w:r>
        <w:rPr/>
        <w:t>​</w:t>
      </w:r>
    </w:p>
    <w:tbl>
      <w:tblPr>
        <w:tblW w:w="5542" w:type="dxa"/>
        <w:jc w:val="left"/>
        <w:tblInd w:w="0" w:type="dxa"/>
        <w:tblLayout w:type="fixed"/>
        <w:tblCellMar>
          <w:top w:w="0" w:type="dxa"/>
          <w:left w:w="0" w:type="dxa"/>
          <w:bottom w:w="0" w:type="dxa"/>
          <w:right w:w="0" w:type="dxa"/>
        </w:tblCellMar>
      </w:tblPr>
      <w:tblGrid>
        <w:gridCol w:w="3650"/>
        <w:gridCol w:w="60"/>
        <w:gridCol w:w="165"/>
        <w:gridCol w:w="642"/>
        <w:gridCol w:w="79"/>
        <w:gridCol w:w="79"/>
        <w:gridCol w:w="165"/>
        <w:gridCol w:w="642"/>
        <w:gridCol w:w="60"/>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tc>
        <w:tc>
          <w:tcPr>
            <w:tcW w:w="6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77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 by expense type</w:t>
            </w:r>
          </w:p>
        </w:tc>
        <w:tc>
          <w:tcPr>
            <w:tcW w:w="60" w:type="dxa"/>
            <w:tcBorders/>
            <w:shd w:fill="CCEEFF" w:val="clear"/>
            <w:vAlign w:val="center"/>
          </w:tcPr>
          <w:p>
            <w:pPr>
              <w:pStyle w:val="TableContents"/>
              <w:bidi w:val="0"/>
              <w:spacing w:before="0" w:after="283"/>
              <w:ind w:left="0" w:right="0" w:hanging="0"/>
              <w:jc w:val="left"/>
              <w:rPr/>
            </w:pPr>
            <w:r>
              <w:rPr/>
              <w:t> </w:t>
            </w:r>
          </w:p>
        </w:tc>
        <w:tc>
          <w:tcPr>
            <w:tcW w:w="80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80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xml:space="preserve">  Income Taxes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16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the effective tax rate varied from the federal statutory rate of 21% primarily due to the change of the valuation allowance on federal, state, Taiwan, and China deferred tax assets ("DTA").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pPr>
      <w:r>
        <w:rPr>
          <w:rFonts w:ascii="Times New Roman" w:hAnsi="Times New Roman"/>
          <w:caps w:val="false"/>
          <w:smallCaps w:val="false"/>
          <w:sz w:val="20"/>
        </w:rPr>
        <w:t xml:space="preserve">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was appropriate.</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Geographic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property, plant, equipment,</w:t>
      </w:r>
      <w:r>
        <w:rPr>
          <w:rFonts w:ascii="Times New Roman" w:hAnsi="Times New Roman"/>
          <w:color w:val="000000"/>
          <w:sz w:val="20"/>
        </w:rPr>
        <w:t>land use rights, right of use assets</w:t>
      </w:r>
      <w:r>
        <w:rPr>
          <w:rFonts w:ascii="Times New Roman" w:hAnsi="Times New Roman"/>
          <w:sz w:val="20"/>
        </w:rPr>
        <w:t xml:space="preserve"> and intangible assets (in thousands):</w:t>
      </w:r>
    </w:p>
    <w:p>
      <w:pPr>
        <w:pStyle w:val="TextBody"/>
        <w:bidi w:val="0"/>
        <w:spacing w:before="0" w:after="0"/>
        <w:ind w:left="0" w:right="0" w:hanging="0"/>
        <w:jc w:val="left"/>
        <w:rPr/>
      </w:pPr>
      <w:r>
        <w:rPr/>
        <w:t>​</w:t>
      </w:r>
    </w:p>
    <w:tbl>
      <w:tblPr>
        <w:tblW w:w="3802" w:type="dxa"/>
        <w:jc w:val="left"/>
        <w:tblInd w:w="0" w:type="dxa"/>
        <w:tblLayout w:type="fixed"/>
        <w:tblCellMar>
          <w:top w:w="0" w:type="dxa"/>
          <w:left w:w="0" w:type="dxa"/>
          <w:bottom w:w="0" w:type="dxa"/>
          <w:right w:w="0" w:type="dxa"/>
        </w:tblCellMar>
      </w:tblPr>
      <w:tblGrid>
        <w:gridCol w:w="1100"/>
        <w:gridCol w:w="60"/>
        <w:gridCol w:w="208"/>
        <w:gridCol w:w="983"/>
        <w:gridCol w:w="100"/>
        <w:gridCol w:w="100"/>
        <w:gridCol w:w="208"/>
        <w:gridCol w:w="983"/>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19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19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6,439</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42,386</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4,205</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763" w:type="dxa"/>
        <w:jc w:val="left"/>
        <w:tblInd w:w="0" w:type="dxa"/>
        <w:tblLayout w:type="fixed"/>
        <w:tblCellMar>
          <w:top w:w="0" w:type="dxa"/>
          <w:left w:w="0" w:type="dxa"/>
          <w:bottom w:w="0" w:type="dxa"/>
          <w:right w:w="0" w:type="dxa"/>
        </w:tblCellMar>
      </w:tblPr>
      <w:tblGrid>
        <w:gridCol w:w="1505"/>
        <w:gridCol w:w="60"/>
        <w:gridCol w:w="133"/>
        <w:gridCol w:w="741"/>
        <w:gridCol w:w="60"/>
        <w:gridCol w:w="60"/>
        <w:gridCol w:w="173"/>
        <w:gridCol w:w="971"/>
        <w:gridCol w:w="60"/>
      </w:tblGrid>
      <w:tr>
        <w:trPr/>
        <w:tc>
          <w:tcPr>
            <w:tcW w:w="15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87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75,283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47,668</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91,050</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Overview</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r>
        <w:rPr>
          <w:rFonts w:ascii="Times New Roman" w:hAnsi="Times New Roman"/>
          <w:caps w:val="false"/>
          <w:smallCaps w:val="false"/>
          <w:sz w:val="20"/>
        </w:rPr>
        <w:t>Unless otherwise disclosed, the Company is unable to estimate the possible loss or range of loss for the legal proceeding described below.</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Arbitration filed by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 xml:space="preserve">the Company delivered notice of termination with respect to that certain Agreement for the Sale and Purchase of a New Company to be Established in Hong Kong Special Administrative Region of the People’s Republic of China (the “Purchase Agreement”), dated </w:t>
      </w:r>
      <w:r>
        <w:rPr>
          <w:rStyle w:val="Emphasis"/>
          <w:rFonts w:ascii="Times New Roman" w:hAnsi="Times New Roman"/>
          <w:caps w:val="false"/>
          <w:smallCaps w:val="false"/>
          <w:sz w:val="20"/>
        </w:rPr>
        <w:t xml:space="preserve">September 15, 2022, </w:t>
      </w:r>
      <w:r>
        <w:rPr>
          <w:rFonts w:ascii="Times New Roman" w:hAnsi="Times New Roman"/>
          <w:caps w:val="false"/>
          <w:smallCaps w:val="false"/>
          <w:sz w:val="20"/>
        </w:rPr>
        <w:t xml:space="preserve">with Prime World International Holdings Ltd. (the “Seller”) and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The termination, in accordance with the terms of the Purchase Agreement, was a result of the Purchaser's failure to satisfy certain of its material obligations under the Purchase Agreement. In terminating the Purchase Agreement, we also asserted the right to recover a break-up fee from the Purchaser. On </w:t>
      </w:r>
      <w:r>
        <w:rPr>
          <w:rStyle w:val="Emphasis"/>
          <w:rFonts w:ascii="Times New Roman" w:hAnsi="Times New Roman"/>
          <w:caps w:val="false"/>
          <w:smallCaps w:val="false"/>
          <w:sz w:val="20"/>
        </w:rPr>
        <w:t xml:space="preserve">December 22, 2023, </w:t>
      </w:r>
      <w:r>
        <w:rPr>
          <w:rFonts w:ascii="Times New Roman" w:hAnsi="Times New Roman"/>
          <w:caps w:val="false"/>
          <w:smallCaps w:val="false"/>
          <w:sz w:val="20"/>
        </w:rPr>
        <w:t xml:space="preserve">the Purchaser filed for arbitration in Hong Kong with the Hong Kong International Arbitration Centre (“HKIAC”) challenging the validity of our termination notice and seeking specific performance with respect to the transactions contemplated in the Purchase Agreement, which in any case if specific performance is granted by HKIAC, the transaction contemplated by the Purchase Agreement would still have to be approved by the Committee on Foreign Investment in the United States prior to its consummation. On </w:t>
      </w:r>
      <w:r>
        <w:rPr>
          <w:rStyle w:val="Emphasis"/>
          <w:rFonts w:ascii="Times New Roman" w:hAnsi="Times New Roman"/>
          <w:caps w:val="false"/>
          <w:smallCaps w:val="false"/>
          <w:sz w:val="20"/>
        </w:rPr>
        <w:t xml:space="preserve">January 22, 2024, </w:t>
      </w:r>
      <w:r>
        <w:rPr>
          <w:rFonts w:ascii="Times New Roman" w:hAnsi="Times New Roman"/>
          <w:caps w:val="false"/>
          <w:smallCaps w:val="false"/>
          <w:sz w:val="20"/>
        </w:rPr>
        <w:t xml:space="preserve">the Company filed its response, generally denying the Purchaser’s allegations and asserting counterclaims for recovery of a break-up fee. The Company intends to vigorously defend this matter.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determine the outcome of this dispute or the likelihood or amount of the Company’s loss or recovery, if any, arising from this matter. The HKIAC Tribunal issued a procedural order on </w:t>
      </w:r>
      <w:r>
        <w:rPr>
          <w:rStyle w:val="Emphasis"/>
          <w:rFonts w:ascii="Times New Roman" w:hAnsi="Times New Roman"/>
          <w:caps w:val="false"/>
          <w:smallCaps w:val="false"/>
          <w:sz w:val="20"/>
        </w:rPr>
        <w:t xml:space="preserve">April 17, 2024 </w:t>
      </w:r>
      <w:r>
        <w:rPr>
          <w:rFonts w:ascii="Times New Roman" w:hAnsi="Times New Roman"/>
          <w:caps w:val="false"/>
          <w:smallCaps w:val="false"/>
          <w:sz w:val="20"/>
        </w:rPr>
        <w:t xml:space="preserve">setting the evidentiary hearing to be held on </w:t>
      </w:r>
      <w:r>
        <w:rPr>
          <w:rStyle w:val="Emphasis"/>
          <w:rFonts w:ascii="Times New Roman" w:hAnsi="Times New Roman"/>
          <w:caps w:val="false"/>
          <w:smallCaps w:val="false"/>
          <w:sz w:val="20"/>
        </w:rPr>
        <w:t>September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On </w:t>
      </w:r>
      <w:r>
        <w:rPr>
          <w:rStyle w:val="Emphasis"/>
          <w:rFonts w:ascii="Times New Roman" w:hAnsi="Times New Roman"/>
          <w:caps w:val="false"/>
          <w:smallCaps w:val="false"/>
          <w:sz w:val="20"/>
          <w:shd w:fill="FFFFFF" w:val="clear"/>
        </w:rPr>
        <w:t xml:space="preserve"> August 9, 2021, </w:t>
      </w:r>
      <w:r>
        <w:rPr>
          <w:rFonts w:ascii="Times New Roman" w:hAnsi="Times New Roman"/>
          <w:caps w:val="false"/>
          <w:smallCaps w:val="false"/>
          <w:sz w:val="20"/>
          <w:shd w:fill="FFFFFF" w:val="clear"/>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shd w:fill="FFFFFF" w:val="clear"/>
        </w:rPr>
        <w:t>2016</w:t>
      </w:r>
      <w:r>
        <w:rPr>
          <w:rFonts w:ascii="Times New Roman" w:hAnsi="Times New Roman"/>
          <w:caps w:val="false"/>
          <w:smallCaps w:val="false"/>
          <w:sz w:val="20"/>
          <w:shd w:fill="FFFFFF" w:val="clear"/>
        </w:rPr>
        <w:t> and </w:t>
      </w:r>
      <w:r>
        <w:rPr>
          <w:rStyle w:val="Emphasis"/>
          <w:rFonts w:ascii="Times New Roman" w:hAnsi="Times New Roman"/>
          <w:caps w:val="false"/>
          <w:smallCaps w:val="false"/>
          <w:sz w:val="20"/>
          <w:shd w:fill="FFFFFF" w:val="clear"/>
        </w:rPr>
        <w:t>2019,</w:t>
      </w:r>
      <w:r>
        <w:rPr>
          <w:rFonts w:ascii="Times New Roman" w:hAnsi="Times New Roman"/>
          <w:caps w:val="false"/>
          <w:smallCaps w:val="false"/>
          <w:sz w:val="20"/>
          <w:shd w:fill="FFFFFF" w:val="clear"/>
        </w:rPr>
        <w:t> informing the Company that the Comptroller believes the Company did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shd w:fill="FFFFFF" w:val="clear"/>
        </w:rPr>
        <w:t xml:space="preserve">May 2021, </w:t>
      </w:r>
      <w:r>
        <w:rPr>
          <w:rFonts w:ascii="Times New Roman" w:hAnsi="Times New Roman"/>
          <w:caps w:val="false"/>
          <w:smallCaps w:val="false"/>
          <w:sz w:val="20"/>
          <w:shd w:fill="FFFFFF" w:val="clear"/>
        </w:rPr>
        <w:t>but challenged the remaining tax assessments and vigorously defended its position. </w:t>
      </w:r>
      <w:r>
        <w:rPr>
          <w:rFonts w:ascii="Times New Roman" w:hAnsi="Times New Roman"/>
          <w:caps w:val="false"/>
          <w:smallCaps w:val="false"/>
          <w:sz w:val="20"/>
        </w:rPr>
        <w:t xml:space="preserve">The Comptroller’s office exhausted its redetermination period and therefore moved AOI’s case to the hearing process. In </w:t>
      </w:r>
      <w:r>
        <w:rPr>
          <w:rStyle w:val="Emphasis"/>
          <w:rFonts w:ascii="Times New Roman" w:hAnsi="Times New Roman"/>
          <w:caps w:val="false"/>
          <w:smallCaps w:val="false"/>
          <w:sz w:val="20"/>
        </w:rPr>
        <w:t xml:space="preserve">April 2023 </w:t>
      </w:r>
      <w:r>
        <w:rPr>
          <w:rFonts w:ascii="Times New Roman" w:hAnsi="Times New Roman"/>
          <w:caps w:val="false"/>
          <w:smallCaps w:val="false"/>
          <w:sz w:val="20"/>
        </w:rPr>
        <w:t xml:space="preserve">the Company received a notice from an attorney representing the Administrative Hearings Section ("AHS") to issue a Position Letter.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updated action was taken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this year.</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pPr>
      <w:r>
        <w:rPr>
          <w:rStyle w:val="Emphasis"/>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2024 and the audited consolidated financial statements and notes thereto and management’s discussion and analysis of financial condition and results of operations for the fiscal year ended December 31, 2023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2023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internet data centers, cable television, ("CATV"), telecommunications, ("telecom"), and fiber-to-the-home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return-path bandwidth available to offer to their customers. In the FTTH market, we benefit from continuing PON deployments and system updates among telecom service providers. In the telecom market, we benefit from deployment of new high-speed fiber-optic networks by telecom network operators, including 5G networks.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Each manufacturing facility conducts testing on the components, modules or subsystems it manufactures and each facility is certified to </w:t>
      </w:r>
      <w:r>
        <w:rPr>
          <w:rFonts w:ascii="Times New Roman;Times;serif" w:hAnsi="Times New Roman;Times;serif"/>
          <w:sz w:val="20"/>
          <w:shd w:fill="FFFFFF" w:val="clear"/>
        </w:rPr>
        <w:t>ISO 9001:2015. Our facilities in Ningbo, China, Taipei, Taiwan, and Sugar Land, Texas are all certified to ISO 14001:2015.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Termination of the Divestiture Agreement with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15, 2022, the Company and Prime World International Holdings Ltd. (the "Seller") entered into the Purchase Agreement with Yuhan Optoelectronic Technology (Shanghai) Co., Ltd. (the "Purchaser") for the sale of the manufacturing facilities in the People's Republic of China and certain assets related to its transceiver business and multi-channel optical sub-assembly products. On September 12, 2023, we delivered a notice of termination to the Purchaser to terminate the Purchase Agreement as a result of the Purchaser's failure to satisfy certain of its material obligations under the Purchase Agreement. In doing so, we also asserted the right to recover a break-up fee from the Purchaser. On December 22, 2023, the Purchaser filed for arbitration in Hong Kong with the Hong Kong International Arbitration Centre disputing the validity of our termination notice and seeking specific performance with respect to the transactions contemplated by the Purchase Agreement, which would in any case remain subject to regulatory approvals. We filed our response on January 22, 2024, generally denying the Purchaser’s allegations and asserting certain counterclaims. The HKIAC Tribunal issued a procedural order on April 17, 2024 setting the evidentiary hearing to be held on September 2025. While we do not believe the Purchaser’s claims have merit, we are not able to determine the outcome of this dispute or the likelihood or amount of our loss or recovery, if any, arising from this matter.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 forth our consolidated results of operations for the periods presented and as a percentage of our revenue for those periods (in thousands, except percentages):</w:t>
      </w:r>
    </w:p>
    <w:p>
      <w:pPr>
        <w:pStyle w:val="TextBody"/>
        <w:bidi w:val="0"/>
        <w:spacing w:before="0" w:after="0"/>
        <w:ind w:left="0" w:right="0" w:firstLine="720"/>
        <w:jc w:val="left"/>
        <w:rPr/>
      </w:pPr>
      <w:r>
        <w:rPr/>
        <w:t> </w:t>
      </w:r>
    </w:p>
    <w:tbl>
      <w:tblPr>
        <w:tblW w:w="6265" w:type="dxa"/>
        <w:jc w:val="left"/>
        <w:tblInd w:w="0" w:type="dxa"/>
        <w:tblLayout w:type="fixed"/>
        <w:tblCellMar>
          <w:top w:w="0" w:type="dxa"/>
          <w:left w:w="0" w:type="dxa"/>
          <w:bottom w:w="0" w:type="dxa"/>
          <w:right w:w="0" w:type="dxa"/>
        </w:tblCellMar>
      </w:tblPr>
      <w:tblGrid>
        <w:gridCol w:w="2735"/>
        <w:gridCol w:w="60"/>
        <w:gridCol w:w="125"/>
        <w:gridCol w:w="650"/>
        <w:gridCol w:w="80"/>
        <w:gridCol w:w="60"/>
        <w:gridCol w:w="60"/>
        <w:gridCol w:w="485"/>
        <w:gridCol w:w="245"/>
        <w:gridCol w:w="60"/>
        <w:gridCol w:w="125"/>
        <w:gridCol w:w="650"/>
        <w:gridCol w:w="80"/>
        <w:gridCol w:w="60"/>
        <w:gridCol w:w="60"/>
        <w:gridCol w:w="485"/>
        <w:gridCol w:w="24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25"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2024 and 2023 (in thousands, except percentages):</w:t>
      </w:r>
    </w:p>
    <w:p>
      <w:pPr>
        <w:pStyle w:val="TextBody"/>
        <w:bidi w:val="0"/>
        <w:spacing w:before="0" w:after="0"/>
        <w:ind w:left="0" w:right="0" w:hanging="0"/>
        <w:jc w:val="left"/>
        <w:rPr/>
      </w:pPr>
      <w:r>
        <w:rPr/>
        <w:t>​</w:t>
      </w:r>
    </w:p>
    <w:tbl>
      <w:tblPr>
        <w:tblW w:w="6580"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81"/>
        <w:gridCol w:w="659"/>
        <w:gridCol w:w="185"/>
        <w:gridCol w:w="60"/>
        <w:gridCol w:w="125"/>
        <w:gridCol w:w="590"/>
        <w:gridCol w:w="60"/>
        <w:gridCol w:w="60"/>
        <w:gridCol w:w="81"/>
        <w:gridCol w:w="659"/>
        <w:gridCol w:w="185"/>
        <w:gridCol w:w="60"/>
        <w:gridCol w:w="125"/>
        <w:gridCol w:w="650"/>
        <w:gridCol w:w="80"/>
        <w:gridCol w:w="60"/>
        <w:gridCol w:w="60"/>
        <w:gridCol w:w="440"/>
        <w:gridCol w:w="24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The changes in revenue during the three months ended </w:t>
      </w:r>
      <w:r>
        <w:rPr>
          <w:rFonts w:ascii="Times New Roman;Times;serif" w:hAnsi="Times New Roman;Times;serif"/>
          <w:sz w:val="20"/>
        </w:rPr>
        <w:t>March 31, 2024 and 2023</w:t>
      </w:r>
      <w:r>
        <w:rPr>
          <w:rFonts w:ascii="Times New Roman;Times;serif" w:hAnsi="Times New Roman;Times;serif"/>
          <w:sz w:val="20"/>
          <w:shd w:fill="FFFFFF" w:val="clear"/>
        </w:rPr>
        <w:t xml:space="preserve"> were </w:t>
      </w:r>
      <w:r>
        <w:rPr>
          <w:rFonts w:ascii="Times New Roman;Times;serif" w:hAnsi="Times New Roman;Times;serif"/>
          <w:sz w:val="20"/>
        </w:rPr>
        <w:t>primarily due to strong demand from major data center customers, partially offset by weak demand from CATV customers. CATV demand in the 3 months ended March 31, 2024 was lower than in the corresponding period in the prior year largely due to a pending technology transition from older-generation products compliant with the Data Over Cable Service Interface Specification (DOCSIS) version 3.1, to the newer DOCSIS 4.0 standard. Due to the pending transition from the older to newer standard, customers are placing fewer orders for the older products and instead reducing their inventory of such products.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begun to see increased orders for our 400G data center products from several large customers. </w:t>
      </w:r>
      <w:r>
        <w:rPr>
          <w:rFonts w:ascii="Times New Roman;Times;serif" w:hAnsi="Times New Roman;Times;serif"/>
          <w:color w:val="000000"/>
          <w:sz w:val="20"/>
        </w:rPr>
        <w:t xml:space="preserve">Based on forecasts from our customers, we expect increased demand for these products through the end of 2024. </w:t>
      </w:r>
      <w:r>
        <w:rPr>
          <w:rFonts w:ascii="Times New Roman;Times;serif" w:hAnsi="Times New Roman;Times;serif"/>
          <w:sz w:val="20"/>
        </w:rPr>
        <w:t>We entered into a supply agreement with Microsoft to design certain datacenter goods and to build a supply chain to manufacture, assemble, sell and ship the goods to them or an authorized purchasing entity. The initial term of the agreement is five years with automatic renewal unless terminated earlier.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For the three months ended </w:t>
      </w:r>
      <w:r>
        <w:rPr>
          <w:rFonts w:ascii="Times New Roman;Times;serif" w:hAnsi="Times New Roman;Times;serif"/>
          <w:sz w:val="20"/>
        </w:rPr>
        <w:t>March 31, 2024 and 2023</w:t>
      </w:r>
      <w:r>
        <w:rPr>
          <w:rFonts w:ascii="Times New Roman;Times;serif" w:hAnsi="Times New Roman;Times;serif"/>
          <w:sz w:val="20"/>
          <w:shd w:fill="FFFFFF" w:val="clear"/>
        </w:rPr>
        <w:t>, our top ten customers represented 92% and 93%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bidi w:val="0"/>
        <w:spacing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535"/>
        <w:gridCol w:w="60"/>
        <w:gridCol w:w="125"/>
        <w:gridCol w:w="590"/>
        <w:gridCol w:w="60"/>
        <w:gridCol w:w="60"/>
        <w:gridCol w:w="100"/>
        <w:gridCol w:w="640"/>
        <w:gridCol w:w="185"/>
        <w:gridCol w:w="60"/>
        <w:gridCol w:w="125"/>
        <w:gridCol w:w="590"/>
        <w:gridCol w:w="60"/>
        <w:gridCol w:w="60"/>
        <w:gridCol w:w="100"/>
        <w:gridCol w:w="640"/>
        <w:gridCol w:w="185"/>
        <w:gridCol w:w="60"/>
        <w:gridCol w:w="125"/>
        <w:gridCol w:w="650"/>
        <w:gridCol w:w="80"/>
        <w:gridCol w:w="60"/>
        <w:gridCol w:w="60"/>
        <w:gridCol w:w="440"/>
        <w:gridCol w:w="24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5055"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decreased by $10.7 million, or 24.4% for the three months ended </w:t>
      </w:r>
      <w:r>
        <w:rPr>
          <w:rFonts w:ascii="Times New Roman;Times;serif" w:hAnsi="Times New Roman;Times;serif"/>
          <w:sz w:val="20"/>
        </w:rPr>
        <w:t>March 31,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2023</w:t>
      </w:r>
      <w:r>
        <w:rPr>
          <w:rFonts w:ascii="Times New Roman;Times;serif" w:hAnsi="Times New Roman;Times;serif"/>
          <w:sz w:val="20"/>
          <w:shd w:fill="FFFFFF" w:val="clear"/>
        </w:rPr>
        <w:t>, primarily due to less sales in the first quarter, offset by less inventory write-off expenses and less inventory reserve expenses</w:t>
      </w:r>
      <w:r>
        <w:rPr>
          <w:rFonts w:ascii="Times New Roman;Times;serif" w:hAnsi="Times New Roman;Times;serif"/>
          <w:color w:val="000000"/>
          <w:sz w:val="20"/>
          <w:shd w:fill="FFFFFF" w:val="clear"/>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Gross profit decreased by $1.7 million for the three months ended </w:t>
      </w:r>
      <w:r>
        <w:rPr>
          <w:rFonts w:ascii="Times New Roman;Times;serif" w:hAnsi="Times New Roman;Times;serif"/>
          <w:sz w:val="20"/>
        </w:rPr>
        <w:t>March 31,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2023</w:t>
      </w:r>
      <w:r>
        <w:rPr>
          <w:rFonts w:ascii="Times New Roman;Times;serif" w:hAnsi="Times New Roman;Times;serif"/>
          <w:sz w:val="20"/>
          <w:shd w:fill="FFFFFF" w:val="clear"/>
        </w:rPr>
        <w:t>, primarily as a result of</w:t>
      </w:r>
      <w:r>
        <w:rPr>
          <w:rFonts w:ascii="Times New Roman;Times;serif" w:hAnsi="Times New Roman;Times;serif"/>
          <w:color w:val="000000"/>
          <w:sz w:val="20"/>
          <w:shd w:fill="FFFFFF" w:val="clear"/>
        </w:rPr>
        <w:t>less sales in CATV business, offset by less COGS expenses. The gross margin for the three months ended March 31, 2024 is close to the three months ended March 31, 2023, due to the mix of sales.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hanging="0"/>
        <w:jc w:val="left"/>
        <w:rPr/>
      </w:pPr>
      <w:r>
        <w:rPr/>
        <w:t>​</w:t>
      </w:r>
    </w:p>
    <w:tbl>
      <w:tblPr>
        <w:tblW w:w="7260"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42"/>
        <w:gridCol w:w="553"/>
        <w:gridCol w:w="60"/>
        <w:gridCol w:w="60"/>
        <w:gridCol w:w="60"/>
        <w:gridCol w:w="380"/>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80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Research and development expense increased by $3.2 million, or 37.2 % for the three months ended </w:t>
      </w:r>
      <w:r>
        <w:rPr>
          <w:rFonts w:ascii="Times New Roman;Times;serif" w:hAnsi="Times New Roman;Times;serif"/>
          <w:sz w:val="20"/>
        </w:rPr>
        <w:t>March 31,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2023</w:t>
      </w:r>
      <w:r>
        <w:rPr>
          <w:rFonts w:ascii="Times New Roman;Times;serif" w:hAnsi="Times New Roman;Times;serif"/>
          <w:sz w:val="20"/>
          <w:shd w:fill="FFFFFF" w:val="clear"/>
        </w:rPr>
        <w:t xml:space="preserve">. </w:t>
      </w:r>
      <w:r>
        <w:rPr>
          <w:rFonts w:ascii="Times New Roman;Times;serif" w:hAnsi="Times New Roman;Times;serif"/>
          <w:sz w:val="20"/>
        </w:rPr>
        <w:t>The increase was primarily due to</w:t>
      </w:r>
      <w:r>
        <w:rPr>
          <w:rFonts w:ascii="Times New Roman;Times;serif" w:hAnsi="Times New Roman;Times;serif"/>
          <w:color w:val="CC0000"/>
          <w:sz w:val="20"/>
        </w:rPr>
        <w:t> </w:t>
      </w:r>
      <w:r>
        <w:rPr>
          <w:rFonts w:ascii="Times New Roman;Times;serif" w:hAnsi="Times New Roman;Times;serif"/>
          <w:color w:val="000000"/>
          <w:sz w:val="20"/>
        </w:rPr>
        <w:t>more personnel-related expense for hiring R&amp;D engineers, more R&amp;D related project costs and more R&amp;D consulting fees for ongoing R&amp;D projects.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Sales and marketing expense increased by $1.5 million, or 63.2% for the three months ended March 31, 2024 compared to the three months ended March 31, 2023. The increase was primarily </w:t>
      </w:r>
      <w:r>
        <w:rPr>
          <w:rFonts w:ascii="Times New Roman;Times;serif" w:hAnsi="Times New Roman;Times;serif"/>
          <w:color w:val="000000"/>
          <w:sz w:val="20"/>
        </w:rPr>
        <w:t>due to the business development effort on quantum bandwidth products and higher shipping costs.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General and administrative expense increased by $1.2 million, or 9.4% for the three months ended </w:t>
      </w:r>
      <w:r>
        <w:rPr>
          <w:rFonts w:ascii="Times New Roman;Times;serif" w:hAnsi="Times New Roman;Times;serif"/>
          <w:sz w:val="20"/>
        </w:rPr>
        <w:t>March 31,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2023</w:t>
      </w:r>
      <w:r>
        <w:rPr>
          <w:rFonts w:ascii="Times New Roman;Times;serif" w:hAnsi="Times New Roman;Times;serif"/>
          <w:sz w:val="20"/>
          <w:shd w:fill="FFFFFF" w:val="clear"/>
        </w:rPr>
        <w:t>. This increase was primarily due to higher legal fees and higher share based compensation expense.</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0"/>
        <w:ind w:left="0" w:right="0" w:hanging="0"/>
        <w:jc w:val="left"/>
        <w:rPr/>
      </w:pPr>
      <w:r>
        <w:rPr/>
        <w:t>​</w:t>
      </w:r>
    </w:p>
    <w:tbl>
      <w:tblPr>
        <w:tblW w:w="8090" w:type="dxa"/>
        <w:jc w:val="left"/>
        <w:tblInd w:w="0" w:type="dxa"/>
        <w:tblLayout w:type="fixed"/>
        <w:tblCellMar>
          <w:top w:w="0" w:type="dxa"/>
          <w:left w:w="0" w:type="dxa"/>
          <w:bottom w:w="0" w:type="dxa"/>
          <w:right w:w="0" w:type="dxa"/>
        </w:tblCellMar>
      </w:tblPr>
      <w:tblGrid>
        <w:gridCol w:w="2735"/>
        <w:gridCol w:w="60"/>
        <w:gridCol w:w="129"/>
        <w:gridCol w:w="566"/>
        <w:gridCol w:w="80"/>
        <w:gridCol w:w="60"/>
        <w:gridCol w:w="104"/>
        <w:gridCol w:w="591"/>
        <w:gridCol w:w="245"/>
        <w:gridCol w:w="60"/>
        <w:gridCol w:w="129"/>
        <w:gridCol w:w="566"/>
        <w:gridCol w:w="80"/>
        <w:gridCol w:w="60"/>
        <w:gridCol w:w="104"/>
        <w:gridCol w:w="591"/>
        <w:gridCol w:w="245"/>
        <w:gridCol w:w="60"/>
        <w:gridCol w:w="188"/>
        <w:gridCol w:w="507"/>
        <w:gridCol w:w="80"/>
        <w:gridCol w:w="60"/>
        <w:gridCol w:w="60"/>
        <w:gridCol w:w="48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05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increased by $ 0.2 million, or 690% for the three months ended March 31, 2024 compared to the three months ended March 31, 2023. The increase is due to </w:t>
      </w:r>
      <w:r>
        <w:rPr>
          <w:rFonts w:ascii="Times New Roman;Times;serif" w:hAnsi="Times New Roman;Times;serif"/>
          <w:color w:val="000000"/>
          <w:sz w:val="20"/>
        </w:rPr>
        <w:t>higher saving balances and higher interest rate on our saving account in Q1 2024</w:t>
      </w:r>
      <w:r>
        <w:rPr>
          <w:rFonts w:ascii="Times New Roman;Times;serif" w:hAnsi="Times New Roman;Times;serif"/>
          <w:color w:val="CC0000"/>
          <w:sz w:val="20"/>
        </w:rPr>
        <w:t>.</w:t>
      </w:r>
      <w:r>
        <w:rPr>
          <w:rFonts w:ascii="Times New Roman;Times;serif" w:hAnsi="Times New Roman;Times;serif"/>
          <w:sz w:val="20"/>
        </w:rPr>
        <w: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decreased by $0.5 million, or 21.6% for the three months ended March 31, 2024 compared to the three months ended March 31, 2023. The decrease was due to </w:t>
      </w:r>
      <w:r>
        <w:rPr>
          <w:rFonts w:ascii="Times New Roman;Times;serif" w:hAnsi="Times New Roman;Times;serif"/>
          <w:color w:val="000000"/>
          <w:sz w:val="20"/>
        </w:rPr>
        <w:t>the termination of CIT loan in November 2023.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Other expenses increased by $0.87 million, or 400%, for the three months ended </w:t>
      </w:r>
      <w:r>
        <w:rPr>
          <w:rFonts w:ascii="Times New Roman;Times;serif" w:hAnsi="Times New Roman;Times;serif"/>
          <w:sz w:val="20"/>
        </w:rPr>
        <w:t>March 31,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2023</w:t>
      </w:r>
      <w:r>
        <w:rPr>
          <w:rFonts w:ascii="Times New Roman;Times;serif" w:hAnsi="Times New Roman;Times;serif"/>
          <w:sz w:val="20"/>
          <w:shd w:fill="FFFFFF" w:val="clear"/>
        </w:rPr>
        <w:t>.</w:t>
      </w:r>
      <w:r>
        <w:rPr>
          <w:rFonts w:ascii="Times New Roman;Times;serif" w:hAnsi="Times New Roman;Times;serif"/>
          <w:sz w:val="20"/>
        </w:rPr>
        <w:t xml:space="preserve"> This increase was mainly </w:t>
      </w:r>
      <w:r>
        <w:rPr>
          <w:rFonts w:ascii="Times New Roman;Times;serif" w:hAnsi="Times New Roman;Times;serif"/>
          <w:color w:val="000000"/>
          <w:sz w:val="20"/>
        </w:rPr>
        <w:t>due to less government subsidy to offset the expense during this quarter.</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 for the three months </w:t>
      </w:r>
      <w:r>
        <w:rPr>
          <w:rFonts w:ascii="Times New Roman;Times;serif" w:hAnsi="Times New Roman;Times;serif"/>
          <w:sz w:val="20"/>
        </w:rPr>
        <w:t>ended March 31, 2024 and 2023</w:t>
      </w:r>
      <w:r>
        <w:rPr>
          <w:rFonts w:ascii="Times New Roman;Times;serif" w:hAnsi="Times New Roman;Times;serif"/>
          <w:sz w:val="20"/>
          <w:shd w:fill="FFFFFF" w:val="clear"/>
        </w:rPr>
        <w:t xml:space="preserve"> was 0%. The effective tax rate varied from the federal statutory rate of 21% primarily due to the change of the valuation allowance on federal, state, Taiwan, and China deferred tax assets ("DTA").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To the extent that we make investments in expanding manufacturing in our semiconductor fabrication facility in Texas, we believe that the CHIPS Act would provide a refundable tax credit for certain equipment and facilities upgrades. We did not make significant such investments in the three months ended March 31, 2024, but we intend to continue to evaluate future investments for applicability to the tax credit provisions of the CHIPS Act.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0"/>
        <w:ind w:left="0" w:right="0" w:hanging="0"/>
        <w:jc w:val="left"/>
        <w:rPr/>
      </w:pPr>
      <w:r>
        <w:rPr/>
        <w:t> </w:t>
      </w:r>
    </w:p>
    <w:tbl>
      <w:tblPr>
        <w:tblW w:w="9480" w:type="dxa"/>
        <w:jc w:val="left"/>
        <w:tblInd w:w="0" w:type="dxa"/>
        <w:tblLayout w:type="fixed"/>
        <w:tblCellMar>
          <w:top w:w="0" w:type="dxa"/>
          <w:left w:w="0" w:type="dxa"/>
          <w:bottom w:w="0" w:type="dxa"/>
          <w:right w:w="0" w:type="dxa"/>
        </w:tblCellMar>
      </w:tblPr>
      <w:tblGrid>
        <w:gridCol w:w="3890"/>
        <w:gridCol w:w="60"/>
        <w:gridCol w:w="125"/>
        <w:gridCol w:w="650"/>
        <w:gridCol w:w="80"/>
        <w:gridCol w:w="60"/>
        <w:gridCol w:w="83"/>
        <w:gridCol w:w="612"/>
        <w:gridCol w:w="245"/>
        <w:gridCol w:w="60"/>
        <w:gridCol w:w="125"/>
        <w:gridCol w:w="650"/>
        <w:gridCol w:w="80"/>
        <w:gridCol w:w="60"/>
        <w:gridCol w:w="83"/>
        <w:gridCol w:w="612"/>
        <w:gridCol w:w="245"/>
        <w:gridCol w:w="60"/>
        <w:gridCol w:w="60"/>
        <w:gridCol w:w="650"/>
        <w:gridCol w:w="80"/>
        <w:gridCol w:w="60"/>
        <w:gridCol w:w="60"/>
        <w:gridCol w:w="545"/>
        <w:gridCol w:w="245"/>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28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loss increased by $10.2 million, or 69.5%, for the three months ended </w:t>
      </w:r>
      <w:r>
        <w:rPr>
          <w:rFonts w:ascii="Times New Roman;Times;serif" w:hAnsi="Times New Roman;Times;serif"/>
          <w:sz w:val="20"/>
        </w:rPr>
        <w:t>March 31, 2024</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March 31, 2023</w:t>
      </w:r>
      <w:r>
        <w:rPr>
          <w:rFonts w:ascii="Times New Roman;Times;serif" w:hAnsi="Times New Roman;Times;serif"/>
          <w:sz w:val="20"/>
          <w:shd w:fill="FFFFFF" w:val="clear"/>
        </w:rPr>
        <w:t>, primarily due to increase of net loss of $6.9 million and increase of $3.3 million in loss on foreign currency translation adjustments for non-U.S. dollar functional currency operations.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2024, we ha</w:t>
      </w:r>
      <w:r>
        <w:rPr>
          <w:rFonts w:ascii="Times New Roman;Times;serif" w:hAnsi="Times New Roman;Times;serif"/>
          <w:sz w:val="20"/>
          <w:shd w:fill="FFFFFF" w:val="clear"/>
        </w:rPr>
        <w:t xml:space="preserve">d $29.4 million </w:t>
      </w:r>
      <w:r>
        <w:rPr>
          <w:rFonts w:ascii="Times New Roman;Times;serif" w:hAnsi="Times New Roman;Times;serif"/>
          <w:sz w:val="20"/>
        </w:rPr>
        <w:t>of unused borrowing capacity from all of our loan agreements. As of March 31, 2024, our cash, cash equivalents and restricted cash totale</w:t>
      </w:r>
      <w:r>
        <w:rPr>
          <w:rFonts w:ascii="Times New Roman;Times;serif" w:hAnsi="Times New Roman;Times;serif"/>
          <w:sz w:val="20"/>
          <w:shd w:fill="FFFFFF" w:val="clear"/>
        </w:rPr>
        <w:t xml:space="preserve">d $17.4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5, 2023, the Company filed a Registration Statement on Form S-3 with the Securities and Exchange Commission, which was declared effective on March 21, 2023, providing for the public offer and sale of certain securities of the Company from time to time, at our discretion, up to an aggregate amount of $185 million.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13, 2024, we entered into an Equity Distribution Agreement (the "Agreement") with Raymond James &amp; Associates (the "Sales Agent") pursuant to which the Company may issue and sell shares of the Company’s common stock, par value $0.001 per share (the "Shares") having an aggregate offering price of up to $25 million (the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As of March 31, 2024, we have sold approximately 270,000 shares of the Company's common stock with an aggregate offering price of approximately $4.0 million under the current ATM Offering.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details of the shares of common stock sold through the ATM Offering are as follows (in thousands, except shares and weighted average per share price):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28" w:type="dxa"/>
          <w:right w:w="0" w:type="dxa"/>
        </w:tblCellMar>
      </w:tblPr>
      <w:tblGrid>
        <w:gridCol w:w="1840"/>
        <w:gridCol w:w="60"/>
        <w:gridCol w:w="759"/>
        <w:gridCol w:w="60"/>
        <w:gridCol w:w="100"/>
        <w:gridCol w:w="1163"/>
        <w:gridCol w:w="60"/>
        <w:gridCol w:w="60"/>
        <w:gridCol w:w="263"/>
        <w:gridCol w:w="1475"/>
        <w:gridCol w:w="60"/>
        <w:gridCol w:w="60"/>
        <w:gridCol w:w="206"/>
        <w:gridCol w:w="806"/>
        <w:gridCol w:w="60"/>
        <w:gridCol w:w="60"/>
        <w:gridCol w:w="704"/>
        <w:gridCol w:w="1300"/>
        <w:gridCol w:w="60"/>
        <w:gridCol w:w="60"/>
        <w:gridCol w:w="188"/>
        <w:gridCol w:w="736"/>
        <w:gridCol w:w="65"/>
      </w:tblGrid>
      <w:tr>
        <w:trPr/>
        <w:tc>
          <w:tcPr>
            <w:tcW w:w="18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18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759"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ind w:left="0" w:right="0" w:hanging="0"/>
              <w:jc w:val="left"/>
              <w:rPr/>
            </w:pPr>
            <w:r>
              <w:rPr/>
              <w:t> </w:t>
            </w:r>
          </w:p>
        </w:tc>
        <w:tc>
          <w:tcPr>
            <w:tcW w:w="11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659" w:type="dxa"/>
            <w:gridSpan w:val="3"/>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6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w:t>
            </w:r>
          </w:p>
        </w:tc>
        <w:tc>
          <w:tcPr>
            <w:tcW w:w="6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 Offerings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5, 2019, the Company issued $80.5 million of 5% convertible senior notes due 2024 (the "2024 Notes"), bearing interest at a rate of 5% per year maturing on March 15, 2024, unless earlier repurchased, redeemed or converted in accordance with their terms. The sale of the 2024 Notes generated net proceeds of $76.4 million, after expenses. The Company paid off the remaining $286,000 of the 2024 Notes on March 15, 2024. Also, refer to Note 12 "Convertible Senior Notes" to the consolidated financial statements for further discussion of the 2024 Notes.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5, 2023, the Company issued $80.2 million of 5.25% convertible senior notes due 2026 (the "2026 Notes"), bearing interest at a rate of 5.25% per year maturing on December 5, 2026, unless earlier repurchased, redeemed or converted in accordance with their terms. The sale of the 2026 Notes generated net proceeds of $76.2 million, after expenses.  Also, refer to Note 12 "Convertible Senior Notes" to the consolidated financial statements for further discussion of the 2026 Notes.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bidi w:val="0"/>
        <w:spacing w:before="0" w:after="0"/>
        <w:ind w:left="0" w:right="0" w:firstLine="720"/>
        <w:jc w:val="left"/>
        <w:rPr/>
      </w:pPr>
      <w:r>
        <w:rPr/>
        <w:t>​</w:t>
      </w:r>
    </w:p>
    <w:tbl>
      <w:tblPr>
        <w:tblW w:w="7137" w:type="dxa"/>
        <w:jc w:val="left"/>
        <w:tblInd w:w="0" w:type="dxa"/>
        <w:tblLayout w:type="fixed"/>
        <w:tblCellMar>
          <w:top w:w="0" w:type="dxa"/>
          <w:left w:w="0" w:type="dxa"/>
          <w:bottom w:w="0" w:type="dxa"/>
          <w:right w:w="0" w:type="dxa"/>
        </w:tblCellMar>
      </w:tblPr>
      <w:tblGrid>
        <w:gridCol w:w="4355"/>
        <w:gridCol w:w="60"/>
        <w:gridCol w:w="208"/>
        <w:gridCol w:w="1084"/>
        <w:gridCol w:w="133"/>
        <w:gridCol w:w="100"/>
        <w:gridCol w:w="208"/>
        <w:gridCol w:w="909"/>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(28,481</w:t>
            </w:r>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(37,692</w:t>
            </w:r>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2024, net cash used in operating activities was $28.5 million. Net cash used in operating activities consisted of our net loss of $23.2 million after exclusion of non-cash items of $10.2 million. Cash decreased due to accounts receivable increase of $9.4 million, accounts payable decrease of $9.3 million and accrued liability decrease of $5.1 million, offset by inventory decrease of $7.3 million.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2023, net cash used in operating activities was $9.4 million. Net cash used in operating activities consisted of our net loss of $16.3 million after exclusion of non-cash items of $9.5 million. Cash decreased due to an increase in accounts receivable of $4.4 million, an increase in trade receivables from our customers of $0.7 million together with decrease in accounts payable of $9.4 million and accrued liabilities of $3.8 million, respectively, offset with a decrease in inventory of $7.4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2024, net cash used in investing activities was $8.1 million, mainly from the purchase of additional plant, machinery and equipment.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2023, net cash used in investing activities was $0.8 million, mainly from the purchase of additional plant, machinery and equipment.</w:t>
      </w:r>
    </w:p>
    <w:p>
      <w:pPr>
        <w:pStyle w:val="TextBody"/>
        <w:bidi w:val="0"/>
        <w:spacing w:before="0" w:after="0"/>
        <w:ind w:left="0" w:right="0" w:firstLine="720"/>
        <w:jc w:val="left"/>
        <w:rPr/>
      </w:pPr>
      <w:r>
        <w:rPr/>
        <w:t> </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2024, net cash used in financing activities was $1.4 million. This decrease in cash was due to the net repayment of bank acceptance of $4.7 million, offset by the proceeds from the ATM program of $3.8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2023, our financing activities provided $1.1 million in cash. This increase in cash was due to $6.7 million of net proceeds from bank acceptances and $0.4 million of net proceeds from our At The Market (ATM) Offering, offset by the repayment of loan of $5.9 million lines of credit.</w:t>
      </w:r>
    </w:p>
    <w:p>
      <w:pPr>
        <w:pStyle w:val="TextBody"/>
        <w:bidi w:val="0"/>
        <w:spacing w:before="0" w:after="0"/>
        <w:ind w:left="0" w:right="0" w:firstLine="720"/>
        <w:jc w:val="left"/>
        <w:rPr/>
      </w:pPr>
      <w:r>
        <w:rPr/>
        <w:t> </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Loans and commitments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color w:val="000000"/>
          <w:sz w:val="20"/>
        </w:rPr>
        <w:t xml:space="preserve">We have lending arrangements with two financial institutions in China. Currently, in the US, we do not have any lending arrangement. As of </w:t>
      </w:r>
      <w:r>
        <w:rPr>
          <w:rFonts w:ascii="Times New Roman;Times;serif" w:hAnsi="Times New Roman;Times;serif"/>
          <w:sz w:val="20"/>
        </w:rPr>
        <w:t>March 31, 2024</w:t>
      </w:r>
      <w:r>
        <w:rPr>
          <w:rFonts w:ascii="Times New Roman;Times;serif" w:hAnsi="Times New Roman;Times;serif"/>
          <w:color w:val="000000"/>
          <w:sz w:val="20"/>
        </w:rPr>
        <w:t>, we were in compliance with the covenant in the lending arrangements.</w:t>
      </w:r>
    </w:p>
    <w:p>
      <w:pPr>
        <w:pStyle w:val="TextBody"/>
        <w:bidi w:val="0"/>
        <w:spacing w:before="0" w:after="0"/>
        <w:ind w:left="0" w:right="0" w:firstLine="720"/>
        <w:jc w:val="left"/>
        <w:rPr>
          <w:color w:val="FF0000"/>
        </w:rPr>
      </w:pPr>
      <w:r>
        <w:rPr>
          <w:color w:val="FF000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March 31, 2024</w:t>
      </w:r>
      <w:r>
        <w:rPr>
          <w:rFonts w:ascii="Times New Roman;Times;serif" w:hAnsi="Times New Roman;Times;serif"/>
          <w:sz w:val="20"/>
          <w:shd w:fill="FFFFFF" w:val="clear"/>
        </w:rPr>
        <w:t>, we had $29.4 million of unused borrowing capacity.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March 5, 2019, we issued $80.5 million of 5% convertible senior notes due in 2024. </w:t>
      </w:r>
      <w:r>
        <w:rPr>
          <w:rFonts w:ascii="Times New Roman;Times;serif" w:hAnsi="Times New Roman;Times;serif"/>
          <w:color w:val="000000"/>
          <w:sz w:val="20"/>
        </w:rPr>
        <w:t>The 2024 Note was paid off by March 15, 2024.</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On December 5, 2023, we issued $80.2 million of 5.25% convertible senior notes due in 2026. The 2026 Notes mature on December 5, 2026, unless earlier repurchased, redeemed or converted in accordance with their terms.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China factory construction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March 31, 2024,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service in the year 2024 after the construction is completed for the building interior work. Property will be transferred from construction in progress to building and improvement at that time.</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$17.4 million as of March 31, 2024, a decrease of approximately $37.7 million compared to December 31, 2023.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2024, we </w:t>
      </w:r>
      <w:r>
        <w:rPr>
          <w:rFonts w:ascii="Times New Roman;Times;serif" w:hAnsi="Times New Roman;Times;serif"/>
          <w:color w:val="000000"/>
          <w:sz w:val="20"/>
        </w:rPr>
        <w:t>had a total loan balance (excluding convertible notes) of $24.1 million from</w:t>
      </w:r>
      <w:r>
        <w:rPr>
          <w:rFonts w:ascii="Times New Roman;Times;serif" w:hAnsi="Times New Roman;Times;serif"/>
          <w:sz w:val="20"/>
        </w:rPr>
        <w:t xml:space="preserve"> various lenders in China and had $29.4 million available borrowing capacity on existing credit lines. Should additional liquidity be needed, our Board has authorized issuance of equity totaling up to $25 million under the ATM Offering (see the discussion of "Liquidity and Capital Resources" in Item 2).</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2023 for a complete discussion of its contractual obligations and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inflation rate in the US came down to 3.4% in 2023. Even though the inflation has slowed from the peak, it remained well above the Federal Reserve's objective of 2%. The annual inflation rate in Taiwan came down to 2.7% in 2023 from 2.95% in 2022.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We cannot be sure when or if prices will return to pre-pandemic levels. Compared to other major economies in the world, China has a stable level of inflation, which has not had a significant impact on our sales or operating results. We do not believe that inflation had a material impact on our business, financial condition, or results of operations during the three months ended March 31, 2024. However, there is no guarantee that we may increase selling prices or reduce costs to fully mitigate the effect of inflation on our costs, which may adversely impact our sales margins and profitability.</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2023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2023. We do not believe the Company’s exposure to market risk has changed materially since December 31, 2023.</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March 31, 2024.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firstLine="72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rPr/>
      </w:pPr>
      <w:r>
        <w:rP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2023 f</w:t>
      </w:r>
      <w:r>
        <w:rPr>
          <w:rFonts w:ascii="Times New Roman;Times;serif" w:hAnsi="Times New Roman;Times;serif"/>
          <w:sz w:val="20"/>
        </w:rPr>
        <w:t>or a detailed discussion of the risk factors affecting our Company. As of March 31, 2024, there have been no material changes to those risk factors.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item5"/>
      <w:bookmarkEnd w:id="17"/>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i/>
          <w:sz w:val="20"/>
        </w:rPr>
        <w:t xml:space="preserve">Rule </w:t>
      </w:r>
      <w:r>
        <w:rPr>
          <w:rStyle w:val="Emphasis"/>
          <w:rFonts w:ascii="Times New Roman;Times;serif" w:hAnsi="Times New Roman;Times;serif"/>
          <w:b/>
          <w:i/>
          <w:sz w:val="20"/>
        </w:rPr>
        <w:t>10b5</w:t>
      </w:r>
      <w:r>
        <w:rPr>
          <w:rFonts w:ascii="Times New Roman;Times;serif" w:hAnsi="Times New Roman;Times;serif"/>
          <w:b/>
          <w:i/>
          <w:sz w:val="20"/>
        </w:rPr>
        <w:t>-</w:t>
      </w:r>
      <w:r>
        <w:rPr>
          <w:rStyle w:val="Emphasis"/>
          <w:rFonts w:ascii="Times New Roman;Times;serif" w:hAnsi="Times New Roman;Times;serif"/>
          <w:b/>
          <w:i/>
          <w:sz w:val="20"/>
        </w:rPr>
        <w:t>1</w:t>
      </w:r>
      <w:r>
        <w:rPr>
          <w:rFonts w:ascii="Times New Roman;Times;serif" w:hAnsi="Times New Roman;Times;serif"/>
          <w:b/>
          <w:i/>
          <w:sz w:val="20"/>
        </w:rPr>
        <w:t xml:space="preserve"> Trading Plans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The adoption or termination of contracts, instructions or written plans for the purchase or sale of our securities by our Section </w:t>
      </w:r>
      <w:r>
        <w:rPr>
          <w:rStyle w:val="Emphasis"/>
          <w:rFonts w:ascii="Times New Roman;Times;serif" w:hAnsi="Times New Roman;Times;serif"/>
          <w:sz w:val="20"/>
        </w:rPr>
        <w:t>16</w:t>
      </w:r>
      <w:r>
        <w:rPr>
          <w:rFonts w:ascii="Times New Roman;Times;serif" w:hAnsi="Times New Roman;Times;serif"/>
          <w:sz w:val="20"/>
        </w:rPr>
        <w:t xml:space="preserve"> officers and directors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each of which is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under the Exchange Act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Plan"), were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2478"/>
        <w:gridCol w:w="60"/>
        <w:gridCol w:w="425"/>
        <w:gridCol w:w="60"/>
        <w:gridCol w:w="1025"/>
        <w:gridCol w:w="60"/>
        <w:gridCol w:w="1099"/>
        <w:gridCol w:w="60"/>
        <w:gridCol w:w="1324"/>
        <w:gridCol w:w="60"/>
        <w:gridCol w:w="3554"/>
      </w:tblGrid>
      <w:tr>
        <w:trPr/>
        <w:tc>
          <w:tcPr>
            <w:tcW w:w="2478" w:type="dxa"/>
            <w:tcBorders>
              <w:bottom w:val="single" w:sz="2" w:space="0" w:color="000000"/>
            </w:tcBorders>
            <w:vAlign w:val="center"/>
          </w:tcPr>
          <w:p>
            <w:pPr>
              <w:pStyle w:val="TableContents"/>
              <w:bidi w:val="0"/>
              <w:spacing w:before="0" w:after="283"/>
              <w:jc w:val="center"/>
              <w:rPr/>
            </w:pPr>
            <w:r>
              <w:rPr>
                <w:rFonts w:cs="Times New Roman;Times;serif"/>
                <w:bCs/>
                <w:szCs w:val="20"/>
              </w:rPr>
              <w:t>﻿</w:t>
            </w: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425"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Title</w:t>
            </w:r>
            <w:r>
              <w:rPr>
                <w:rFonts w:cs="Times New Roman;Times;serif"/>
                <w:bCs/>
                <w:szCs w:val="20"/>
              </w:rPr>
              <w:t>﻿</w:t>
            </w:r>
          </w:p>
        </w:tc>
        <w:tc>
          <w:tcPr>
            <w:tcW w:w="60" w:type="dxa"/>
            <w:tcBorders/>
            <w:tcMar>
              <w:bottom w:w="0" w:type="dxa"/>
            </w:tcMar>
            <w:vAlign w:val="center"/>
          </w:tcPr>
          <w:p>
            <w:pPr>
              <w:pStyle w:val="TableContents"/>
              <w:bidi w:val="0"/>
              <w:spacing w:before="0" w:after="283"/>
              <w:jc w:val="center"/>
              <w:rPr/>
            </w:pPr>
            <w:r>
              <w:rPr/>
              <w:t> </w:t>
            </w:r>
          </w:p>
        </w:tc>
        <w:tc>
          <w:tcPr>
            <w:tcW w:w="1025"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Action</w:t>
            </w:r>
            <w:r>
              <w:rPr>
                <w:rFonts w:cs="Times New Roman;Times;serif"/>
                <w:bCs/>
                <w:szCs w:val="20"/>
              </w:rPr>
              <w:t>﻿</w:t>
            </w:r>
          </w:p>
        </w:tc>
        <w:tc>
          <w:tcPr>
            <w:tcW w:w="60" w:type="dxa"/>
            <w:tcBorders/>
            <w:tcMar>
              <w:bottom w:w="0" w:type="dxa"/>
            </w:tcMar>
            <w:vAlign w:val="center"/>
          </w:tcPr>
          <w:p>
            <w:pPr>
              <w:pStyle w:val="TableContents"/>
              <w:bidi w:val="0"/>
              <w:spacing w:before="0" w:after="283"/>
              <w:jc w:val="center"/>
              <w:rPr/>
            </w:pPr>
            <w:r>
              <w:rPr/>
              <w:t> </w:t>
            </w:r>
          </w:p>
        </w:tc>
        <w:tc>
          <w:tcPr>
            <w:tcW w:w="1099"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Date Adopted</w:t>
            </w:r>
            <w:r>
              <w:rPr>
                <w:rFonts w:cs="Times New Roman;Times;serif"/>
                <w:bCs/>
                <w:szCs w:val="20"/>
              </w:rPr>
              <w:t>﻿</w:t>
            </w:r>
          </w:p>
        </w:tc>
        <w:tc>
          <w:tcPr>
            <w:tcW w:w="60" w:type="dxa"/>
            <w:tcBorders/>
            <w:tcMar>
              <w:bottom w:w="0" w:type="dxa"/>
            </w:tcMar>
            <w:vAlign w:val="center"/>
          </w:tcPr>
          <w:p>
            <w:pPr>
              <w:pStyle w:val="TableContents"/>
              <w:bidi w:val="0"/>
              <w:spacing w:before="0" w:after="283"/>
              <w:jc w:val="center"/>
              <w:rPr/>
            </w:pPr>
            <w:r>
              <w:rPr/>
              <w:t> </w:t>
            </w:r>
          </w:p>
        </w:tc>
        <w:tc>
          <w:tcPr>
            <w:tcW w:w="1324"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Expiration Date</w:t>
            </w:r>
            <w:r>
              <w:rPr>
                <w:rFonts w:cs="Times New Roman;Times;serif"/>
                <w:szCs w:val="20"/>
              </w:rPr>
              <w:t>﻿</w:t>
            </w:r>
          </w:p>
        </w:tc>
        <w:tc>
          <w:tcPr>
            <w:tcW w:w="60" w:type="dxa"/>
            <w:tcBorders/>
            <w:tcMar>
              <w:bottom w:w="0" w:type="dxa"/>
            </w:tcMar>
            <w:vAlign w:val="center"/>
          </w:tcPr>
          <w:p>
            <w:pPr>
              <w:pStyle w:val="TableContents"/>
              <w:bidi w:val="0"/>
              <w:spacing w:before="0" w:after="283"/>
              <w:jc w:val="center"/>
              <w:rPr/>
            </w:pPr>
            <w:r>
              <w:rPr/>
              <w:t> </w:t>
            </w:r>
          </w:p>
        </w:tc>
        <w:tc>
          <w:tcPr>
            <w:tcW w:w="3554"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Aggregate # of Securities to be Purchased/Sold</w:t>
            </w:r>
            <w:r>
              <w:rPr>
                <w:rFonts w:cs="Times New Roman;Times;serif"/>
                <w:bCs/>
                <w:szCs w:val="20"/>
              </w:rPr>
              <w:t>﻿</w:t>
            </w:r>
          </w:p>
        </w:tc>
      </w:tr>
      <w:tr>
        <w:trPr/>
        <w:tc>
          <w:tcPr>
            <w:tcW w:w="2478" w:type="dxa"/>
            <w:tcBorders/>
            <w:shd w:fill="CCEEFF" w:val="clear"/>
            <w:tcMar>
              <w:bottom w:w="0" w:type="dxa"/>
            </w:tcMar>
            <w:vAlign w:val="center"/>
          </w:tcPr>
          <w:p>
            <w:pPr>
              <w:pStyle w:val="TableContents"/>
              <w:bidi w:val="0"/>
              <w:spacing w:lineRule="auto" w:line="288" w:before="0" w:after="283"/>
              <w:jc w:val="left"/>
              <w:rPr/>
            </w:pPr>
            <w:r>
              <w:rPr>
                <w:rFonts w:cs="Times New Roman;Times;serif"/>
                <w:szCs w:val="20"/>
              </w:rPr>
              <w:t>﻿</w:t>
            </w:r>
            <w:r>
              <w:rPr>
                <w:rFonts w:ascii="Times New Roman;Times;serif" w:hAnsi="Times New Roman;Times;serif"/>
                <w:sz w:val="20"/>
              </w:rPr>
              <w:t>Chih-Hsiang (Thompson) Lin (</w:t>
            </w:r>
            <w:r>
              <w:rPr>
                <w:rStyle w:val="Emphasis"/>
                <w:rFonts w:ascii="Times New Roman;Times;serif" w:hAnsi="Times New Roman;Times;serif"/>
                <w:sz w:val="20"/>
              </w:rPr>
              <w:t>1</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25"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Termination</w:t>
            </w:r>
            <w:r>
              <w:rPr>
                <w:rFonts w:cs="Times New Roman;Times;serif"/>
                <w:szCs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99" w:type="dxa"/>
            <w:tcBorders/>
            <w:shd w:fill="CCEEFF" w:val="clear"/>
            <w:tcMar>
              <w:bottom w:w="0" w:type="dxa"/>
            </w:tcMar>
            <w:vAlign w:val="center"/>
          </w:tcPr>
          <w:p>
            <w:pPr>
              <w:pStyle w:val="TableContents"/>
              <w:bidi w:val="0"/>
              <w:spacing w:before="0" w:after="283"/>
              <w:jc w:val="center"/>
              <w:rPr/>
            </w:pPr>
            <w:r>
              <w:rPr>
                <w:rStyle w:val="Emphasis"/>
                <w:rFonts w:ascii="Times New Roman;Times;serif" w:hAnsi="Times New Roman;Times;serif"/>
                <w:sz w:val="20"/>
              </w:rPr>
              <w:t>12/14/2023</w:t>
            </w:r>
            <w:r>
              <w:rPr>
                <w:rStyle w:val="Emphasis"/>
                <w:rFonts w:cs="Times New Roman;Times;serif"/>
                <w:szCs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24"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3/15/2025</w:t>
            </w:r>
            <w:r>
              <w:rPr>
                <w:rFonts w:cs="Times New Roman;Times;serif"/>
                <w:szCs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54" w:type="dxa"/>
            <w:tcBorders/>
            <w:shd w:fill="CCEEFF" w:val="clear"/>
            <w:tcMar>
              <w:bottom w:w="0" w:type="dxa"/>
            </w:tcMar>
            <w:vAlign w:val="center"/>
          </w:tcPr>
          <w:p>
            <w:pPr>
              <w:pStyle w:val="TableContents"/>
              <w:bidi w:val="0"/>
              <w:spacing w:before="0" w:after="283"/>
              <w:jc w:val="center"/>
              <w:rPr/>
            </w:pPr>
            <w:r>
              <w:rPr>
                <w:rStyle w:val="Emphasis"/>
                <w:rFonts w:ascii="Times New Roman;Times;serif" w:hAnsi="Times New Roman;Times;serif"/>
                <w:sz w:val="20"/>
              </w:rPr>
              <w:t>60,000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Chih-Hsiang (Thompson Lin), our CEO, entered into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Plan on </w:t>
      </w:r>
      <w:r>
        <w:rPr>
          <w:rStyle w:val="Emphasis"/>
          <w:rFonts w:ascii="Times New Roman;Times;serif" w:hAnsi="Times New Roman;Times;serif"/>
          <w:sz w:val="20"/>
        </w:rPr>
        <w:t xml:space="preserve">December 14, 2023. </w:t>
      </w:r>
      <w:r>
        <w:rPr>
          <w:rFonts w:ascii="Times New Roman;Times;serif" w:hAnsi="Times New Roman;Times;serif"/>
          <w:sz w:val="20"/>
        </w:rPr>
        <w:t>Dr. Lin's plan provided for the potential sale of up to 60,000 shares of the Company's common stock. The plan was set to expire </w:t>
      </w:r>
      <w:r>
        <w:rPr>
          <w:rStyle w:val="Emphasis"/>
          <w:rFonts w:ascii="Times New Roman;Times;serif" w:hAnsi="Times New Roman;Times;serif"/>
          <w:sz w:val="20"/>
        </w:rPr>
        <w:t xml:space="preserve"> March 15, 2025, </w:t>
      </w:r>
      <w:r>
        <w:rPr>
          <w:rFonts w:ascii="Times New Roman;Times;serif" w:hAnsi="Times New Roman;Times;serif"/>
          <w:sz w:val="20"/>
        </w:rPr>
        <w:t xml:space="preserve">or upon the earlier completion of all authorized transactions under the plan. Dr. Lin terminated the plan on </w:t>
      </w:r>
      <w:r>
        <w:rPr>
          <w:rStyle w:val="Emphasis"/>
          <w:rFonts w:ascii="Times New Roman;Times;serif" w:hAnsi="Times New Roman;Times;serif"/>
          <w:sz w:val="20"/>
        </w:rPr>
        <w:t>March 5, 2024.</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8" w:name="exhibits"/>
      <w:bookmarkEnd w:id="18"/>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786"/>
        <w:gridCol w:w="240"/>
        <w:gridCol w:w="9179"/>
      </w:tblGrid>
      <w:tr>
        <w:trPr/>
        <w:tc>
          <w:tcPr>
            <w:tcW w:w="7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917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86" w:type="dxa"/>
            <w:tcBorders/>
            <w:tcMar>
              <w:bottom w:w="0" w:type="dxa"/>
            </w:tcMar>
            <w:vAlign w:val="center"/>
          </w:tcPr>
          <w:p>
            <w:pPr>
              <w:pStyle w:val="TableContents"/>
              <w:bidi w:val="0"/>
              <w:spacing w:before="0" w:after="283"/>
              <w:jc w:val="left"/>
              <w:rPr/>
            </w:pPr>
            <w:r>
              <w:rPr/>
              <w:t>3.1*</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hyperlink r:id="rId2">
              <w:r>
                <w:rPr>
                  <w:rStyle w:val="InternetLink"/>
                </w:rPr>
                <w:t>Amended and Restated Certificate of Incorporation (filed as Exhibit 3.1 to the Registrant's Current Report on Form 10-Q filed with the Securities and Exchange Commission on November 14, 2013).</w:t>
              </w:r>
            </w:hyperlink>
          </w:p>
        </w:tc>
      </w:tr>
      <w:tr>
        <w:trPr/>
        <w:tc>
          <w:tcPr>
            <w:tcW w:w="78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 xml:space="preserve">Amended and Restated Certificate of Incorporation, as currently in effect (filed as Exhibit 3.1 to the Registrant’s </w:t>
              </w:r>
            </w:hyperlink>
            <w:hyperlink r:id="rId4">
              <w:r>
                <w:rPr>
                  <w:rStyle w:val="InternetLink"/>
                  <w:rFonts w:ascii="Times New Roman;Times;serif" w:hAnsi="Times New Roman;Times;serif"/>
                  <w:sz w:val="20"/>
                </w:rPr>
                <w:t xml:space="preserve">Current Report on Form 8-K </w:t>
              </w:r>
            </w:hyperlink>
            <w:hyperlink r:id="rId5">
              <w:r>
                <w:rPr>
                  <w:rStyle w:val="InternetLink"/>
                  <w:rFonts w:ascii="Times New Roman;Times;serif" w:hAnsi="Times New Roman;Times;serif"/>
                  <w:sz w:val="20"/>
                </w:rPr>
                <w:t xml:space="preserve">filed with the Securities and Exchange Commission on </w:t>
              </w:r>
            </w:hyperlink>
            <w:hyperlink r:id="rId6">
              <w:r>
                <w:rPr>
                  <w:rStyle w:val="InternetLink"/>
                  <w:rFonts w:ascii="Times New Roman;Times;serif" w:hAnsi="Times New Roman;Times;serif"/>
                  <w:sz w:val="20"/>
                </w:rPr>
                <w:t>September 7, 2023</w:t>
              </w:r>
            </w:hyperlink>
            <w:hyperlink r:id="rId7">
              <w:r>
                <w:rPr>
                  <w:rStyle w:val="InternetLink"/>
                  <w:rFonts w:ascii="Times New Roman;Times;serif" w:hAnsi="Times New Roman;Times;serif"/>
                  <w:sz w:val="20"/>
                </w:rPr>
                <w:t>).</w:t>
              </w:r>
            </w:hyperlink>
          </w:p>
        </w:tc>
      </w:tr>
      <w:tr>
        <w:trPr/>
        <w:tc>
          <w:tcPr>
            <w:tcW w:w="78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8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8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sz w:val="20"/>
                </w:rPr>
                <w:t>Indenture, dated as of March 5, 2019 between Applied Optoelectronics, Inc. and Wells Fargo Bank, National Association, as trustee, paying agent, and conversion agent (filed as Exhibit 4.1 to the Registrant’s Current Report on Form 8-K filed with the Securities and Exchange Commission on March 5, 2019).</w:t>
              </w:r>
            </w:hyperlink>
          </w:p>
        </w:tc>
      </w:tr>
      <w:tr>
        <w:trPr/>
        <w:tc>
          <w:tcPr>
            <w:tcW w:w="78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fldChar w:fldCharType="begin"/>
            </w:r>
            <w:r>
              <w:rPr>
                <w:rStyle w:val="InternetLink"/>
                <w:sz w:val="20"/>
                <w:rFonts w:ascii="Times New Roman;Times;serif" w:hAnsi="Times New Roman;Times;serif"/>
              </w:rPr>
              <w:instrText xml:space="preserve"> HYPERLINK "http://www.sec.gov/Archives/edgar/data/1158114/000110465919012900/a19-4821_4ex4d1.htm" \l "Exhibit4_1_094927"</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Note representing the Company’s 5.00% Convertible Senior Notes due 2024 (included as Exhibit A to the Indenture filed as Exhibit 4.1 to the Registrant’s Current Report on Form 8-K filed with the Securities and Exchange Commission on March 5, 2019).</w:t>
            </w:r>
            <w:r>
              <w:rPr>
                <w:rStyle w:val="InternetLink"/>
                <w:sz w:val="20"/>
                <w:rFonts w:ascii="Times New Roman;Times;serif" w:hAnsi="Times New Roman;Times;serif"/>
              </w:rPr>
              <w:fldChar w:fldCharType="end"/>
            </w:r>
          </w:p>
        </w:tc>
      </w:tr>
      <w:tr>
        <w:trPr/>
        <w:tc>
          <w:tcPr>
            <w:tcW w:w="78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r>
              <w:rPr/>
              <w:t> </w:t>
            </w:r>
          </w:p>
        </w:tc>
      </w:tr>
      <w:tr>
        <w:trPr/>
        <w:tc>
          <w:tcPr>
            <w:tcW w:w="786" w:type="dxa"/>
            <w:tcBorders/>
            <w:tcMar>
              <w:bottom w:w="0" w:type="dxa"/>
            </w:tcMar>
            <w:vAlign w:val="center"/>
          </w:tcPr>
          <w:p>
            <w:pPr>
              <w:pStyle w:val="TableContents"/>
              <w:bidi w:val="0"/>
              <w:spacing w:before="0" w:after="283"/>
              <w:jc w:val="left"/>
              <w:rPr/>
            </w:pPr>
            <w:r>
              <w:rPr/>
              <w:t>4.4*</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hyperlink r:id="rId11">
              <w:r>
                <w:rPr>
                  <w:rStyle w:val="InternetLink"/>
                </w:rPr>
                <w:t>Indenture, dated as of December 5, 2023 between Applied Optoelectronics, Inc. and Computershare Trust Company, as trustee (filed as Exhibit 4.1 to the Registrant’s Current Report on Form 8-K filed with the Securities and Exchange Commission on December 5, 2023).</w:t>
              </w:r>
            </w:hyperlink>
          </w:p>
        </w:tc>
      </w:tr>
      <w:tr>
        <w:trPr/>
        <w:tc>
          <w:tcPr>
            <w:tcW w:w="78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"http://www.sec.gov/Archives/edgar/data/1158114/000110465923123656/tm2331117d2_ex4-1.htm" \l "ex-a"</w:instrText>
            </w:r>
            <w:r>
              <w:rPr>
                <w:rStyle w:val="InternetLink"/>
              </w:rPr>
              <w:fldChar w:fldCharType="separate"/>
            </w:r>
            <w:r>
              <w:rPr>
                <w:rStyle w:val="InternetLink"/>
              </w:rPr>
              <w:t>Form of Note representing the Company’s 5.25% Convertible Senior Notes due 2026 (included as Exhibit 4.2 to the Registrant’s Current Report on Form 8-K filed with the Securities and Exchange Commission on December 5, 2023).</w:t>
            </w:r>
            <w:r>
              <w:rPr>
                <w:rStyle w:val="InternetLink"/>
              </w:rPr>
              <w:fldChar w:fldCharType="end"/>
            </w:r>
          </w:p>
        </w:tc>
      </w:tr>
      <w:tr>
        <w:trPr/>
        <w:tc>
          <w:tcPr>
            <w:tcW w:w="78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r>
              <w:rPr/>
              <w:t> </w:t>
            </w:r>
          </w:p>
        </w:tc>
      </w:tr>
      <w:tr>
        <w:trPr/>
        <w:tc>
          <w:tcPr>
            <w:tcW w:w="786" w:type="dxa"/>
            <w:tcBorders/>
            <w:tcMar>
              <w:bottom w:w="0" w:type="dxa"/>
            </w:tcMar>
            <w:vAlign w:val="center"/>
          </w:tcPr>
          <w:p>
            <w:pPr>
              <w:pStyle w:val="TableContents"/>
              <w:bidi w:val="0"/>
              <w:spacing w:before="0" w:after="283"/>
              <w:jc w:val="left"/>
              <w:rPr/>
            </w:pPr>
            <w:r>
              <w:rPr/>
              <w:t>4.6*</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hyperlink r:id="rId12">
              <w:r>
                <w:rPr>
                  <w:rStyle w:val="InternetLink"/>
                </w:rPr>
                <w:t>First Supplemental Indenture, dated as of December 5, 2023, between Applied Optoelectronics, Inc. and Computershare Trust Company, N.A., as trustee (included as Exhibit 4.3 to the Registrant’s Current Report on Form 8-K filed with the Securities and Exchange Commission on December 5, 2023).</w:t>
              </w:r>
            </w:hyperlink>
          </w:p>
        </w:tc>
      </w:tr>
      <w:tr>
        <w:trPr/>
        <w:tc>
          <w:tcPr>
            <w:tcW w:w="78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79" w:type="dxa"/>
            <w:tcBorders/>
            <w:tcMar>
              <w:bottom w:w="0" w:type="dxa"/>
            </w:tcMar>
            <w:vAlign w:val="center"/>
          </w:tcPr>
          <w:p>
            <w:pPr>
              <w:pStyle w:val="TableContents"/>
              <w:bidi w:val="0"/>
              <w:spacing w:before="0" w:after="283"/>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hyperlink w:anchor="ex_633445.htm">
              <w:r>
                <w:rPr>
                  <w:rStyle w:val="InternetLink"/>
                  <w:rFonts w:ascii="Times New Roman;Times;serif" w:hAnsi="Times New Roman;Times;serif"/>
                  <w:sz w:val="20"/>
                </w:rPr>
                <w:t>Certification of Chief Executive Officer pursuant to Exchange Act Rule, 13a-14(a) and 15d-14(a), as adopted pursuant to Section 302 of the Sarbanes-Oxley Act of 2002.</w:t>
              </w:r>
            </w:hyperlink>
          </w:p>
        </w:tc>
      </w:tr>
      <w:tr>
        <w:trPr/>
        <w:tc>
          <w:tcPr>
            <w:tcW w:w="78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hyperlink w:anchor="ex_633446.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78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hyperlink w:anchor="ex_633447.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78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8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283"/>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283"/>
              <w:jc w:val="left"/>
              <w:rPr/>
            </w:pPr>
            <w:r>
              <w:rPr/>
              <w:t> </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pPr>
            <w:r>
              <w:rPr/>
              <w:t>​</w:t>
            </w:r>
          </w:p>
        </w:tc>
      </w:tr>
      <w:tr>
        <w:trPr/>
        <w:tc>
          <w:tcPr>
            <w:tcW w:w="7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9" w:name="sigs"/>
      <w:bookmarkEnd w:id="19"/>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870" w:type="dxa"/>
        <w:jc w:val="left"/>
        <w:tblInd w:w="0" w:type="dxa"/>
        <w:tblLayout w:type="fixed"/>
        <w:tblCellMar>
          <w:top w:w="0" w:type="dxa"/>
          <w:left w:w="0" w:type="dxa"/>
          <w:bottom w:w="0" w:type="dxa"/>
          <w:right w:w="0" w:type="dxa"/>
        </w:tblCellMar>
      </w:tblPr>
      <w:tblGrid>
        <w:gridCol w:w="1535"/>
        <w:gridCol w:w="320"/>
        <w:gridCol w:w="5015"/>
      </w:tblGrid>
      <w:tr>
        <w:trPr/>
        <w:tc>
          <w:tcPr>
            <w:tcW w:w="1535" w:type="dxa"/>
            <w:tcBorders/>
            <w:vAlign w:val="center"/>
          </w:tcPr>
          <w:p>
            <w:pPr>
              <w:pStyle w:val="TableContents"/>
              <w:bidi w:val="0"/>
              <w:spacing w:before="0" w:after="0"/>
              <w:ind w:left="0" w:right="0" w:hanging="0"/>
              <w:jc w:val="left"/>
              <w:rPr/>
            </w:pPr>
            <w:r>
              <w:rP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pPr>
            <w:r>
              <w:rPr/>
              <w:t>​</w:t>
            </w:r>
          </w:p>
        </w:tc>
      </w:tr>
      <w:tr>
        <w:trPr/>
        <w:tc>
          <w:tcPr>
            <w:tcW w:w="1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9, 2024</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29 </w:t>
      </w:r>
    </w:p>
    <w:p>
      <w:pPr>
        <w:pStyle w:val="TextBody"/>
        <w:bidi w:val="0"/>
        <w:spacing w:before="0" w:after="0"/>
        <w:ind w:left="0" w:right="0" w:hanging="0"/>
        <w:jc w:val="right"/>
        <w:rPr>
          <w:rFonts w:ascii="Times New Roman;Times;serif" w:hAnsi="Times New Roman;Times;serif"/>
          <w:sz w:val="20"/>
        </w:rPr>
      </w:pPr>
      <w:bookmarkStart w:id="20" w:name="ex_633445.htm"/>
      <w:bookmarkStart w:id="21" w:name="ksex_633445"/>
      <w:bookmarkEnd w:id="20"/>
      <w:bookmarkEnd w:id="21"/>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9, 2024</w:t>
      </w:r>
    </w:p>
    <w:p>
      <w:pPr>
        <w:pStyle w:val="TextBody"/>
        <w:bidi w:val="0"/>
        <w:spacing w:before="0" w:after="0"/>
        <w:ind w:left="0" w:right="0" w:hanging="0"/>
        <w:jc w:val="center"/>
        <w:rPr/>
      </w:pPr>
      <w:r>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2" w:name="ex_633446.htm"/>
      <w:bookmarkStart w:id="23" w:name="ksex_633446"/>
      <w:bookmarkEnd w:id="22"/>
      <w:bookmarkEnd w:id="23"/>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9, 2024</w:t>
      </w:r>
    </w:p>
    <w:p>
      <w:pPr>
        <w:pStyle w:val="TextBody"/>
        <w:bidi w:val="0"/>
        <w:spacing w:before="0" w:after="0"/>
        <w:ind w:left="0" w:right="0" w:hanging="0"/>
        <w:jc w:val="left"/>
        <w:rPr/>
      </w:pPr>
      <w:r>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4" w:name="ex_633447.htm"/>
      <w:bookmarkStart w:id="25" w:name="ksex_633447"/>
      <w:bookmarkEnd w:id="24"/>
      <w:bookmarkEnd w:id="25"/>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6" w:name="led539606F20242211711043696668"/>
            <w:bookmarkEnd w:id="26"/>
            <w:r>
              <w:rPr>
                <w:rFonts w:ascii="Times New Roman;Times;serif" w:hAnsi="Times New Roman;Times;serif"/>
                <w:sz w:val="20"/>
              </w:rPr>
              <w:t>March 31, 2024,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9th day of May 2024.</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01968713004306/aaoi_10q-ex0301.htm" TargetMode="External"/><Relationship Id="rId3" Type="http://schemas.openxmlformats.org/officeDocument/2006/relationships/hyperlink" Target="http://www.sec.gov/Archives/edgar/data/1158114/000101968713004306/aaoi_10q-ex0301.htm" TargetMode="External"/><Relationship Id="rId4" Type="http://schemas.openxmlformats.org/officeDocument/2006/relationships/hyperlink" Target="http://www.sec.gov/Archives/edgar/data/1158114/000168316823006330/appopto_ex0301.htm" TargetMode="External"/><Relationship Id="rId5" Type="http://schemas.openxmlformats.org/officeDocument/2006/relationships/hyperlink" Target="http://www.sec.gov/Archives/edgar/data/1158114/000168316823006330/appopto_ex0301.htm" TargetMode="External"/><Relationship Id="rId6" Type="http://schemas.openxmlformats.org/officeDocument/2006/relationships/hyperlink" Target="http://www.sec.gov/Archives/edgar/data/1158114/000168316823006330/appopto_ex0301.htm" TargetMode="External"/><Relationship Id="rId7" Type="http://schemas.openxmlformats.org/officeDocument/2006/relationships/hyperlink" Target="http://www.sec.gov/Archives/edgar/data/1158114/000168316823006330/appopto_ex0301.htm" TargetMode="External"/><Relationship Id="rId8" Type="http://schemas.openxmlformats.org/officeDocument/2006/relationships/hyperlink" Target="http://www.sec.gov/Archives/edgar/data/1158114/000101968713004306/aaoi_10q-ex0302.htm" TargetMode="External"/><Relationship Id="rId9" Type="http://schemas.openxmlformats.org/officeDocument/2006/relationships/hyperlink" Target="http://www.sec.gov/Archives/edgar/data/1158114/000110465915051289/a15-15715_1ex4d1.htm" TargetMode="External"/><Relationship Id="rId10" Type="http://schemas.openxmlformats.org/officeDocument/2006/relationships/hyperlink" Target="http://www.sec.gov/Archives/edgar/data/1158114/000110465919012900/a19-4821_4ex4d1.htm" TargetMode="External"/><Relationship Id="rId11" Type="http://schemas.openxmlformats.org/officeDocument/2006/relationships/hyperlink" Target="http://www.sec.gov/Archives/edgar/data/1158114/000110465923123656/tm2331117d2_ex4-1.htm" TargetMode="External"/><Relationship Id="rId12" Type="http://schemas.openxmlformats.org/officeDocument/2006/relationships/hyperlink" Target="http://www.sec.gov/Archives/edgar/data/1158114/000110465923123656/tm2331117d2_ex4-3.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16409</Words>
  <Characters>88444</Characters>
  <CharactersWithSpaces>106719</CharactersWithSpaces>
  <Paragraphs>6010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