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184785</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244475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 w:lineRule="exact"/>
        <w:rPr>
          <w:sz w:val="24"/>
          <w:szCs w:val="24"/>
          <w:color w:val="auto"/>
        </w:rPr>
      </w:pPr>
    </w:p>
    <w:p>
      <w:pPr>
        <w:ind w:left="3900" w:right="1920" w:hanging="3893"/>
        <w:spacing w:after="0" w:line="490"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3" w:lineRule="exact"/>
        <w:rPr>
          <w:sz w:val="24"/>
          <w:szCs w:val="24"/>
          <w:color w:val="auto"/>
        </w:rPr>
      </w:pPr>
    </w:p>
    <w:p>
      <w:pPr>
        <w:ind w:left="3420" w:right="1920" w:hanging="3413"/>
        <w:spacing w:after="0" w:line="498" w:lineRule="auto"/>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For the transition period from __________ to </w:t>
      </w:r>
      <w:r>
        <w:rPr>
          <w:rFonts w:ascii="Arial" w:cs="Arial" w:eastAsia="Arial" w:hAnsi="Arial"/>
          <w:sz w:val="18"/>
          <w:szCs w:val="18"/>
          <w:color w:val="auto"/>
        </w:rPr>
        <w:t>__________</w:t>
      </w: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001-36083</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146" w:right="339" w:bottom="933" w:gutter="0" w:footer="0" w:header="0"/>
        </w:sectPr>
      </w:pPr>
    </w:p>
    <w:p>
      <w:pPr>
        <w:spacing w:after="0" w:line="204"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1146" w:right="339" w:bottom="933" w:gutter="0" w:footer="0" w:header="0"/>
          <w:type w:val="continuous"/>
        </w:sectPr>
      </w:pP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4" w:lineRule="exact"/>
        <w:rPr>
          <w:sz w:val="24"/>
          <w:szCs w:val="24"/>
          <w:color w:val="auto"/>
        </w:rPr>
      </w:pPr>
    </w:p>
    <w:p>
      <w:pPr>
        <w:ind w:left="5500" w:hanging="436"/>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6"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00" w:lineRule="exact"/>
        <w:rPr>
          <w:sz w:val="24"/>
          <w:szCs w:val="24"/>
          <w:color w:val="auto"/>
        </w:rPr>
      </w:pPr>
    </w:p>
    <w:p>
      <w:pPr>
        <w:spacing w:after="0" w:line="2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9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Title of each class</w:t>
            </w:r>
          </w:p>
        </w:tc>
        <w:tc>
          <w:tcPr>
            <w:tcW w:w="230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92"/>
              </w:rPr>
              <w:t>Trading Symbol(s)</w:t>
            </w:r>
          </w:p>
        </w:tc>
        <w:tc>
          <w:tcPr>
            <w:tcW w:w="60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color w:val="auto"/>
                <w:w w:val="89"/>
              </w:rPr>
              <w:t>Trading Name of each exchange on which registered</w:t>
            </w:r>
          </w:p>
        </w:tc>
      </w:tr>
      <w:tr>
        <w:trPr>
          <w:trHeight w:val="223"/>
        </w:trPr>
        <w:tc>
          <w:tcPr>
            <w:tcW w:w="2920" w:type="dxa"/>
            <w:vAlign w:val="bottom"/>
          </w:tcPr>
          <w:p>
            <w:pPr>
              <w:jc w:val="center"/>
              <w:ind w:left="10"/>
              <w:spacing w:after="0"/>
              <w:rPr>
                <w:sz w:val="20"/>
                <w:szCs w:val="20"/>
                <w:color w:val="auto"/>
              </w:rPr>
            </w:pPr>
            <w:r>
              <w:rPr>
                <w:rFonts w:ascii="Arial" w:cs="Arial" w:eastAsia="Arial" w:hAnsi="Arial"/>
                <w:sz w:val="18"/>
                <w:szCs w:val="18"/>
                <w:color w:val="auto"/>
                <w:w w:val="89"/>
              </w:rPr>
              <w:t>Common Stock, Par value $0.001</w:t>
            </w:r>
          </w:p>
        </w:tc>
        <w:tc>
          <w:tcPr>
            <w:tcW w:w="2300" w:type="dxa"/>
            <w:vAlign w:val="bottom"/>
          </w:tcPr>
          <w:p>
            <w:pPr>
              <w:jc w:val="center"/>
              <w:ind w:right="490"/>
              <w:spacing w:after="0"/>
              <w:rPr>
                <w:sz w:val="20"/>
                <w:szCs w:val="20"/>
                <w:color w:val="auto"/>
              </w:rPr>
            </w:pPr>
            <w:r>
              <w:rPr>
                <w:rFonts w:ascii="Arial" w:cs="Arial" w:eastAsia="Arial" w:hAnsi="Arial"/>
                <w:sz w:val="18"/>
                <w:szCs w:val="18"/>
                <w:color w:val="auto"/>
              </w:rPr>
              <w:t>AAOI</w:t>
            </w:r>
          </w:p>
        </w:tc>
        <w:tc>
          <w:tcPr>
            <w:tcW w:w="6020" w:type="dxa"/>
            <w:vAlign w:val="bottom"/>
          </w:tcPr>
          <w:p>
            <w:pPr>
              <w:jc w:val="center"/>
              <w:ind w:right="610"/>
              <w:spacing w:after="0"/>
              <w:rPr>
                <w:sz w:val="20"/>
                <w:szCs w:val="20"/>
                <w:color w:val="auto"/>
              </w:rPr>
            </w:pPr>
            <w:r>
              <w:rPr>
                <w:rFonts w:ascii="Arial" w:cs="Arial" w:eastAsia="Arial" w:hAnsi="Arial"/>
                <w:sz w:val="18"/>
                <w:szCs w:val="18"/>
                <w:color w:val="auto"/>
                <w:w w:val="95"/>
              </w:rPr>
              <w:t>NASDAQ Global Market</w:t>
            </w:r>
          </w:p>
        </w:tc>
      </w:tr>
    </w:tbl>
    <w:p>
      <w:pPr>
        <w:spacing w:after="0" w:line="186" w:lineRule="exact"/>
        <w:rPr>
          <w:sz w:val="24"/>
          <w:szCs w:val="24"/>
          <w:color w:val="auto"/>
        </w:rPr>
      </w:pPr>
    </w:p>
    <w:p>
      <w:pPr>
        <w:jc w:val="both"/>
        <w:ind w:left="280" w:right="260" w:firstLine="414"/>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280" w:right="260" w:firstLine="414"/>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280" w:right="260" w:firstLine="414"/>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4" w:lineRule="exact"/>
        <w:rPr>
          <w:sz w:val="24"/>
          <w:szCs w:val="24"/>
          <w:color w:val="auto"/>
        </w:rPr>
      </w:pPr>
    </w:p>
    <w:tbl>
      <w:tblPr>
        <w:tblLayout w:type="fixed"/>
        <w:tblInd w:w="200" w:type="dxa"/>
        <w:tblCellMar>
          <w:top w:w="0" w:type="dxa"/>
          <w:left w:w="0" w:type="dxa"/>
          <w:bottom w:w="0" w:type="dxa"/>
          <w:right w:w="0" w:type="dxa"/>
        </w:tblCellMar>
      </w:tblPr>
      <w:tr>
        <w:trPr>
          <w:trHeight w:val="215"/>
        </w:trPr>
        <w:tc>
          <w:tcPr>
            <w:tcW w:w="3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5"/>
        </w:trPr>
        <w:tc>
          <w:tcPr>
            <w:tcW w:w="3040" w:type="dxa"/>
            <w:vAlign w:val="bottom"/>
          </w:tcPr>
          <w:p>
            <w:pPr>
              <w:spacing w:after="0"/>
              <w:rPr>
                <w:sz w:val="20"/>
                <w:szCs w:val="20"/>
                <w:color w:val="auto"/>
              </w:rPr>
            </w:pPr>
            <w:r>
              <w:rPr>
                <w:rFonts w:ascii="Arial" w:cs="Arial" w:eastAsia="Arial" w:hAnsi="Arial"/>
                <w:sz w:val="18"/>
                <w:szCs w:val="18"/>
                <w:color w:val="auto"/>
              </w:rPr>
              <w:t>Non-accelerated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2"/>
        </w:trPr>
        <w:tc>
          <w:tcPr>
            <w:tcW w:w="3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95" w:lineRule="exact"/>
        <w:rPr>
          <w:sz w:val="24"/>
          <w:szCs w:val="24"/>
          <w:color w:val="auto"/>
        </w:rPr>
      </w:pPr>
    </w:p>
    <w:p>
      <w:pPr>
        <w:ind w:left="68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w:t>
      </w:r>
    </w:p>
    <w:p>
      <w:pPr>
        <w:spacing w:after="0" w:line="29" w:lineRule="exact"/>
        <w:rPr>
          <w:sz w:val="24"/>
          <w:szCs w:val="24"/>
          <w:color w:val="auto"/>
        </w:rPr>
      </w:pPr>
    </w:p>
    <w:p>
      <w:pPr>
        <w:ind w:left="280"/>
        <w:spacing w:after="0" w:line="207" w:lineRule="exact"/>
        <w:tabs>
          <w:tab w:leader="none" w:pos="9220" w:val="left"/>
        </w:tabs>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14" w:lineRule="exact"/>
        <w:rPr>
          <w:sz w:val="24"/>
          <w:szCs w:val="24"/>
          <w:color w:val="auto"/>
        </w:rPr>
      </w:pPr>
    </w:p>
    <w:p>
      <w:pPr>
        <w:ind w:left="6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2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8" w:lineRule="exact"/>
        <w:rPr>
          <w:sz w:val="24"/>
          <w:szCs w:val="24"/>
          <w:color w:val="auto"/>
        </w:rPr>
      </w:pPr>
    </w:p>
    <w:p>
      <w:pPr>
        <w:ind w:left="680"/>
        <w:spacing w:after="0"/>
        <w:rPr>
          <w:sz w:val="20"/>
          <w:szCs w:val="20"/>
          <w:color w:val="auto"/>
        </w:rPr>
      </w:pPr>
      <w:r>
        <w:rPr>
          <w:rFonts w:ascii="Arial" w:cs="Arial" w:eastAsia="Arial" w:hAnsi="Arial"/>
          <w:sz w:val="18"/>
          <w:szCs w:val="18"/>
          <w:color w:val="auto"/>
        </w:rPr>
        <w:t>As of July 30, 2021 there were 27,141,368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509270</wp:posOffset>
            </wp:positionV>
            <wp:extent cx="7132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46" w:right="339" w:bottom="93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00" w:type="dxa"/>
            <w:vAlign w:val="bottom"/>
            <w:gridSpan w:val="2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4"/>
        </w:trPr>
        <w:tc>
          <w:tcPr>
            <w:tcW w:w="9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20" w:type="dxa"/>
            <w:vAlign w:val="bottom"/>
            <w:gridSpan w:val="11"/>
          </w:tcPr>
          <w:p>
            <w:pPr>
              <w:jc w:val="center"/>
              <w:ind w:right="2740"/>
              <w:spacing w:after="0"/>
              <w:rPr>
                <w:sz w:val="20"/>
                <w:szCs w:val="20"/>
                <w:color w:val="auto"/>
              </w:rPr>
            </w:pPr>
            <w:r>
              <w:rPr>
                <w:rFonts w:ascii="Arial" w:cs="Arial" w:eastAsia="Arial" w:hAnsi="Arial"/>
                <w:sz w:val="18"/>
                <w:szCs w:val="18"/>
                <w:b w:val="1"/>
                <w:bCs w:val="1"/>
                <w:color w:val="auto"/>
                <w:w w:val="89"/>
              </w:rPr>
              <w:t>Applied Optoelectronics, Inc.</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gridSpan w:val="11"/>
          </w:tcPr>
          <w:p>
            <w:pPr>
              <w:jc w:val="center"/>
              <w:ind w:right="2720"/>
              <w:spacing w:after="0"/>
              <w:rPr>
                <w:sz w:val="20"/>
                <w:szCs w:val="20"/>
                <w:color w:val="auto"/>
              </w:rPr>
            </w:pPr>
            <w:r>
              <w:rPr>
                <w:rFonts w:ascii="Arial" w:cs="Arial" w:eastAsia="Arial" w:hAnsi="Arial"/>
                <w:sz w:val="18"/>
                <w:szCs w:val="18"/>
                <w:b w:val="1"/>
                <w:bCs w:val="1"/>
                <w:color w:val="auto"/>
                <w:w w:val="88"/>
              </w:rPr>
              <w:t>Table of Contents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10700" w:type="dxa"/>
            <w:vAlign w:val="bottom"/>
            <w:gridSpan w:val="2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168"/>
        </w:trPr>
        <w:tc>
          <w:tcPr>
            <w:tcW w:w="10700" w:type="dxa"/>
            <w:vAlign w:val="bottom"/>
            <w:gridSpan w:val="23"/>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4240" w:type="dxa"/>
            <w:vAlign w:val="bottom"/>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Financial Statements (Unaudited)</w:t>
              </w:r>
            </w:hyperlink>
          </w:p>
        </w:tc>
        <w:tc>
          <w:tcPr>
            <w:tcW w:w="5500" w:type="dxa"/>
            <w:vAlign w:val="bottom"/>
            <w:gridSpan w:val="10"/>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4"/>
                <w:szCs w:val="24"/>
                <w:color w:val="auto"/>
              </w:rPr>
            </w:pPr>
          </w:p>
        </w:tc>
        <w:tc>
          <w:tcPr>
            <w:tcW w:w="7020" w:type="dxa"/>
            <w:vAlign w:val="bottom"/>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2021 (Unaudited) and December 31, 2020</w:t>
              </w:r>
            </w:hyperlink>
          </w:p>
        </w:tc>
        <w:tc>
          <w:tcPr>
            <w:tcW w:w="2720" w:type="dxa"/>
            <w:vAlign w:val="bottom"/>
            <w:gridSpan w:val="5"/>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4"/>
                <w:szCs w:val="24"/>
                <w:color w:val="auto"/>
              </w:rPr>
            </w:pPr>
          </w:p>
        </w:tc>
        <w:tc>
          <w:tcPr>
            <w:tcW w:w="8940" w:type="dxa"/>
            <w:vAlign w:val="bottom"/>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2021 and 2020 (Unaudited)</w:t>
              </w:r>
            </w:hyperlink>
          </w:p>
        </w:tc>
        <w:tc>
          <w:tcPr>
            <w:tcW w:w="800" w:type="dxa"/>
            <w:vAlign w:val="bottom"/>
            <w:gridSpan w:val="3"/>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4"/>
                <w:szCs w:val="24"/>
                <w:color w:val="auto"/>
              </w:rPr>
            </w:pPr>
          </w:p>
        </w:tc>
        <w:tc>
          <w:tcPr>
            <w:tcW w:w="9740" w:type="dxa"/>
            <w:vAlign w:val="bottom"/>
            <w:gridSpan w:val="22"/>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(Loss) for the Three and Six Months ended June 30, 2021 and 2020</w:t>
              </w:r>
            </w:hyperlink>
          </w:p>
        </w:tc>
        <w:tc>
          <w:tcPr>
            <w:tcW w:w="5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9440" w:type="dxa"/>
            <w:vAlign w:val="bottom"/>
            <w:tcBorders>
              <w:top w:val="single" w:sz="8" w:color="0000EE"/>
            </w:tcBorders>
            <w:gridSpan w:val="20"/>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30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4"/>
                <w:szCs w:val="24"/>
                <w:color w:val="auto"/>
              </w:rPr>
            </w:pPr>
          </w:p>
        </w:tc>
        <w:tc>
          <w:tcPr>
            <w:tcW w:w="9740" w:type="dxa"/>
            <w:vAlign w:val="bottom"/>
            <w:gridSpan w:val="2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 for the Three and Six Months ended June 30, 2021 and 2020 (Unaudited)</w:t>
              </w:r>
            </w:hyperlink>
          </w:p>
        </w:tc>
        <w:tc>
          <w:tcPr>
            <w:tcW w:w="54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4"/>
                <w:szCs w:val="24"/>
                <w:color w:val="auto"/>
              </w:rPr>
            </w:pPr>
          </w:p>
        </w:tc>
        <w:tc>
          <w:tcPr>
            <w:tcW w:w="966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June 30, 2021 and 2020 (Unaudited)</w:t>
              </w:r>
            </w:hyperlink>
          </w:p>
        </w:tc>
        <w:tc>
          <w:tcPr>
            <w:tcW w:w="80" w:type="dxa"/>
            <w:vAlign w:val="bottom"/>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4"/>
                <w:szCs w:val="24"/>
                <w:color w:val="auto"/>
              </w:rPr>
            </w:pPr>
          </w:p>
        </w:tc>
        <w:tc>
          <w:tcPr>
            <w:tcW w:w="4940" w:type="dxa"/>
            <w:vAlign w:val="bottom"/>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3280" w:type="dxa"/>
            <w:vAlign w:val="bottom"/>
            <w:gridSpan w:val="3"/>
          </w:tcPr>
          <w:p>
            <w:pPr>
              <w:spacing w:after="0"/>
              <w:rPr>
                <w:sz w:val="24"/>
                <w:szCs w:val="24"/>
                <w:color w:val="auto"/>
              </w:rPr>
            </w:pPr>
          </w:p>
        </w:tc>
        <w:tc>
          <w:tcPr>
            <w:tcW w:w="1520" w:type="dxa"/>
            <w:vAlign w:val="bottom"/>
            <w:gridSpan w:val="4"/>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410"/>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32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c>
          <w:tcPr>
            <w:tcW w:w="0" w:type="dxa"/>
            <w:vAlign w:val="bottom"/>
          </w:tcPr>
          <w:p>
            <w:pPr>
              <w:spacing w:after="0"/>
              <w:rPr>
                <w:sz w:val="1"/>
                <w:szCs w:val="1"/>
                <w:color w:val="auto"/>
              </w:rPr>
            </w:pPr>
          </w:p>
        </w:tc>
      </w:tr>
      <w:tr>
        <w:trPr>
          <w:trHeight w:val="410"/>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54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60" w:type="dxa"/>
            <w:vAlign w:val="bottom"/>
            <w:tcBorders>
              <w:bottom w:val="single" w:sz="8" w:color="0000EE"/>
            </w:tcBorders>
            <w:gridSpan w:val="7"/>
          </w:tcPr>
          <w:p>
            <w:pPr>
              <w:spacing w:after="0"/>
              <w:rPr>
                <w:rFonts w:ascii="Arial" w:cs="Arial" w:eastAsia="Arial" w:hAnsi="Arial"/>
                <w:sz w:val="18"/>
                <w:szCs w:val="18"/>
                <w:b w:val="1"/>
                <w:bCs w:val="1"/>
                <w:color w:val="0000EE"/>
                <w:w w:val="96"/>
              </w:rPr>
            </w:pPr>
            <w:hyperlink w:anchor="page35">
              <w:r>
                <w:rPr>
                  <w:rFonts w:ascii="Arial" w:cs="Arial" w:eastAsia="Arial" w:hAnsi="Arial"/>
                  <w:sz w:val="18"/>
                  <w:szCs w:val="18"/>
                  <w:b w:val="1"/>
                  <w:bCs w:val="1"/>
                  <w:color w:val="0000EE"/>
                  <w:w w:val="96"/>
                </w:rPr>
                <w:t>Part II. Other Information</w:t>
              </w:r>
            </w:hyperlink>
          </w:p>
        </w:tc>
        <w:tc>
          <w:tcPr>
            <w:tcW w:w="8640" w:type="dxa"/>
            <w:vAlign w:val="bottom"/>
            <w:gridSpan w:val="16"/>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9740" w:type="dxa"/>
            <w:vAlign w:val="bottom"/>
            <w:gridSpan w:val="22"/>
          </w:tcPr>
          <w:p>
            <w:pPr>
              <w:spacing w:after="0" w:line="195"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540" w:type="dxa"/>
            <w:vAlign w:val="bottom"/>
            <w:gridSpan w:val="3"/>
          </w:tcPr>
          <w:p>
            <w:pPr>
              <w:jc w:val="right"/>
              <w:spacing w:after="0" w:line="195"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9"/>
          </w:tcPr>
          <w:p>
            <w:pPr>
              <w:spacing w:after="0" w:line="195"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8420" w:type="dxa"/>
            <w:vAlign w:val="bottom"/>
            <w:gridSpan w:val="13"/>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2.</w:t>
            </w:r>
          </w:p>
        </w:tc>
        <w:tc>
          <w:tcPr>
            <w:tcW w:w="9740" w:type="dxa"/>
            <w:vAlign w:val="bottom"/>
            <w:gridSpan w:val="22"/>
          </w:tcPr>
          <w:p>
            <w:pPr>
              <w:spacing w:after="0" w:line="195"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540" w:type="dxa"/>
            <w:vAlign w:val="bottom"/>
            <w:gridSpan w:val="3"/>
          </w:tcPr>
          <w:p>
            <w:pPr>
              <w:jc w:val="right"/>
              <w:spacing w:after="0" w:line="195"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1"/>
          </w:tcPr>
          <w:p>
            <w:pPr>
              <w:spacing w:after="0" w:line="195"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Defaults Upon Senior Securities</w:t>
              </w:r>
            </w:hyperlink>
          </w:p>
        </w:tc>
        <w:tc>
          <w:tcPr>
            <w:tcW w:w="2000" w:type="dxa"/>
            <w:vAlign w:val="bottom"/>
            <w:tcBorders>
              <w:top w:val="single" w:sz="8" w:color="0000EE"/>
            </w:tcBorders>
            <w:gridSpan w:val="2"/>
          </w:tcPr>
          <w:p>
            <w:pPr>
              <w:spacing w:after="0"/>
              <w:rPr>
                <w:sz w:val="16"/>
                <w:szCs w:val="16"/>
                <w:color w:val="auto"/>
              </w:rPr>
            </w:pPr>
          </w:p>
        </w:tc>
        <w:tc>
          <w:tcPr>
            <w:tcW w:w="5420" w:type="dxa"/>
            <w:vAlign w:val="bottom"/>
            <w:gridSpan w:val="9"/>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4.</w:t>
            </w:r>
          </w:p>
        </w:tc>
        <w:tc>
          <w:tcPr>
            <w:tcW w:w="9740" w:type="dxa"/>
            <w:vAlign w:val="bottom"/>
            <w:gridSpan w:val="22"/>
          </w:tcPr>
          <w:p>
            <w:pPr>
              <w:spacing w:after="0" w:line="195"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540" w:type="dxa"/>
            <w:vAlign w:val="bottom"/>
            <w:gridSpan w:val="3"/>
          </w:tcPr>
          <w:p>
            <w:pPr>
              <w:jc w:val="right"/>
              <w:spacing w:after="0" w:line="195"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10"/>
          </w:tcPr>
          <w:p>
            <w:pPr>
              <w:spacing w:after="0" w:line="195" w:lineRule="exact"/>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7980" w:type="dxa"/>
            <w:vAlign w:val="bottom"/>
            <w:gridSpan w:val="12"/>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Exhibits</w:t>
              </w:r>
            </w:hyperlink>
          </w:p>
        </w:tc>
        <w:tc>
          <w:tcPr>
            <w:tcW w:w="700" w:type="dxa"/>
            <w:vAlign w:val="bottom"/>
            <w:tcBorders>
              <w:top w:val="single" w:sz="8" w:color="0000EE"/>
            </w:tcBorders>
            <w:gridSpan w:val="6"/>
          </w:tcPr>
          <w:p>
            <w:pPr>
              <w:spacing w:after="0"/>
              <w:rPr>
                <w:sz w:val="16"/>
                <w:szCs w:val="16"/>
                <w:color w:val="auto"/>
              </w:rPr>
            </w:pPr>
          </w:p>
        </w:tc>
        <w:tc>
          <w:tcPr>
            <w:tcW w:w="8440" w:type="dxa"/>
            <w:vAlign w:val="bottom"/>
            <w:gridSpan w:val="14"/>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760" w:type="dxa"/>
            <w:vAlign w:val="bottom"/>
            <w:tcBorders>
              <w:bottom w:val="single" w:sz="8" w:color="0000EE"/>
            </w:tcBorders>
            <w:gridSpan w:val="3"/>
          </w:tcPr>
          <w:p>
            <w:pPr>
              <w:spacing w:after="0" w:line="195" w:lineRule="exact"/>
              <w:rPr>
                <w:rFonts w:ascii="Arial" w:cs="Arial" w:eastAsia="Arial" w:hAnsi="Arial"/>
                <w:sz w:val="18"/>
                <w:szCs w:val="18"/>
                <w:color w:val="0000EE"/>
                <w:w w:val="85"/>
              </w:rPr>
            </w:pPr>
            <w:hyperlink w:anchor="page37">
              <w:r>
                <w:rPr>
                  <w:rFonts w:ascii="Arial" w:cs="Arial" w:eastAsia="Arial" w:hAnsi="Arial"/>
                  <w:sz w:val="18"/>
                  <w:szCs w:val="18"/>
                  <w:color w:val="0000EE"/>
                  <w:w w:val="85"/>
                </w:rPr>
                <w:t>Signatures</w:t>
              </w:r>
            </w:hyperlink>
          </w:p>
        </w:tc>
        <w:tc>
          <w:tcPr>
            <w:tcW w:w="8980" w:type="dxa"/>
            <w:vAlign w:val="bottom"/>
            <w:gridSpan w:val="19"/>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c>
          <w:tcPr>
            <w:tcW w:w="0" w:type="dxa"/>
            <w:vAlign w:val="bottom"/>
          </w:tcPr>
          <w:p>
            <w:pPr>
              <w:spacing w:after="0"/>
              <w:rPr>
                <w:sz w:val="1"/>
                <w:szCs w:val="1"/>
                <w:color w:val="auto"/>
              </w:rPr>
            </w:pPr>
          </w:p>
        </w:tc>
      </w:tr>
      <w:tr>
        <w:trPr>
          <w:trHeight w:val="706"/>
        </w:trPr>
        <w:tc>
          <w:tcPr>
            <w:tcW w:w="960" w:type="dxa"/>
            <w:vAlign w:val="bottom"/>
          </w:tcPr>
          <w:p>
            <w:pPr>
              <w:spacing w:after="0"/>
              <w:rPr>
                <w:sz w:val="24"/>
                <w:szCs w:val="24"/>
                <w:color w:val="auto"/>
              </w:rPr>
            </w:pPr>
          </w:p>
        </w:tc>
        <w:tc>
          <w:tcPr>
            <w:tcW w:w="4940" w:type="dxa"/>
            <w:vAlign w:val="bottom"/>
            <w:gridSpan w:val="15"/>
          </w:tcPr>
          <w:p>
            <w:pPr>
              <w:jc w:val="center"/>
              <w:ind w:left="4290"/>
              <w:spacing w:after="0"/>
              <w:rPr>
                <w:sz w:val="20"/>
                <w:szCs w:val="20"/>
                <w:color w:val="auto"/>
              </w:rPr>
            </w:pPr>
            <w:r>
              <w:rPr>
                <w:rFonts w:ascii="Arial" w:cs="Arial" w:eastAsia="Arial" w:hAnsi="Arial"/>
                <w:sz w:val="18"/>
                <w:szCs w:val="18"/>
                <w:color w:val="auto"/>
                <w:w w:val="79"/>
              </w:rPr>
              <w:t>2</w:t>
            </w: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600" w:type="dxa"/>
            <w:vAlign w:val="bottom"/>
          </w:tcPr>
          <w:p>
            <w:pPr>
              <w:jc w:val="center"/>
              <w:ind w:left="1990"/>
              <w:spacing w:after="0"/>
              <w:rPr>
                <w:sz w:val="20"/>
                <w:szCs w:val="20"/>
                <w:color w:val="auto"/>
              </w:rPr>
            </w:pPr>
            <w:r>
              <w:rPr>
                <w:rFonts w:ascii="Arial" w:cs="Arial" w:eastAsia="Arial" w:hAnsi="Arial"/>
                <w:sz w:val="18"/>
                <w:szCs w:val="18"/>
                <w:b w:val="1"/>
                <w:bCs w:val="1"/>
                <w:color w:val="auto"/>
                <w:w w:val="94"/>
              </w:rPr>
              <w:t>Part I. Financial Information</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0" w:type="dxa"/>
            <w:vAlign w:val="bottom"/>
          </w:tcPr>
          <w:p>
            <w:pPr>
              <w:jc w:val="center"/>
              <w:ind w:left="19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0" w:type="dxa"/>
            <w:vAlign w:val="bottom"/>
          </w:tcPr>
          <w:p>
            <w:pPr>
              <w:jc w:val="center"/>
              <w:ind w:left="2010"/>
              <w:spacing w:after="0"/>
              <w:rPr>
                <w:sz w:val="20"/>
                <w:szCs w:val="20"/>
                <w:color w:val="auto"/>
              </w:rPr>
            </w:pPr>
            <w:r>
              <w:rPr>
                <w:rFonts w:ascii="Arial" w:cs="Arial" w:eastAsia="Arial" w:hAnsi="Arial"/>
                <w:sz w:val="18"/>
                <w:szCs w:val="18"/>
                <w:b w:val="1"/>
                <w:bCs w:val="1"/>
                <w:color w:val="auto"/>
                <w:w w:val="89"/>
              </w:rPr>
              <w:t>(Unaudited, in thousands)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44,013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6,486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 trade, net of allowance of $62 and $62, respectively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Notes receivable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3,819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Prepaid income tax</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gridSpan w:val="2"/>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208,224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246,797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Land use rights,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5,846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right of use asset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Financing right of use asset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Other assets,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473,144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6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rPr>
              <w:t>LIABILITIES AND STOCKHOLDERS' EQUITY</w:t>
            </w: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Current portion of notes payable and long-term debt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41,876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38,265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Bank acceptance payable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6,469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15,860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lease liability - operating</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Current lease liability - financing</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90,485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Notes payable and long-term debt, less current portion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Convertible senior notes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78,264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77,854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Non-current lease liability - operating</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Non-current lease liability - financing</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195,853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89"/>
              </w:rPr>
              <w:t>Preferred Stock; 5,000 shares authorized at $0.001 par value; no shares issued and outstanding at June 30,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2021 and December 31, 2020, respectively</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6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5"/>
              </w:rPr>
              <w:t>Common Stock; 45,000 shares authorized at $0.001 par value; 26,919 and 25,110 shares issued and</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outstanding at June 30, 2021 and December 31, 2020, respectively</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375,312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14,286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(112,334)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277,291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473,144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480,805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6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4880" w:type="dxa"/>
            <w:vAlign w:val="bottom"/>
            <w:gridSpan w:val="5"/>
          </w:tcPr>
          <w:p>
            <w:pPr>
              <w:jc w:val="center"/>
              <w:ind w:left="91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8"/>
              </w:rPr>
              <w:t>(Unaudited, in thousands, except share and per share data)</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60" w:type="dxa"/>
            <w:vAlign w:val="bottom"/>
          </w:tcPr>
          <w:p>
            <w:pPr>
              <w:spacing w:after="0"/>
              <w:rPr>
                <w:sz w:val="24"/>
                <w:szCs w:val="24"/>
                <w:color w:val="auto"/>
              </w:rPr>
            </w:pPr>
          </w:p>
        </w:tc>
        <w:tc>
          <w:tcPr>
            <w:tcW w:w="24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88"/>
              </w:rPr>
              <w:t>Six months ended June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3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54,189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103,890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82,393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85,615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3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10,914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10,803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21,842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2,832</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3,430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5,792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49,184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48,976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(13,649)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(11,108)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Other income (expense)</w:t>
            </w:r>
          </w:p>
        </w:tc>
        <w:tc>
          <w:tcPr>
            <w:tcW w:w="3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(1,367)</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(1,489)</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(2,798)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w w:val="98"/>
              </w:rPr>
              <w:t>Total other income (expense), net</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3,862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(8,203)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(11,576)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(7,024)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(8,203)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(23,825)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(35,397)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rPr>
              <w:t>Net loss per share</w:t>
            </w:r>
          </w:p>
        </w:tc>
        <w:tc>
          <w:tcPr>
            <w:tcW w:w="33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3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(0.31)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(0.89)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(0.89)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26,850,032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20,858,450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26,636,755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20,533,417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26,850,032</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20,858,450</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26,636,755</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20,533,417</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4"/>
        </w:trPr>
        <w:tc>
          <w:tcPr>
            <w:tcW w:w="1280" w:type="dxa"/>
            <w:vAlign w:val="bottom"/>
            <w:tcBorders>
              <w:top w:val="single" w:sz="8" w:color="0000EE"/>
            </w:tcBorders>
          </w:tcPr>
          <w:p>
            <w:pPr>
              <w:spacing w:after="0"/>
              <w:rPr>
                <w:sz w:val="24"/>
                <w:szCs w:val="24"/>
                <w:color w:val="auto"/>
              </w:rPr>
            </w:pPr>
          </w:p>
        </w:tc>
        <w:tc>
          <w:tcPr>
            <w:tcW w:w="6320" w:type="dxa"/>
            <w:vAlign w:val="bottom"/>
            <w:gridSpan w:val="6"/>
          </w:tcPr>
          <w:p>
            <w:pPr>
              <w:jc w:val="center"/>
              <w:ind w:left="227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1280" w:type="dxa"/>
            <w:vAlign w:val="bottom"/>
          </w:tcPr>
          <w:p>
            <w:pPr>
              <w:spacing w:after="0"/>
              <w:rPr>
                <w:sz w:val="18"/>
                <w:szCs w:val="18"/>
                <w:color w:val="auto"/>
              </w:rPr>
            </w:pPr>
          </w:p>
        </w:tc>
        <w:tc>
          <w:tcPr>
            <w:tcW w:w="874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04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(Unaudited,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60" w:type="dxa"/>
            <w:vAlign w:val="bottom"/>
          </w:tcPr>
          <w:p>
            <w:pPr>
              <w:spacing w:after="0"/>
              <w:rPr>
                <w:sz w:val="24"/>
                <w:szCs w:val="24"/>
                <w:color w:val="auto"/>
              </w:rPr>
            </w:pPr>
          </w:p>
        </w:tc>
        <w:tc>
          <w:tcPr>
            <w:tcW w:w="24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88"/>
              </w:rPr>
              <w:t>Six months ended June 30,</w:t>
            </w:r>
          </w:p>
        </w:tc>
      </w:tr>
      <w:tr>
        <w:trPr>
          <w:trHeight w:val="208"/>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(8,203)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(23,825)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(35,397)</w:t>
            </w:r>
          </w:p>
        </w:tc>
      </w:tr>
      <w:tr>
        <w:trPr>
          <w:trHeight w:val="215"/>
        </w:trPr>
        <w:tc>
          <w:tcPr>
            <w:tcW w:w="4320" w:type="dxa"/>
            <w:vAlign w:val="bottom"/>
            <w:gridSpan w:val="2"/>
          </w:tcPr>
          <w:p>
            <w:pPr>
              <w:spacing w:after="0"/>
              <w:rPr>
                <w:sz w:val="20"/>
                <w:szCs w:val="20"/>
                <w:color w:val="auto"/>
              </w:rPr>
            </w:pPr>
            <w:r>
              <w:rPr>
                <w:rFonts w:ascii="Arial" w:cs="Arial" w:eastAsia="Arial" w:hAnsi="Arial"/>
                <w:sz w:val="18"/>
                <w:szCs w:val="18"/>
                <w:color w:val="auto"/>
                <w:w w:val="98"/>
              </w:rPr>
              <w:t>Gain/ (Loss) on foreign currency translation adjustment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2,596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r>
      <w:tr>
        <w:trPr>
          <w:trHeight w:val="20"/>
        </w:trPr>
        <w:tc>
          <w:tcPr>
            <w:tcW w:w="1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(21,229)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(36,345)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jc w:val="center"/>
        <w:ind w:left="340" w:right="2360"/>
        <w:spacing w:after="0" w:line="262"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STOCKHOLDERS’ EQUITY Three and Six Months ended June 30, 2021 and 2020 (Unaudited,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4"/>
            <w:vMerge w:val="restart"/>
          </w:tcPr>
          <w:p>
            <w:pPr>
              <w:ind w:left="2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ind w:left="20"/>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4"/>
              </w:rPr>
              <w:t>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920" w:type="dxa"/>
            <w:vAlign w:val="bottom"/>
          </w:tcPr>
          <w:p>
            <w:pPr>
              <w:spacing w:after="0"/>
              <w:rPr>
                <w:sz w:val="15"/>
                <w:szCs w:val="15"/>
                <w:color w:val="auto"/>
              </w:rPr>
            </w:pPr>
          </w:p>
        </w:tc>
        <w:tc>
          <w:tcPr>
            <w:tcW w:w="880" w:type="dxa"/>
            <w:vAlign w:val="bottom"/>
            <w:gridSpan w:val="3"/>
          </w:tcPr>
          <w:p>
            <w:pPr>
              <w:jc w:val="center"/>
              <w:ind w:right="100"/>
              <w:spacing w:after="0" w:line="181" w:lineRule="exact"/>
              <w:rPr>
                <w:sz w:val="20"/>
                <w:szCs w:val="20"/>
                <w:color w:val="auto"/>
              </w:rPr>
            </w:pPr>
            <w:r>
              <w:rPr>
                <w:rFonts w:ascii="Arial" w:cs="Arial" w:eastAsia="Arial" w:hAnsi="Arial"/>
                <w:sz w:val="16"/>
                <w:szCs w:val="16"/>
                <w:b w:val="1"/>
                <w:bCs w:val="1"/>
                <w:color w:val="auto"/>
                <w:w w:val="95"/>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00"/>
              <w:spacing w:after="0" w:line="181" w:lineRule="exact"/>
              <w:rPr>
                <w:sz w:val="20"/>
                <w:szCs w:val="20"/>
                <w:color w:val="auto"/>
              </w:rPr>
            </w:pPr>
            <w:r>
              <w:rPr>
                <w:rFonts w:ascii="Arial" w:cs="Arial" w:eastAsia="Arial" w:hAnsi="Arial"/>
                <w:sz w:val="16"/>
                <w:szCs w:val="16"/>
                <w:b w:val="1"/>
                <w:bCs w:val="1"/>
                <w:color w:val="auto"/>
                <w:w w:val="95"/>
              </w:rPr>
              <w:t>Number</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5"/>
          </w:tcPr>
          <w:p>
            <w:pPr>
              <w:jc w:val="center"/>
              <w:ind w:right="220"/>
              <w:spacing w:after="0" w:line="181" w:lineRule="exact"/>
              <w:rPr>
                <w:sz w:val="20"/>
                <w:szCs w:val="20"/>
                <w:color w:val="auto"/>
              </w:rPr>
            </w:pPr>
            <w:r>
              <w:rPr>
                <w:rFonts w:ascii="Arial" w:cs="Arial" w:eastAsia="Arial" w:hAnsi="Arial"/>
                <w:sz w:val="16"/>
                <w:szCs w:val="16"/>
                <w:b w:val="1"/>
                <w:bCs w:val="1"/>
                <w:color w:val="auto"/>
                <w:w w:val="86"/>
              </w:rPr>
              <w:t>comprehensive</w:t>
            </w:r>
          </w:p>
        </w:tc>
        <w:tc>
          <w:tcPr>
            <w:tcW w:w="1040" w:type="dxa"/>
            <w:vAlign w:val="bottom"/>
            <w:gridSpan w:val="4"/>
          </w:tcPr>
          <w:p>
            <w:pPr>
              <w:spacing w:after="0" w:line="181" w:lineRule="exact"/>
              <w:rPr>
                <w:sz w:val="20"/>
                <w:szCs w:val="20"/>
                <w:color w:val="auto"/>
              </w:rPr>
            </w:pPr>
            <w:r>
              <w:rPr>
                <w:rFonts w:ascii="Arial" w:cs="Arial" w:eastAsia="Arial" w:hAnsi="Arial"/>
                <w:sz w:val="16"/>
                <w:szCs w:val="16"/>
                <w:b w:val="1"/>
                <w:bCs w:val="1"/>
                <w:color w:val="auto"/>
              </w:rPr>
              <w:t>Accumulated</w:t>
            </w:r>
          </w:p>
        </w:tc>
        <w:tc>
          <w:tcPr>
            <w:tcW w:w="1120" w:type="dxa"/>
            <w:vAlign w:val="bottom"/>
            <w:gridSpan w:val="4"/>
          </w:tcPr>
          <w:p>
            <w:pPr>
              <w:ind w:left="80"/>
              <w:spacing w:after="0" w:line="181" w:lineRule="exact"/>
              <w:rPr>
                <w:sz w:val="20"/>
                <w:szCs w:val="20"/>
                <w:color w:val="auto"/>
              </w:rPr>
            </w:pPr>
            <w:r>
              <w:rPr>
                <w:rFonts w:ascii="Arial" w:cs="Arial" w:eastAsia="Arial" w:hAnsi="Arial"/>
                <w:sz w:val="16"/>
                <w:szCs w:val="16"/>
                <w:b w:val="1"/>
                <w:bCs w:val="1"/>
                <w:color w:val="auto"/>
                <w:w w:val="96"/>
              </w:rPr>
              <w:t>Stockholders'</w:t>
            </w: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w w:val="87"/>
              </w:rPr>
              <w:t>gain (loss)</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March 31, 2021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26,787</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371,920</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10,656</w:t>
            </w: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(104,131)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3,274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(8,203)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(8,203)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June 30, 2021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26,919</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375,312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14,286</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(112,334)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4"/>
            <w:vMerge w:val="restart"/>
          </w:tcPr>
          <w:p>
            <w:pPr>
              <w:ind w:left="2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ind w:left="20"/>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4"/>
              </w:rPr>
              <w:t>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920" w:type="dxa"/>
            <w:vAlign w:val="bottom"/>
          </w:tcPr>
          <w:p>
            <w:pPr>
              <w:spacing w:after="0"/>
              <w:rPr>
                <w:sz w:val="15"/>
                <w:szCs w:val="15"/>
                <w:color w:val="auto"/>
              </w:rPr>
            </w:pPr>
          </w:p>
        </w:tc>
        <w:tc>
          <w:tcPr>
            <w:tcW w:w="880" w:type="dxa"/>
            <w:vAlign w:val="bottom"/>
            <w:gridSpan w:val="3"/>
          </w:tcPr>
          <w:p>
            <w:pPr>
              <w:jc w:val="center"/>
              <w:ind w:right="100"/>
              <w:spacing w:after="0" w:line="181" w:lineRule="exact"/>
              <w:rPr>
                <w:sz w:val="20"/>
                <w:szCs w:val="20"/>
                <w:color w:val="auto"/>
              </w:rPr>
            </w:pPr>
            <w:r>
              <w:rPr>
                <w:rFonts w:ascii="Arial" w:cs="Arial" w:eastAsia="Arial" w:hAnsi="Arial"/>
                <w:sz w:val="16"/>
                <w:szCs w:val="16"/>
                <w:b w:val="1"/>
                <w:bCs w:val="1"/>
                <w:color w:val="auto"/>
                <w:w w:val="95"/>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00"/>
              <w:spacing w:after="0" w:line="181" w:lineRule="exact"/>
              <w:rPr>
                <w:sz w:val="20"/>
                <w:szCs w:val="20"/>
                <w:color w:val="auto"/>
              </w:rPr>
            </w:pPr>
            <w:r>
              <w:rPr>
                <w:rFonts w:ascii="Arial" w:cs="Arial" w:eastAsia="Arial" w:hAnsi="Arial"/>
                <w:sz w:val="16"/>
                <w:szCs w:val="16"/>
                <w:b w:val="1"/>
                <w:bCs w:val="1"/>
                <w:color w:val="auto"/>
                <w:w w:val="95"/>
              </w:rPr>
              <w:t>Number</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5"/>
          </w:tcPr>
          <w:p>
            <w:pPr>
              <w:jc w:val="center"/>
              <w:ind w:right="220"/>
              <w:spacing w:after="0" w:line="181" w:lineRule="exact"/>
              <w:rPr>
                <w:sz w:val="20"/>
                <w:szCs w:val="20"/>
                <w:color w:val="auto"/>
              </w:rPr>
            </w:pPr>
            <w:r>
              <w:rPr>
                <w:rFonts w:ascii="Arial" w:cs="Arial" w:eastAsia="Arial" w:hAnsi="Arial"/>
                <w:sz w:val="16"/>
                <w:szCs w:val="16"/>
                <w:b w:val="1"/>
                <w:bCs w:val="1"/>
                <w:color w:val="auto"/>
                <w:w w:val="86"/>
              </w:rPr>
              <w:t>comprehensive</w:t>
            </w:r>
          </w:p>
        </w:tc>
        <w:tc>
          <w:tcPr>
            <w:tcW w:w="1040" w:type="dxa"/>
            <w:vAlign w:val="bottom"/>
            <w:gridSpan w:val="4"/>
          </w:tcPr>
          <w:p>
            <w:pPr>
              <w:spacing w:after="0" w:line="181" w:lineRule="exact"/>
              <w:rPr>
                <w:sz w:val="20"/>
                <w:szCs w:val="20"/>
                <w:color w:val="auto"/>
              </w:rPr>
            </w:pPr>
            <w:r>
              <w:rPr>
                <w:rFonts w:ascii="Arial" w:cs="Arial" w:eastAsia="Arial" w:hAnsi="Arial"/>
                <w:sz w:val="16"/>
                <w:szCs w:val="16"/>
                <w:b w:val="1"/>
                <w:bCs w:val="1"/>
                <w:color w:val="auto"/>
              </w:rPr>
              <w:t>Accumulated</w:t>
            </w:r>
          </w:p>
        </w:tc>
        <w:tc>
          <w:tcPr>
            <w:tcW w:w="1120" w:type="dxa"/>
            <w:vAlign w:val="bottom"/>
            <w:gridSpan w:val="4"/>
          </w:tcPr>
          <w:p>
            <w:pPr>
              <w:ind w:left="80"/>
              <w:spacing w:after="0" w:line="181" w:lineRule="exact"/>
              <w:rPr>
                <w:sz w:val="20"/>
                <w:szCs w:val="20"/>
                <w:color w:val="auto"/>
              </w:rPr>
            </w:pPr>
            <w:r>
              <w:rPr>
                <w:rFonts w:ascii="Arial" w:cs="Arial" w:eastAsia="Arial" w:hAnsi="Arial"/>
                <w:sz w:val="16"/>
                <w:szCs w:val="16"/>
                <w:b w:val="1"/>
                <w:bCs w:val="1"/>
                <w:color w:val="auto"/>
                <w:w w:val="96"/>
              </w:rPr>
              <w:t>Stockholders'</w:t>
            </w: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w w:val="87"/>
              </w:rPr>
              <w:t>gain (loss)</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March 31, 2020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20,249</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306,305</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(1,972)</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(46,854)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1,578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14,002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net of shares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(18,600)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(18,600)</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920" w:type="dxa"/>
            <w:vAlign w:val="bottom"/>
          </w:tcPr>
          <w:p>
            <w:pPr>
              <w:spacing w:after="0"/>
              <w:rPr>
                <w:sz w:val="20"/>
                <w:szCs w:val="20"/>
                <w:color w:val="auto"/>
              </w:rPr>
            </w:pPr>
            <w:r>
              <w:rPr>
                <w:rFonts w:ascii="Arial" w:cs="Arial" w:eastAsia="Arial" w:hAnsi="Arial"/>
                <w:sz w:val="16"/>
                <w:szCs w:val="16"/>
                <w:color w:val="auto"/>
              </w:rPr>
              <w:t>June 30, 2020</w:t>
            </w:r>
          </w:p>
        </w:tc>
        <w:tc>
          <w:tcPr>
            <w:tcW w:w="12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21,940</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323,405</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(65,454)</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257,455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vMerge w:val="restart"/>
          </w:tcPr>
          <w:p>
            <w:pPr>
              <w:ind w:left="20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4"/>
            <w:vMerge w:val="restart"/>
          </w:tcPr>
          <w:p>
            <w:pPr>
              <w:ind w:left="2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ind w:left="20"/>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9"/>
              </w:rPr>
              <w:t>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920" w:type="dxa"/>
            <w:vAlign w:val="bottom"/>
          </w:tcPr>
          <w:p>
            <w:pPr>
              <w:spacing w:after="0"/>
              <w:rPr>
                <w:sz w:val="15"/>
                <w:szCs w:val="15"/>
                <w:color w:val="auto"/>
              </w:rPr>
            </w:pPr>
          </w:p>
        </w:tc>
        <w:tc>
          <w:tcPr>
            <w:tcW w:w="880" w:type="dxa"/>
            <w:vAlign w:val="bottom"/>
            <w:gridSpan w:val="3"/>
          </w:tcPr>
          <w:p>
            <w:pPr>
              <w:jc w:val="center"/>
              <w:ind w:right="120"/>
              <w:spacing w:after="0" w:line="181" w:lineRule="exact"/>
              <w:rPr>
                <w:sz w:val="20"/>
                <w:szCs w:val="20"/>
                <w:color w:val="auto"/>
              </w:rPr>
            </w:pPr>
            <w:r>
              <w:rPr>
                <w:rFonts w:ascii="Arial" w:cs="Arial" w:eastAsia="Arial" w:hAnsi="Arial"/>
                <w:sz w:val="16"/>
                <w:szCs w:val="16"/>
                <w:b w:val="1"/>
                <w:bCs w:val="1"/>
                <w:color w:val="auto"/>
                <w:w w:val="92"/>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40"/>
              <w:spacing w:after="0" w:line="181" w:lineRule="exact"/>
              <w:rPr>
                <w:sz w:val="20"/>
                <w:szCs w:val="20"/>
                <w:color w:val="auto"/>
              </w:rPr>
            </w:pPr>
            <w:r>
              <w:rPr>
                <w:rFonts w:ascii="Arial" w:cs="Arial" w:eastAsia="Arial" w:hAnsi="Arial"/>
                <w:sz w:val="16"/>
                <w:szCs w:val="16"/>
                <w:b w:val="1"/>
                <w:bCs w:val="1"/>
                <w:color w:val="auto"/>
                <w:w w:val="95"/>
              </w:rPr>
              <w:t>Number</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20"/>
              <w:spacing w:after="0" w:line="181"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5"/>
          </w:tcPr>
          <w:p>
            <w:pPr>
              <w:jc w:val="center"/>
              <w:ind w:right="220"/>
              <w:spacing w:after="0" w:line="181" w:lineRule="exact"/>
              <w:rPr>
                <w:sz w:val="20"/>
                <w:szCs w:val="20"/>
                <w:color w:val="auto"/>
              </w:rPr>
            </w:pPr>
            <w:r>
              <w:rPr>
                <w:rFonts w:ascii="Arial" w:cs="Arial" w:eastAsia="Arial" w:hAnsi="Arial"/>
                <w:sz w:val="16"/>
                <w:szCs w:val="16"/>
                <w:b w:val="1"/>
                <w:bCs w:val="1"/>
                <w:color w:val="auto"/>
                <w:w w:val="86"/>
              </w:rPr>
              <w:t>comprehensive</w:t>
            </w:r>
          </w:p>
        </w:tc>
        <w:tc>
          <w:tcPr>
            <w:tcW w:w="1040" w:type="dxa"/>
            <w:vAlign w:val="bottom"/>
            <w:gridSpan w:val="4"/>
          </w:tcPr>
          <w:p>
            <w:pPr>
              <w:spacing w:after="0" w:line="181" w:lineRule="exact"/>
              <w:rPr>
                <w:sz w:val="20"/>
                <w:szCs w:val="20"/>
                <w:color w:val="auto"/>
              </w:rPr>
            </w:pPr>
            <w:r>
              <w:rPr>
                <w:rFonts w:ascii="Arial" w:cs="Arial" w:eastAsia="Arial" w:hAnsi="Arial"/>
                <w:sz w:val="16"/>
                <w:szCs w:val="16"/>
                <w:b w:val="1"/>
                <w:bCs w:val="1"/>
                <w:color w:val="auto"/>
              </w:rPr>
              <w:t>Accumulated</w:t>
            </w:r>
          </w:p>
        </w:tc>
        <w:tc>
          <w:tcPr>
            <w:tcW w:w="1120" w:type="dxa"/>
            <w:vAlign w:val="bottom"/>
            <w:gridSpan w:val="4"/>
          </w:tcPr>
          <w:p>
            <w:pPr>
              <w:ind w:left="80"/>
              <w:spacing w:after="0" w:line="181" w:lineRule="exact"/>
              <w:rPr>
                <w:sz w:val="20"/>
                <w:szCs w:val="20"/>
                <w:color w:val="auto"/>
              </w:rPr>
            </w:pPr>
            <w:r>
              <w:rPr>
                <w:rFonts w:ascii="Arial" w:cs="Arial" w:eastAsia="Arial" w:hAnsi="Arial"/>
                <w:sz w:val="16"/>
                <w:szCs w:val="16"/>
                <w:b w:val="1"/>
                <w:bCs w:val="1"/>
                <w:color w:val="auto"/>
                <w:w w:val="96"/>
              </w:rPr>
              <w:t>Stockholders'</w:t>
            </w: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4"/>
              </w:rPr>
              <w:t>of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w w:val="87"/>
              </w:rPr>
              <w:t>gain (loss)</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January 1, 2021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25,110</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354,685</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11,690</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(88,509)</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1,546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15,228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15,230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net of shares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7"/>
              </w:rPr>
              <w:t>—</w:t>
            </w:r>
          </w:p>
        </w:tc>
        <w:tc>
          <w:tcPr>
            <w:tcW w:w="2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(23,825)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(23,825)</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920" w:type="dxa"/>
            <w:vAlign w:val="bottom"/>
          </w:tcPr>
          <w:p>
            <w:pPr>
              <w:spacing w:after="0"/>
              <w:rPr>
                <w:sz w:val="20"/>
                <w:szCs w:val="20"/>
                <w:color w:val="auto"/>
              </w:rPr>
            </w:pPr>
            <w:r>
              <w:rPr>
                <w:rFonts w:ascii="Arial" w:cs="Arial" w:eastAsia="Arial" w:hAnsi="Arial"/>
                <w:sz w:val="16"/>
                <w:szCs w:val="16"/>
                <w:color w:val="auto"/>
              </w:rPr>
              <w:t>June 30, 2021</w:t>
            </w:r>
          </w:p>
        </w:tc>
        <w:tc>
          <w:tcPr>
            <w:tcW w:w="120" w:type="dxa"/>
            <w:vAlign w:val="bottom"/>
          </w:tcPr>
          <w:p>
            <w:pPr>
              <w:spacing w:after="0"/>
              <w:rPr>
                <w:sz w:val="16"/>
                <w:szCs w:val="16"/>
                <w:color w:val="auto"/>
              </w:rPr>
            </w:pP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26,919</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375,312</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(112,334)</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277,291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w w:val="92"/>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4"/>
            <w:vMerge w:val="restart"/>
          </w:tcPr>
          <w:p>
            <w:pPr>
              <w:ind w:left="340"/>
              <w:spacing w:after="0"/>
              <w:rPr>
                <w:sz w:val="20"/>
                <w:szCs w:val="20"/>
                <w:color w:val="auto"/>
              </w:rPr>
            </w:pPr>
            <w:r>
              <w:rPr>
                <w:rFonts w:ascii="Arial" w:cs="Arial" w:eastAsia="Arial" w:hAnsi="Arial"/>
                <w:sz w:val="16"/>
                <w:szCs w:val="16"/>
                <w:b w:val="1"/>
                <w:bCs w:val="1"/>
                <w:color w:val="auto"/>
                <w:w w:val="90"/>
              </w:rPr>
              <w:t>Common Stock</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bottom w:val="single" w:sz="8" w:color="auto"/>
            </w:tcBorders>
            <w:gridSpan w:val="4"/>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80"/>
              <w:spacing w:after="0" w:line="181" w:lineRule="exact"/>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line="181" w:lineRule="exact"/>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40"/>
              <w:spacing w:after="0" w:line="181" w:lineRule="exact"/>
              <w:rPr>
                <w:sz w:val="20"/>
                <w:szCs w:val="20"/>
                <w:color w:val="auto"/>
              </w:rPr>
            </w:pPr>
            <w:r>
              <w:rPr>
                <w:rFonts w:ascii="Arial" w:cs="Arial" w:eastAsia="Arial" w:hAnsi="Arial"/>
                <w:sz w:val="16"/>
                <w:szCs w:val="16"/>
                <w:b w:val="1"/>
                <w:bCs w:val="1"/>
                <w:color w:val="auto"/>
                <w:w w:val="99"/>
              </w:rPr>
              <w:t>paid-in</w:t>
            </w:r>
          </w:p>
        </w:tc>
        <w:tc>
          <w:tcPr>
            <w:tcW w:w="100" w:type="dxa"/>
            <w:vAlign w:val="bottom"/>
          </w:tcPr>
          <w:p>
            <w:pPr>
              <w:spacing w:after="0"/>
              <w:rPr>
                <w:sz w:val="15"/>
                <w:szCs w:val="15"/>
                <w:color w:val="auto"/>
              </w:rPr>
            </w:pPr>
          </w:p>
        </w:tc>
        <w:tc>
          <w:tcPr>
            <w:tcW w:w="1140" w:type="dxa"/>
            <w:vAlign w:val="bottom"/>
            <w:gridSpan w:val="4"/>
          </w:tcPr>
          <w:p>
            <w:pPr>
              <w:jc w:val="center"/>
              <w:ind w:right="80"/>
              <w:spacing w:after="0" w:line="181" w:lineRule="exact"/>
              <w:rPr>
                <w:sz w:val="20"/>
                <w:szCs w:val="20"/>
                <w:color w:val="auto"/>
              </w:rPr>
            </w:pPr>
            <w:r>
              <w:rPr>
                <w:rFonts w:ascii="Arial" w:cs="Arial" w:eastAsia="Arial" w:hAnsi="Arial"/>
                <w:sz w:val="16"/>
                <w:szCs w:val="16"/>
                <w:b w:val="1"/>
                <w:bCs w:val="1"/>
                <w:color w:val="auto"/>
                <w:w w:val="86"/>
              </w:rPr>
              <w:t>comprehensive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20"/>
              <w:spacing w:after="0" w:line="181" w:lineRule="exact"/>
              <w:rPr>
                <w:sz w:val="20"/>
                <w:szCs w:val="20"/>
                <w:color w:val="auto"/>
              </w:rPr>
            </w:pPr>
            <w:r>
              <w:rPr>
                <w:rFonts w:ascii="Arial" w:cs="Arial" w:eastAsia="Arial" w:hAnsi="Arial"/>
                <w:sz w:val="16"/>
                <w:szCs w:val="16"/>
                <w:b w:val="1"/>
                <w:bCs w:val="1"/>
                <w:color w:val="auto"/>
                <w:w w:val="88"/>
              </w:rPr>
              <w:t>Retained</w:t>
            </w:r>
          </w:p>
        </w:tc>
        <w:tc>
          <w:tcPr>
            <w:tcW w:w="1120" w:type="dxa"/>
            <w:vAlign w:val="bottom"/>
            <w:gridSpan w:val="4"/>
          </w:tcPr>
          <w:p>
            <w:pPr>
              <w:ind w:left="80"/>
              <w:spacing w:after="0" w:line="181" w:lineRule="exact"/>
              <w:rPr>
                <w:sz w:val="20"/>
                <w:szCs w:val="20"/>
                <w:color w:val="auto"/>
              </w:rPr>
            </w:pPr>
            <w:r>
              <w:rPr>
                <w:rFonts w:ascii="Arial" w:cs="Arial" w:eastAsia="Arial" w:hAnsi="Arial"/>
                <w:sz w:val="16"/>
                <w:szCs w:val="16"/>
                <w:b w:val="1"/>
                <w:bCs w:val="1"/>
                <w:color w:val="auto"/>
                <w:w w:val="96"/>
              </w:rPr>
              <w:t>Stockholders'</w:t>
            </w: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5"/>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w w:val="92"/>
              </w:rPr>
              <w:t>of shares</w:t>
            </w:r>
          </w:p>
        </w:tc>
        <w:tc>
          <w:tcPr>
            <w:tcW w:w="120" w:type="dxa"/>
            <w:vAlign w:val="bottom"/>
          </w:tcPr>
          <w:p>
            <w:pPr>
              <w:spacing w:after="0"/>
              <w:rPr>
                <w:sz w:val="18"/>
                <w:szCs w:val="18"/>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98"/>
              </w:rPr>
              <w:t>capital</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7"/>
              </w:rPr>
              <w:t>gain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8"/>
              </w:rPr>
              <w:t>earnings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January 1, 2020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20,140</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303,401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(30,057)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12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1,582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13,928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net of shares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2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2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(35,397)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(35,397)</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920" w:type="dxa"/>
            <w:vAlign w:val="bottom"/>
          </w:tcPr>
          <w:p>
            <w:pPr>
              <w:spacing w:after="0"/>
              <w:rPr>
                <w:sz w:val="20"/>
                <w:szCs w:val="20"/>
                <w:color w:val="auto"/>
              </w:rPr>
            </w:pPr>
            <w:r>
              <w:rPr>
                <w:rFonts w:ascii="Arial" w:cs="Arial" w:eastAsia="Arial" w:hAnsi="Arial"/>
                <w:sz w:val="16"/>
                <w:szCs w:val="16"/>
                <w:color w:val="auto"/>
              </w:rPr>
              <w:t>June 30, 2020</w:t>
            </w:r>
          </w:p>
        </w:tc>
        <w:tc>
          <w:tcPr>
            <w:tcW w:w="120" w:type="dxa"/>
            <w:vAlign w:val="bottom"/>
          </w:tcPr>
          <w:p>
            <w:pPr>
              <w:spacing w:after="0"/>
              <w:rPr>
                <w:sz w:val="16"/>
                <w:szCs w:val="16"/>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w:t>
            </w: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21,940</w:t>
            </w:r>
          </w:p>
        </w:tc>
        <w:tc>
          <w:tcPr>
            <w:tcW w:w="12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323,405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(518)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(65,454)</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257,455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7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420" w:type="dxa"/>
            <w:vAlign w:val="bottom"/>
          </w:tcPr>
          <w:p>
            <w:pPr>
              <w:jc w:val="center"/>
              <w:ind w:left="217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20" w:type="dxa"/>
            <w:vAlign w:val="bottom"/>
          </w:tcPr>
          <w:p>
            <w:pPr>
              <w:jc w:val="center"/>
              <w:ind w:left="2190"/>
              <w:spacing w:after="0"/>
              <w:rPr>
                <w:sz w:val="20"/>
                <w:szCs w:val="20"/>
                <w:color w:val="auto"/>
              </w:rPr>
            </w:pPr>
            <w:r>
              <w:rPr>
                <w:rFonts w:ascii="Arial" w:cs="Arial" w:eastAsia="Arial" w:hAnsi="Arial"/>
                <w:sz w:val="18"/>
                <w:szCs w:val="18"/>
                <w:b w:val="1"/>
                <w:bCs w:val="1"/>
                <w:color w:val="auto"/>
                <w:w w:val="89"/>
              </w:rPr>
              <w:t>(Unaudited, in thousands)</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(23,825)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(35,397)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Provision for losses on accounts receivable</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Lower of cost or market reserve adjustment to inventory</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12,870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Deferred income taxes, net</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Loss on disposal of assets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5,793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Interest for Extinguishment of Debt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Extinguishment of Debt</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(6,229)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Unrealized foreign exchange gain</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receivable, trade</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Notes receivable</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Prepaid income tax</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8,934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(15,362)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Operating right of use asset</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(3,082)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Lease liability</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(14,882)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(23,769)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(3,582)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disposal of equipment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Deposits and prepaid for equipment</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 of intangible assets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(3,932)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(9,219)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Proceeds from issuance of notes payable and long-term debt, net of debt issuance costs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Principal payments of long-term debt and notes payable</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Proceeds from line of credit borrowings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66,742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52,637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Repayments of line of credit borrowings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(50,119)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Proceeds from bank acceptance payable</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10,722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Repayments of bank acceptance payable</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(20,206)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convertible senior notes, net of debt issuance costs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Principal payments of financing lease</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Exercise of stock options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of tax withholding on behalf of employees related to share-based compensation</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Proceeds from common stock offering, net</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15,336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19,845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50,114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50,499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58,909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8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(received) for:</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Interest, net of amounts capitalized</w:t>
            </w:r>
          </w:p>
        </w:tc>
        <w:tc>
          <w:tcPr>
            <w:tcW w:w="12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2,394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Extinguishment of Debt and interest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40"/>
              <w:spacing w:after="0"/>
              <w:rPr>
                <w:sz w:val="20"/>
                <w:szCs w:val="20"/>
                <w:color w:val="auto"/>
              </w:rPr>
            </w:pPr>
            <w:r>
              <w:rPr>
                <w:rFonts w:ascii="Arial" w:cs="Arial" w:eastAsia="Arial" w:hAnsi="Arial"/>
                <w:sz w:val="18"/>
                <w:szCs w:val="18"/>
                <w:color w:val="auto"/>
              </w:rPr>
              <w:t>Purchase of property and equipment with line of credit borrowings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change in accounts payable related to property and equipment additions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w w:val="97"/>
              </w:rPr>
              <w:t>Net change in deposits and prepaid for equipment related to property and equipment additions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07" w:right="3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left="360" w:right="2660"/>
        <w:spacing w:after="0" w:line="264" w:lineRule="auto"/>
        <w:rPr>
          <w:sz w:val="20"/>
          <w:szCs w:val="20"/>
          <w:color w:val="auto"/>
        </w:rPr>
      </w:pPr>
      <w:r>
        <w:rPr>
          <w:rFonts w:ascii="Arial" w:cs="Arial" w:eastAsia="Arial" w:hAnsi="Arial"/>
          <w:sz w:val="18"/>
          <w:szCs w:val="18"/>
          <w:b w:val="1"/>
          <w:bCs w:val="1"/>
          <w:color w:val="auto"/>
        </w:rPr>
        <w:t>Applied Optoelectronics, Inc. and Subsidiaries NOTES TO CONDENSED CONSOLIDATED FINANCIAL STATEMENTS (Unaudited)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3" w:lineRule="exact"/>
        <w:rPr>
          <w:sz w:val="20"/>
          <w:szCs w:val="20"/>
          <w:color w:val="auto"/>
        </w:rPr>
      </w:pPr>
    </w:p>
    <w:p>
      <w:pPr>
        <w:ind w:firstLine="645"/>
        <w:spacing w:after="0" w:line="258" w:lineRule="auto"/>
        <w:rPr>
          <w:sz w:val="20"/>
          <w:szCs w:val="20"/>
          <w:color w:val="auto"/>
        </w:rPr>
      </w:pPr>
      <w:r>
        <w:rPr>
          <w:rFonts w:ascii="Arial" w:cs="Arial" w:eastAsia="Arial" w:hAnsi="Arial"/>
          <w:sz w:val="18"/>
          <w:szCs w:val="18"/>
          <w:color w:val="auto"/>
        </w:rPr>
        <w:t>Applied Optoelectronics, Inc. (“AOI” or the “Company”) is a Delaware corporation. The Company is a leading, vertically integrated provider of fiber-optic networking products, primarily for four networking end-markets: internet data center, cable television ("CATV"), telecommunications ("telecom") and fiber-to-the-home ("FTTH"). The Company designs and manufactures a wide range of optical communications products at varying levels of integration, from components, subassemblies and modules to complete turn-key equipment.</w:t>
      </w:r>
    </w:p>
    <w:p>
      <w:pPr>
        <w:spacing w:after="0" w:line="185" w:lineRule="exact"/>
        <w:rPr>
          <w:sz w:val="20"/>
          <w:szCs w:val="20"/>
          <w:color w:val="auto"/>
        </w:rPr>
      </w:pPr>
    </w:p>
    <w:p>
      <w:pPr>
        <w:ind w:right="220" w:firstLine="645"/>
        <w:spacing w:after="0" w:line="288" w:lineRule="auto"/>
        <w:rPr>
          <w:sz w:val="20"/>
          <w:szCs w:val="20"/>
          <w:color w:val="auto"/>
        </w:rPr>
      </w:pPr>
      <w:r>
        <w:rPr>
          <w:rFonts w:ascii="Arial" w:cs="Arial" w:eastAsia="Arial" w:hAnsi="Arial"/>
          <w:sz w:val="16"/>
          <w:szCs w:val="16"/>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the CATV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3" w:lineRule="exact"/>
        <w:rPr>
          <w:sz w:val="20"/>
          <w:szCs w:val="20"/>
          <w:color w:val="auto"/>
        </w:rPr>
      </w:pPr>
    </w:p>
    <w:p>
      <w:pPr>
        <w:ind w:right="40" w:firstLine="645"/>
        <w:spacing w:after="0" w:line="287" w:lineRule="auto"/>
        <w:rPr>
          <w:sz w:val="20"/>
          <w:szCs w:val="20"/>
          <w:color w:val="auto"/>
        </w:rPr>
      </w:pPr>
      <w:r>
        <w:rPr>
          <w:rFonts w:ascii="Arial" w:cs="Arial" w:eastAsia="Arial" w:hAnsi="Arial"/>
          <w:sz w:val="16"/>
          <w:szCs w:val="16"/>
          <w:color w:val="auto"/>
        </w:rPr>
        <w:t>The unaudited condensed consolidated financial statements of the Company as of June 30, 2021 and December 31, 2020 and for the three and six months ended June 30, 2021 and June 30, 2020,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2020. The results of operations for the three and six months ended June 30, 2021 are not necessarily indicative of the results expected for the entire fiscal year. All significant inter-company accounts and transactions have been eliminated.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3" w:lineRule="exact"/>
        <w:rPr>
          <w:sz w:val="20"/>
          <w:szCs w:val="20"/>
          <w:color w:val="auto"/>
        </w:rPr>
      </w:pPr>
    </w:p>
    <w:p>
      <w:pPr>
        <w:ind w:right="20" w:firstLine="645"/>
        <w:spacing w:after="0" w:line="277"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credit losses, inventory reserve, product warranty costs, share-based compensation expense, estimated useful lives of property and equipment, and taxes.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7" w:lineRule="exact"/>
        <w:rPr>
          <w:sz w:val="20"/>
          <w:szCs w:val="20"/>
          <w:color w:val="auto"/>
        </w:rPr>
      </w:pPr>
    </w:p>
    <w:p>
      <w:pPr>
        <w:ind w:right="20" w:firstLine="645"/>
        <w:spacing w:after="0" w:line="275" w:lineRule="auto"/>
        <w:rPr>
          <w:sz w:val="20"/>
          <w:szCs w:val="20"/>
          <w:color w:val="auto"/>
        </w:rPr>
      </w:pPr>
      <w:r>
        <w:rPr>
          <w:rFonts w:ascii="Arial" w:cs="Arial" w:eastAsia="Arial" w:hAnsi="Arial"/>
          <w:sz w:val="18"/>
          <w:szCs w:val="18"/>
          <w:color w:val="auto"/>
        </w:rPr>
        <w:t>There have been no changes in the Company’s significant accounting policies for the three and six months ended June 30, 2021, as compared to the significant accounting policies described in its 2020 Annual Report, except as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Yet to be Adopted</w:t>
      </w:r>
    </w:p>
    <w:p>
      <w:pPr>
        <w:spacing w:after="0" w:line="223" w:lineRule="exact"/>
        <w:rPr>
          <w:sz w:val="20"/>
          <w:szCs w:val="20"/>
          <w:color w:val="auto"/>
        </w:rPr>
      </w:pPr>
    </w:p>
    <w:p>
      <w:pPr>
        <w:ind w:right="40" w:firstLine="645"/>
        <w:spacing w:after="0" w:line="290"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which provides temporary optional expedients and exceptions to the GAAP guidance on contract modifications and hedge accounting to ease the financial reporting burdens related to the expected market transition from the London Interbank Offered Rate (“LIBOR”) and other interbank offered rates to alternative reference rates. ASU 2020-04 was further amended in January 2021 by ASU 2021-01, which clarified the applicability of certain provisions. Both ASU 2020-04 and AUC 2021-01 are currently effective prospectively for all entities through December 31, 2022 when the reference rate replacement activity is expected to have completed. The guidance in ASU 2020-04 and AUC 2021-01 is optional and may be elected over time as reference rate reform activities occur. As of June 30, 2021, the Company is evaluating the impact this standard may have on its consolidated financial statements.</w:t>
      </w:r>
    </w:p>
    <w:p>
      <w:pPr>
        <w:spacing w:after="0" w:line="164" w:lineRule="exact"/>
        <w:rPr>
          <w:sz w:val="20"/>
          <w:szCs w:val="20"/>
          <w:color w:val="auto"/>
        </w:rPr>
      </w:pPr>
    </w:p>
    <w:p>
      <w:pPr>
        <w:ind w:right="20" w:firstLine="645"/>
        <w:spacing w:after="0" w:line="300"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Entities Own Equity” (Subtopic 815-40). This ASU simplifies accounting for convertible instruments by eliminating two of the three models in ASC 470-20 that requires separating embedded conversion features from convertible instruments. The guidance is effective for fiscal years beginning after December 15, 2021. The Company is currently assessing the impact of this pronouncement to its consolidated financial statements.</w:t>
      </w:r>
    </w:p>
    <w:p>
      <w:pPr>
        <w:spacing w:after="0" w:line="155" w:lineRule="exact"/>
        <w:rPr>
          <w:sz w:val="20"/>
          <w:szCs w:val="20"/>
          <w:color w:val="auto"/>
        </w:rPr>
      </w:pPr>
    </w:p>
    <w:p>
      <w:pPr>
        <w:ind w:firstLine="645"/>
        <w:spacing w:after="0" w:line="268" w:lineRule="auto"/>
        <w:rPr>
          <w:sz w:val="20"/>
          <w:szCs w:val="20"/>
          <w:color w:val="auto"/>
        </w:rPr>
      </w:pPr>
      <w:r>
        <w:rPr>
          <w:rFonts w:ascii="Arial" w:cs="Arial" w:eastAsia="Arial" w:hAnsi="Arial"/>
          <w:sz w:val="17"/>
          <w:szCs w:val="17"/>
          <w:color w:val="auto"/>
        </w:rPr>
        <w:t>In November 2020, the SEC issued a new rule that modernizes and simplifies various aspects and financial disclosure requirements in Regulation S-K, specifically related to Item 301 “Selected Financial Data”, Item 302 “Supplementary Financial Information” and Item 303 “Management’s Discussion and Analysis of Financial Condition and Results of Operations” (“MD&amp;A”). The intent of this new rule is to (i) eliminate duplicative disclosures, (ii) enhance and promote more principles-based MD&amp;A disclosures with the objective of making them more meaningful for investors, all while (iii) simplifying the compliance requirements and efforts for registrants, by providing them with the flexibility to present management’s perspective on the registrant’s financial condition and results of operations. While most of the changes involve reducing or eliminating previously required information and disclosures, the rule does expand the disclosure requirements surrounding certain aspects of the various items in Regulation S-K discussed above. The final rule was published in the Federal Register on January 11, 2021, is effective thirty days after its publication date, or February 10, 2021, and registrants are required to comply with this final rule in the registrant’s first fiscal year ending on or after the date that is 210 days after the publication date. The Company plans to comply with the new disclosure requirements on schedule and currently does not anticipate any material financial impact in complying with these new requirements.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3" w:lineRule="exact"/>
        <w:rPr>
          <w:sz w:val="20"/>
          <w:szCs w:val="20"/>
          <w:color w:val="auto"/>
        </w:rPr>
      </w:pPr>
    </w:p>
    <w:p>
      <w:pPr>
        <w:ind w:right="20" w:firstLine="645"/>
        <w:spacing w:after="0" w:line="275" w:lineRule="auto"/>
        <w:rPr>
          <w:sz w:val="20"/>
          <w:szCs w:val="20"/>
          <w:color w:val="auto"/>
        </w:rPr>
      </w:pPr>
      <w:r>
        <w:rPr>
          <w:rFonts w:ascii="Arial" w:cs="Arial" w:eastAsia="Arial" w:hAnsi="Arial"/>
          <w:sz w:val="18"/>
          <w:szCs w:val="18"/>
          <w:color w:val="auto"/>
        </w:rPr>
        <w:t>Revenue is classified based on the location where the product is manufactured. For additional information on the disaggregated revenues by geographical region, see Note 17, "Geographic Information.”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also classified by major product category and is presented below (in thousands):</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6"/>
              </w:rPr>
              <w:t>Three months ended June 30,</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260"/>
              <w:spacing w:after="0" w:line="190"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22,392</w:t>
            </w:r>
          </w:p>
        </w:tc>
        <w:tc>
          <w:tcPr>
            <w:tcW w:w="16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52,533</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80.5%</w:t>
            </w: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CATV</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27,599</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50.9%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6,141</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9.4%</w:t>
            </w: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6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54,189</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65,222</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Six months ended June 30,</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280"/>
              <w:spacing w:after="0" w:line="190" w:lineRule="exact"/>
              <w:rPr>
                <w:sz w:val="20"/>
                <w:szCs w:val="20"/>
                <w:color w:val="auto"/>
              </w:rPr>
            </w:pPr>
            <w:r>
              <w:rPr>
                <w:rFonts w:ascii="Arial" w:cs="Arial" w:eastAsia="Arial" w:hAnsi="Arial"/>
                <w:sz w:val="18"/>
                <w:szCs w:val="18"/>
                <w:b w:val="1"/>
                <w:bCs w:val="1"/>
                <w:color w:val="auto"/>
                <w:w w:val="94"/>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48,331</w:t>
            </w:r>
          </w:p>
        </w:tc>
        <w:tc>
          <w:tcPr>
            <w:tcW w:w="16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85,797</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81.2%</w:t>
            </w: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CATV</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46,238</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44.5%</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10,364</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9.8%</w:t>
            </w: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16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722</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0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103,890</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105,689</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7" w:lineRule="exact"/>
        <w:rPr>
          <w:sz w:val="20"/>
          <w:szCs w:val="20"/>
          <w:color w:val="auto"/>
        </w:rPr>
      </w:pPr>
    </w:p>
    <w:p>
      <w:pPr>
        <w:ind w:right="60" w:firstLine="645"/>
        <w:spacing w:after="0" w:line="269" w:lineRule="auto"/>
        <w:rPr>
          <w:sz w:val="20"/>
          <w:szCs w:val="20"/>
          <w:color w:val="auto"/>
        </w:rPr>
      </w:pPr>
      <w:r>
        <w:rPr>
          <w:rFonts w:ascii="Arial" w:cs="Arial" w:eastAsia="Arial" w:hAnsi="Arial"/>
          <w:sz w:val="17"/>
          <w:szCs w:val="17"/>
          <w:color w:val="auto"/>
        </w:rPr>
        <w:t>The Company leases space under non-cancellable operating leases for manufacturing facilities, research and development offices and certain storage facilities and apartments. These leases do not contain contingent rent provisions. The Company also leases certain machinery, office equipment and a vehicle.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one-year and therefore, the Company has elected the practical expedient to exclude these short-term leases from its ROU asset and lease liabilities.</w:t>
      </w:r>
    </w:p>
    <w:p>
      <w:pPr>
        <w:spacing w:after="0" w:line="182" w:lineRule="exact"/>
        <w:rPr>
          <w:sz w:val="20"/>
          <w:szCs w:val="20"/>
          <w:color w:val="auto"/>
        </w:rPr>
      </w:pPr>
    </w:p>
    <w:p>
      <w:pPr>
        <w:ind w:firstLine="645"/>
        <w:spacing w:after="0" w:line="284" w:lineRule="auto"/>
        <w:rPr>
          <w:sz w:val="20"/>
          <w:szCs w:val="20"/>
          <w:color w:val="auto"/>
        </w:rPr>
      </w:pPr>
      <w:r>
        <w:rPr>
          <w:rFonts w:ascii="Arial" w:cs="Arial" w:eastAsia="Arial" w:hAnsi="Arial"/>
          <w:sz w:val="17"/>
          <w:szCs w:val="17"/>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6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5"/>
              </w:rPr>
              <w:t>Three months ended June 30,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840" w:type="dxa"/>
            <w:vAlign w:val="bottom"/>
          </w:tcPr>
          <w:p>
            <w:pPr>
              <w:spacing w:after="0"/>
              <w:rPr>
                <w:sz w:val="20"/>
                <w:szCs w:val="20"/>
                <w:color w:val="auto"/>
              </w:rPr>
            </w:pPr>
          </w:p>
        </w:tc>
      </w:tr>
      <w:tr>
        <w:trPr>
          <w:trHeight w:val="208"/>
        </w:trPr>
        <w:tc>
          <w:tcPr>
            <w:tcW w:w="8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8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20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304</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8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Financing lease expense</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860" w:type="dxa"/>
            <w:vAlign w:val="bottom"/>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 Term lease expense</w:t>
            </w:r>
          </w:p>
        </w:tc>
        <w:tc>
          <w:tcPr>
            <w:tcW w:w="10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86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Total lease expense</w:t>
            </w:r>
          </w:p>
        </w:tc>
        <w:tc>
          <w:tcPr>
            <w:tcW w:w="20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317</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636</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1"/>
        </w:trPr>
        <w:tc>
          <w:tcPr>
            <w:tcW w:w="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4"/>
        </w:trPr>
        <w:tc>
          <w:tcPr>
            <w:tcW w:w="86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lease liabilities are as follows for the future one-year periods ending June 30, 2021 (in thousands):</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Operating</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Financing</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2023</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2025</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2027 and thereafter</w:t>
            </w:r>
          </w:p>
        </w:tc>
        <w:tc>
          <w:tcPr>
            <w:tcW w:w="2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Less imputed interest</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(1,129)</w:t>
            </w:r>
          </w:p>
        </w:tc>
        <w:tc>
          <w:tcPr>
            <w:tcW w:w="2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Present value</w:t>
            </w: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1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lease term and discount rate for operating leases were as follows for the periods indicated:</w:t>
      </w:r>
    </w:p>
    <w:p>
      <w:pPr>
        <w:spacing w:after="0" w:line="219"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Six months ended June 30,</w:t>
      </w:r>
    </w:p>
    <w:p>
      <w:pPr>
        <w:spacing w:after="0" w:line="26" w:lineRule="exact"/>
        <w:rPr>
          <w:sz w:val="20"/>
          <w:szCs w:val="20"/>
          <w:color w:val="auto"/>
        </w:rPr>
      </w:pPr>
    </w:p>
    <w:tbl>
      <w:tblPr>
        <w:tblLayout w:type="fixed"/>
        <w:tblInd w:w="840" w:type="dxa"/>
        <w:tblCellMar>
          <w:top w:w="0" w:type="dxa"/>
          <w:left w:w="0" w:type="dxa"/>
          <w:bottom w:w="0" w:type="dxa"/>
          <w:right w:w="0" w:type="dxa"/>
        </w:tblCellMar>
      </w:tblPr>
      <w:tr>
        <w:trPr>
          <w:trHeight w:val="208"/>
        </w:trPr>
        <w:tc>
          <w:tcPr>
            <w:tcW w:w="6120" w:type="dxa"/>
            <w:vAlign w:val="bottom"/>
            <w:gridSpan w:val="2"/>
          </w:tcPr>
          <w:p>
            <w:pPr>
              <w:spacing w:after="0"/>
              <w:rPr>
                <w:sz w:val="18"/>
                <w:szCs w:val="18"/>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Lease Term (Years) - operating leases</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5"/>
              </w:rPr>
              <w:t>7.84</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85"/>
              </w:rPr>
              <w:t>8.65</w:t>
            </w:r>
          </w:p>
        </w:tc>
        <w:tc>
          <w:tcPr>
            <w:tcW w:w="1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(Years) - financing leases</w:t>
            </w:r>
          </w:p>
        </w:tc>
        <w:tc>
          <w:tcPr>
            <w:tcW w:w="460" w:type="dxa"/>
            <w:vAlign w:val="bottom"/>
          </w:tcPr>
          <w:p>
            <w:pPr>
              <w:ind w:left="140"/>
              <w:spacing w:after="0"/>
              <w:rPr>
                <w:sz w:val="20"/>
                <w:szCs w:val="20"/>
                <w:color w:val="auto"/>
              </w:rPr>
            </w:pPr>
            <w:r>
              <w:rPr>
                <w:rFonts w:ascii="Arial" w:cs="Arial" w:eastAsia="Arial" w:hAnsi="Arial"/>
                <w:sz w:val="18"/>
                <w:szCs w:val="18"/>
                <w:color w:val="auto"/>
                <w:w w:val="85"/>
              </w:rPr>
              <w:t>2.33</w:t>
            </w:r>
          </w:p>
        </w:tc>
        <w:tc>
          <w:tcPr>
            <w:tcW w:w="240" w:type="dxa"/>
            <w:vAlign w:val="bottom"/>
          </w:tcPr>
          <w:p>
            <w:pPr>
              <w:spacing w:after="0"/>
              <w:rPr>
                <w:sz w:val="18"/>
                <w:szCs w:val="18"/>
                <w:color w:val="auto"/>
              </w:rPr>
            </w:pPr>
          </w:p>
        </w:tc>
        <w:tc>
          <w:tcPr>
            <w:tcW w:w="1520" w:type="dxa"/>
            <w:vAlign w:val="bottom"/>
          </w:tcPr>
          <w:p>
            <w:pPr>
              <w:ind w:left="1200"/>
              <w:spacing w:after="0"/>
              <w:rPr>
                <w:sz w:val="20"/>
                <w:szCs w:val="20"/>
                <w:color w:val="auto"/>
              </w:rPr>
            </w:pPr>
            <w:r>
              <w:rPr>
                <w:rFonts w:ascii="Arial" w:cs="Arial" w:eastAsia="Arial" w:hAnsi="Arial"/>
                <w:sz w:val="18"/>
                <w:szCs w:val="18"/>
                <w:color w:val="auto"/>
                <w:w w:val="85"/>
              </w:rPr>
              <w:t>3.33</w:t>
            </w:r>
          </w:p>
        </w:tc>
        <w:tc>
          <w:tcPr>
            <w:tcW w:w="1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 - operating leases</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3.23%</w:t>
            </w:r>
          </w:p>
        </w:tc>
        <w:tc>
          <w:tcPr>
            <w:tcW w:w="16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0"/>
              </w:rPr>
              <w:t>3.16%</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Weighted Average Discount Rate - financing leases</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5.00%</w:t>
            </w:r>
          </w:p>
        </w:tc>
        <w:tc>
          <w:tcPr>
            <w:tcW w:w="1680" w:type="dxa"/>
            <w:vAlign w:val="bottom"/>
            <w:gridSpan w:val="2"/>
          </w:tcPr>
          <w:p>
            <w:pPr>
              <w:ind w:left="1200"/>
              <w:spacing w:after="0"/>
              <w:rPr>
                <w:sz w:val="20"/>
                <w:szCs w:val="20"/>
                <w:color w:val="auto"/>
              </w:rPr>
            </w:pPr>
            <w:r>
              <w:rPr>
                <w:rFonts w:ascii="Arial" w:cs="Arial" w:eastAsia="Arial" w:hAnsi="Arial"/>
                <w:sz w:val="18"/>
                <w:szCs w:val="18"/>
                <w:color w:val="auto"/>
                <w:w w:val="90"/>
              </w:rPr>
              <w:t>5.00%</w:t>
            </w:r>
          </w:p>
        </w:tc>
      </w:tr>
    </w:tbl>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operating leases was as follows for the periods indicated (in thousands):</w:t>
      </w:r>
    </w:p>
    <w:p>
      <w:pPr>
        <w:spacing w:after="0" w:line="219"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Six months ended June 30,</w:t>
      </w:r>
    </w:p>
    <w:p>
      <w:pPr>
        <w:spacing w:after="0" w:line="26" w:lineRule="exact"/>
        <w:rPr>
          <w:sz w:val="20"/>
          <w:szCs w:val="20"/>
          <w:color w:val="auto"/>
        </w:rPr>
      </w:pPr>
    </w:p>
    <w:tbl>
      <w:tblPr>
        <w:tblLayout w:type="fixed"/>
        <w:tblInd w:w="840" w:type="dxa"/>
        <w:tblCellMar>
          <w:top w:w="0" w:type="dxa"/>
          <w:left w:w="0" w:type="dxa"/>
          <w:bottom w:w="0" w:type="dxa"/>
          <w:right w:w="0" w:type="dxa"/>
        </w:tblCellMar>
      </w:tblPr>
      <w:tr>
        <w:trPr>
          <w:trHeight w:val="208"/>
        </w:trPr>
        <w:tc>
          <w:tcPr>
            <w:tcW w:w="6240" w:type="dxa"/>
            <w:vAlign w:val="bottom"/>
            <w:gridSpan w:val="2"/>
          </w:tcPr>
          <w:p>
            <w:pPr>
              <w:spacing w:after="0"/>
              <w:rPr>
                <w:sz w:val="18"/>
                <w:szCs w:val="18"/>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tcPr>
          <w:p>
            <w:pPr>
              <w:jc w:val="right"/>
              <w:spacing w:after="0"/>
              <w:rPr>
                <w:sz w:val="20"/>
                <w:szCs w:val="20"/>
                <w:color w:val="auto"/>
              </w:rPr>
            </w:pPr>
            <w:r>
              <w:rPr>
                <w:rFonts w:ascii="Arial" w:cs="Arial" w:eastAsia="Arial" w:hAnsi="Arial"/>
                <w:sz w:val="18"/>
                <w:szCs w:val="18"/>
                <w:color w:val="auto"/>
              </w:rPr>
              <w:t>653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cash flows from financing lease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Financing cash flows from financing lease</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227" w:lineRule="exact"/>
        <w:rPr>
          <w:sz w:val="20"/>
          <w:szCs w:val="20"/>
          <w:color w:val="auto"/>
        </w:rPr>
      </w:pPr>
    </w:p>
    <w:p>
      <w:pPr>
        <w:ind w:right="60" w:firstLine="645"/>
        <w:spacing w:after="0" w:line="275"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in the statement of cash flows (in thousands):</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3"/>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43,425</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w w:val="89"/>
              </w:rPr>
              <w:t>Total cash, cash equivalents and restricted cash shown in the statement of cash flows</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50,114</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firstLine="645"/>
        <w:spacing w:after="0" w:line="255" w:lineRule="auto"/>
        <w:rPr>
          <w:sz w:val="20"/>
          <w:szCs w:val="20"/>
          <w:color w:val="auto"/>
        </w:rPr>
      </w:pPr>
      <w:r>
        <w:rPr>
          <w:rFonts w:ascii="Arial" w:cs="Arial" w:eastAsia="Arial" w:hAnsi="Arial"/>
          <w:sz w:val="18"/>
          <w:szCs w:val="18"/>
          <w:color w:val="auto"/>
        </w:rPr>
        <w:t>Restricted cash includes guarantee deposits for customs duties, China government subsidy fund, and compensating balances required for certain credit facilities. As of June 30, 2021 and December 31, 2020, there was $2.2 million and $4.9 million of restricted cash required for bank acceptance notes issued to vendors, respectively. In addition, there was $2.4 million and $0.5 million certificate of deposit associated with credit facilities with a bank in China as of June 30, 2021 and December 31, 2020, respectively. There was $1.8 million and $1.0 million guarantee deposits for customs duties as of June 30, 2021 and December 31, 2020, respectively.</w:t>
      </w:r>
    </w:p>
    <w:p>
      <w:pPr>
        <w:spacing w:after="0" w:line="1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(Loss) Per Share</w:t>
      </w:r>
    </w:p>
    <w:p>
      <w:pPr>
        <w:spacing w:after="0" w:line="227" w:lineRule="exact"/>
        <w:rPr>
          <w:sz w:val="20"/>
          <w:szCs w:val="20"/>
          <w:color w:val="auto"/>
        </w:rPr>
      </w:pPr>
    </w:p>
    <w:p>
      <w:pPr>
        <w:ind w:right="120" w:firstLine="645"/>
        <w:spacing w:after="0" w:line="258" w:lineRule="auto"/>
        <w:rPr>
          <w:sz w:val="20"/>
          <w:szCs w:val="20"/>
          <w:color w:val="auto"/>
        </w:rPr>
      </w:pPr>
      <w:r>
        <w:rPr>
          <w:rFonts w:ascii="Arial" w:cs="Arial" w:eastAsia="Arial" w:hAnsi="Arial"/>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the basic and diluted net loss per share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60" w:type="dxa"/>
            <w:vAlign w:val="bottom"/>
          </w:tcPr>
          <w:p>
            <w:pPr>
              <w:spacing w:after="0"/>
              <w:rPr>
                <w:sz w:val="20"/>
                <w:szCs w:val="20"/>
                <w:color w:val="auto"/>
              </w:rPr>
            </w:pPr>
          </w:p>
        </w:tc>
        <w:tc>
          <w:tcPr>
            <w:tcW w:w="24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88"/>
              </w:rPr>
              <w:t>Six months ended June 30,</w:t>
            </w:r>
          </w:p>
        </w:tc>
      </w:tr>
      <w:tr>
        <w:trPr>
          <w:trHeight w:val="208"/>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(8,203)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(18,600)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(23,825)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(35,397)</w:t>
            </w:r>
          </w:p>
        </w:tc>
      </w:tr>
      <w:tr>
        <w:trPr>
          <w:trHeight w:val="20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20,858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20,533</w:t>
            </w:r>
          </w:p>
        </w:tc>
      </w:tr>
      <w:tr>
        <w:trPr>
          <w:trHeight w:val="215"/>
        </w:trPr>
        <w:tc>
          <w:tcPr>
            <w:tcW w:w="5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26,850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20,858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26,637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20,533</w:t>
            </w: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(0.31)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(0.89)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(0.89)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r>
        <w:trPr>
          <w:trHeight w:val="215"/>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r>
    </w:tbl>
    <w:p>
      <w:pPr>
        <w:spacing w:after="0" w:line="201" w:lineRule="exact"/>
        <w:rPr>
          <w:sz w:val="20"/>
          <w:szCs w:val="20"/>
          <w:color w:val="auto"/>
        </w:rPr>
      </w:pPr>
    </w:p>
    <w:p>
      <w:pPr>
        <w:ind w:right="500" w:firstLine="645"/>
        <w:spacing w:after="0" w:line="275" w:lineRule="auto"/>
        <w:rPr>
          <w:sz w:val="20"/>
          <w:szCs w:val="20"/>
          <w:color w:val="auto"/>
        </w:rPr>
      </w:pPr>
      <w:r>
        <w:rPr>
          <w:rFonts w:ascii="Arial" w:cs="Arial" w:eastAsia="Arial" w:hAnsi="Arial"/>
          <w:sz w:val="18"/>
          <w:szCs w:val="18"/>
          <w:color w:val="auto"/>
        </w:rPr>
        <w:t>The following potentially dilutive securities were excluded from the diluted net loss per share as their effect would have been antidilutive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p>
        </w:tc>
        <w:tc>
          <w:tcPr>
            <w:tcW w:w="270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560" w:type="dxa"/>
            <w:vAlign w:val="bottom"/>
            <w:gridSpan w:val="4"/>
          </w:tcPr>
          <w:p>
            <w:pPr>
              <w:ind w:left="22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08"/>
        </w:trPr>
        <w:tc>
          <w:tcPr>
            <w:tcW w:w="59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for convertible senior notes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5980" w:type="dxa"/>
            <w:vAlign w:val="bottom"/>
          </w:tcPr>
          <w:p>
            <w:pPr>
              <w:spacing w:after="0"/>
              <w:rPr>
                <w:sz w:val="20"/>
                <w:szCs w:val="20"/>
                <w:color w:val="auto"/>
              </w:rPr>
            </w:pPr>
            <w:r>
              <w:rPr>
                <w:rFonts w:ascii="Arial" w:cs="Arial" w:eastAsia="Arial" w:hAnsi="Arial"/>
                <w:sz w:val="18"/>
                <w:szCs w:val="18"/>
                <w:color w:val="auto"/>
              </w:rPr>
              <w:t>Total antidilutive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4,600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4,608</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4,609</w:t>
            </w:r>
          </w:p>
        </w:tc>
        <w:tc>
          <w:tcPr>
            <w:tcW w:w="1120" w:type="dxa"/>
            <w:vAlign w:val="bottom"/>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net of inventory write-downs, consist of the following for the periods indicated (in thousands):</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30, 2021</w:t>
            </w:r>
          </w:p>
        </w:tc>
        <w:tc>
          <w:tcPr>
            <w:tcW w:w="18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29,085</w:t>
            </w:r>
          </w:p>
        </w:tc>
        <w:tc>
          <w:tcPr>
            <w:tcW w:w="7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25,555</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Work in process and sub-assemblies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46,558</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52,544</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24,756</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6240" w:type="dxa"/>
            <w:vAlign w:val="bottom"/>
            <w:gridSpan w:val="2"/>
          </w:tcPr>
          <w:p>
            <w:pPr>
              <w:spacing w:after="0"/>
              <w:rPr>
                <w:sz w:val="20"/>
                <w:szCs w:val="20"/>
                <w:color w:val="auto"/>
              </w:rPr>
            </w:pPr>
            <w:r>
              <w:rPr>
                <w:rFonts w:ascii="Arial" w:cs="Arial" w:eastAsia="Arial" w:hAnsi="Arial"/>
                <w:sz w:val="18"/>
                <w:szCs w:val="18"/>
                <w:color w:val="auto"/>
              </w:rPr>
              <w:t>Total inventories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100,399</w:t>
            </w:r>
          </w:p>
        </w:tc>
        <w:tc>
          <w:tcPr>
            <w:tcW w:w="70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110,397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60" w:firstLine="645"/>
        <w:spacing w:after="0" w:line="262" w:lineRule="auto"/>
        <w:rPr>
          <w:sz w:val="20"/>
          <w:szCs w:val="20"/>
          <w:color w:val="auto"/>
        </w:rPr>
      </w:pPr>
      <w:r>
        <w:rPr>
          <w:rFonts w:ascii="Arial" w:cs="Arial" w:eastAsia="Arial" w:hAnsi="Arial"/>
          <w:sz w:val="18"/>
          <w:szCs w:val="18"/>
          <w:color w:val="auto"/>
        </w:rPr>
        <w:t>The lower of cost or market adjustment expensed for inventory for the three months ended June 30, 2021 and 2020 was each $1.3 million. The lower of cost or market adjustment expensed for inventory for the six months ended June 30, 2021 and 2020 was $2.2 million and $2.9 million, respectively.</w:t>
      </w:r>
    </w:p>
    <w:p>
      <w:pPr>
        <w:spacing w:after="0" w:line="182" w:lineRule="exact"/>
        <w:rPr>
          <w:sz w:val="20"/>
          <w:szCs w:val="20"/>
          <w:color w:val="auto"/>
        </w:rPr>
      </w:pPr>
    </w:p>
    <w:p>
      <w:pPr>
        <w:ind w:right="360" w:firstLine="645"/>
        <w:spacing w:after="0" w:line="262" w:lineRule="auto"/>
        <w:rPr>
          <w:sz w:val="20"/>
          <w:szCs w:val="20"/>
          <w:color w:val="auto"/>
        </w:rPr>
      </w:pPr>
      <w:r>
        <w:rPr>
          <w:rFonts w:ascii="Arial" w:cs="Arial" w:eastAsia="Arial" w:hAnsi="Arial"/>
          <w:sz w:val="18"/>
          <w:szCs w:val="18"/>
          <w:color w:val="auto"/>
        </w:rPr>
        <w:t>For the three months ended June 30, 2021 and 2020, the direct inventory write-offs related to scrap, discontinued products, and damaged inventories were $4.8 million and $3.7 million, respectively. For the six months ended June 30, 2021 and 2020, the direct inventory write-offs related to scrap, discontinued products, and damaged inventories were $10.8 million and $6.2 million,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&amp; Equipment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30, 2021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89,127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88,280</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253,738</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360,975</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(155,507)</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(142,434)</w:t>
            </w:r>
          </w:p>
        </w:tc>
      </w:tr>
      <w:tr>
        <w:trPr>
          <w:trHeight w:val="20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213,004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218,541</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33,342</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6240" w:type="dxa"/>
            <w:vAlign w:val="bottom"/>
            <w:gridSpan w:val="2"/>
          </w:tcPr>
          <w:p>
            <w:pPr>
              <w:spacing w:after="0"/>
              <w:rPr>
                <w:sz w:val="20"/>
                <w:szCs w:val="20"/>
                <w:color w:val="auto"/>
              </w:rPr>
            </w:pPr>
            <w:r>
              <w:rPr>
                <w:rFonts w:ascii="Arial" w:cs="Arial" w:eastAsia="Arial" w:hAnsi="Arial"/>
                <w:sz w:val="18"/>
                <w:szCs w:val="18"/>
                <w:color w:val="auto"/>
              </w:rPr>
              <w:t>Total property, plant and equipment,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246,797</w:t>
            </w:r>
          </w:p>
        </w:tc>
        <w:tc>
          <w:tcPr>
            <w:tcW w:w="120" w:type="dxa"/>
            <w:vAlign w:val="bottom"/>
          </w:tcPr>
          <w:p>
            <w:pPr>
              <w:spacing w:after="0"/>
              <w:rPr>
                <w:sz w:val="18"/>
                <w:szCs w:val="18"/>
                <w:color w:val="auto"/>
              </w:rPr>
            </w:pPr>
          </w:p>
        </w:tc>
        <w:tc>
          <w:tcPr>
            <w:tcW w:w="5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252,984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645"/>
        <w:spacing w:after="0" w:line="277" w:lineRule="auto"/>
        <w:rPr>
          <w:sz w:val="20"/>
          <w:szCs w:val="20"/>
          <w:color w:val="auto"/>
        </w:rPr>
      </w:pPr>
      <w:r>
        <w:rPr>
          <w:rFonts w:ascii="Arial" w:cs="Arial" w:eastAsia="Arial" w:hAnsi="Arial"/>
          <w:sz w:val="17"/>
          <w:szCs w:val="17"/>
          <w:color w:val="auto"/>
        </w:rPr>
        <w:t>For the three months ended June 30, 2021 and 2020, the depreciation expense of property, plant and equipment was $6.3 million and $6.0 million, respectively. For the six months ended June 30, 2021 and 2020, the depreciation expense of property, plant and equipment was $12.6 million and $11.9 million, respectively. For the three months ended June 30, 2021 and 2020, the capitalized interest was $0.2 million and 0.1 million, respectively. For the six months ended June 30, 2021 and 2020, the capitalized interest was $0.3 million and $0.2 million, respectively.</w:t>
      </w:r>
    </w:p>
    <w:p>
      <w:pPr>
        <w:spacing w:after="0" w:line="172" w:lineRule="exact"/>
        <w:rPr>
          <w:sz w:val="20"/>
          <w:szCs w:val="20"/>
          <w:color w:val="auto"/>
        </w:rPr>
      </w:pPr>
    </w:p>
    <w:p>
      <w:pPr>
        <w:ind w:right="80" w:firstLine="645"/>
        <w:spacing w:after="0" w:line="262" w:lineRule="auto"/>
        <w:rPr>
          <w:sz w:val="20"/>
          <w:szCs w:val="20"/>
          <w:color w:val="auto"/>
        </w:rPr>
      </w:pPr>
      <w:r>
        <w:rPr>
          <w:rFonts w:ascii="Arial" w:cs="Arial" w:eastAsia="Arial" w:hAnsi="Arial"/>
          <w:sz w:val="18"/>
          <w:szCs w:val="18"/>
          <w:color w:val="auto"/>
        </w:rPr>
        <w:t>As of June 30,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concluded that its continued loss history constitutes a triggering event as described in ASC </w:t>
      </w:r>
      <w:r>
        <w:rPr>
          <w:rFonts w:ascii="Arial" w:cs="Arial" w:eastAsia="Arial" w:hAnsi="Arial"/>
          <w:sz w:val="18"/>
          <w:szCs w:val="18"/>
          <w:i w:val="1"/>
          <w:iCs w:val="1"/>
          <w:color w:val="auto"/>
        </w:rPr>
        <w:t>360</w:t>
      </w:r>
      <w:r>
        <w:rPr>
          <w:rFonts w:ascii="Arial" w:cs="Arial" w:eastAsia="Arial" w:hAnsi="Arial"/>
          <w:sz w:val="18"/>
          <w:szCs w:val="18"/>
          <w:color w:val="auto"/>
        </w:rPr>
        <w:t>-</w:t>
      </w:r>
      <w:r>
        <w:rPr>
          <w:rFonts w:ascii="Arial" w:cs="Arial" w:eastAsia="Arial" w:hAnsi="Arial"/>
          <w:sz w:val="18"/>
          <w:szCs w:val="18"/>
          <w:i w:val="1"/>
          <w:iCs w:val="1"/>
          <w:color w:val="auto"/>
        </w:rPr>
        <w:t>10</w:t>
      </w:r>
      <w:r>
        <w:rPr>
          <w:rFonts w:ascii="Arial" w:cs="Arial" w:eastAsia="Arial" w:hAnsi="Arial"/>
          <w:sz w:val="18"/>
          <w:szCs w:val="18"/>
          <w:color w:val="auto"/>
        </w:rPr>
        <w:t>-</w:t>
      </w:r>
      <w:r>
        <w:rPr>
          <w:rFonts w:ascii="Arial" w:cs="Arial" w:eastAsia="Arial" w:hAnsi="Arial"/>
          <w:sz w:val="18"/>
          <w:szCs w:val="18"/>
          <w:i w:val="1"/>
          <w:iCs w:val="1"/>
          <w:color w:val="auto"/>
        </w:rPr>
        <w:t>35</w:t>
      </w:r>
      <w:r>
        <w:rPr>
          <w:rFonts w:ascii="Arial" w:cs="Arial" w:eastAsia="Arial" w:hAnsi="Arial"/>
          <w:sz w:val="18"/>
          <w:szCs w:val="18"/>
          <w:color w:val="auto"/>
        </w:rPr>
        <w:t>-</w:t>
      </w:r>
      <w:r>
        <w:rPr>
          <w:rFonts w:ascii="Arial" w:cs="Arial" w:eastAsia="Arial" w:hAnsi="Arial"/>
          <w:sz w:val="18"/>
          <w:szCs w:val="18"/>
          <w:i w:val="1"/>
          <w:iCs w:val="1"/>
          <w:color w:val="auto"/>
        </w:rPr>
        <w:t>21,Property, Plant, and Equipment</w:t>
      </w:r>
      <w:r>
        <w:rPr>
          <w:rFonts w:ascii="Arial" w:cs="Arial" w:eastAsia="Arial" w:hAnsi="Arial"/>
          <w:sz w:val="18"/>
          <w:szCs w:val="18"/>
          <w:color w:val="auto"/>
        </w:rPr>
        <w:t>. The Company performed a recoverability test and concluded that future undiscounted cash flows exceed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Company’s long-lived assets and therefore no impairment charge was recorded.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 2021</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jc w:val="right"/>
              <w:ind w:right="30"/>
              <w:spacing w:after="0" w:line="190"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60"/>
              <w:spacing w:after="0" w:line="190"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6"/>
                <w:szCs w:val="16"/>
                <w:color w:val="auto"/>
              </w:rPr>
            </w:pPr>
          </w:p>
        </w:tc>
        <w:tc>
          <w:tcPr>
            <w:tcW w:w="1300" w:type="dxa"/>
            <w:vAlign w:val="bottom"/>
          </w:tcPr>
          <w:p>
            <w:pPr>
              <w:jc w:val="right"/>
              <w:ind w:right="290"/>
              <w:spacing w:after="0" w:line="190" w:lineRule="exact"/>
              <w:rPr>
                <w:sz w:val="20"/>
                <w:szCs w:val="20"/>
                <w:color w:val="auto"/>
              </w:rPr>
            </w:pPr>
            <w:r>
              <w:rPr>
                <w:rFonts w:ascii="Arial" w:cs="Arial" w:eastAsia="Arial" w:hAnsi="Arial"/>
                <w:sz w:val="18"/>
                <w:szCs w:val="18"/>
                <w:b w:val="1"/>
                <w:bCs w:val="1"/>
                <w:color w:val="auto"/>
              </w:rPr>
              <w:t>Intangible</w:t>
            </w:r>
          </w:p>
        </w:tc>
        <w:tc>
          <w:tcPr>
            <w:tcW w:w="10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amortization</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assets, net</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5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8,362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Trademarks</w:t>
            </w: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5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8,384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 2020</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jc w:val="right"/>
              <w:ind w:right="30"/>
              <w:spacing w:after="0" w:line="190"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60"/>
              <w:spacing w:after="0" w:line="190"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6"/>
                <w:szCs w:val="16"/>
                <w:color w:val="auto"/>
              </w:rPr>
            </w:pPr>
          </w:p>
        </w:tc>
        <w:tc>
          <w:tcPr>
            <w:tcW w:w="1300" w:type="dxa"/>
            <w:vAlign w:val="bottom"/>
          </w:tcPr>
          <w:p>
            <w:pPr>
              <w:jc w:val="right"/>
              <w:ind w:right="290"/>
              <w:spacing w:after="0" w:line="190" w:lineRule="exact"/>
              <w:rPr>
                <w:sz w:val="20"/>
                <w:szCs w:val="20"/>
                <w:color w:val="auto"/>
              </w:rPr>
            </w:pPr>
            <w:r>
              <w:rPr>
                <w:rFonts w:ascii="Arial" w:cs="Arial" w:eastAsia="Arial" w:hAnsi="Arial"/>
                <w:sz w:val="18"/>
                <w:szCs w:val="18"/>
                <w:b w:val="1"/>
                <w:bCs w:val="1"/>
                <w:color w:val="auto"/>
              </w:rPr>
              <w:t>Intangible</w:t>
            </w:r>
          </w:p>
        </w:tc>
        <w:tc>
          <w:tcPr>
            <w:tcW w:w="10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amortization</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assets, net</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5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Trademarks</w:t>
            </w: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5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both"/>
        <w:ind w:right="260" w:firstLine="645"/>
        <w:spacing w:after="0" w:line="262" w:lineRule="auto"/>
        <w:rPr>
          <w:sz w:val="20"/>
          <w:szCs w:val="20"/>
          <w:color w:val="auto"/>
        </w:rPr>
      </w:pPr>
      <w:r>
        <w:rPr>
          <w:rFonts w:ascii="Arial" w:cs="Arial" w:eastAsia="Arial" w:hAnsi="Arial"/>
          <w:sz w:val="18"/>
          <w:szCs w:val="18"/>
          <w:color w:val="auto"/>
        </w:rPr>
        <w:t>For the three and six months ended June 30, 2021 and 2020, amortization expense for intangible assets, included in general and administrative expenses on the income statement, was each $0.1 million. The remaining weighted average amortization period for intangible assets is approximately 6 years.</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w w:val="95"/>
              </w:rPr>
              <w:t>At June 30, 2021, future amortization expense for intangible assets is estimated to be (in thousands):</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125" w:right="459" w:bottom="1440" w:gutter="0" w:footer="0" w:header="0"/>
        </w:sectPr>
      </w:pP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7" w:lineRule="exact"/>
        <w:rPr>
          <w:sz w:val="20"/>
          <w:szCs w:val="20"/>
          <w:color w:val="auto"/>
        </w:rPr>
      </w:pPr>
    </w:p>
    <w:p>
      <w:pPr>
        <w:ind w:right="520" w:firstLine="645"/>
        <w:spacing w:after="0" w:line="275" w:lineRule="auto"/>
        <w:rPr>
          <w:sz w:val="20"/>
          <w:szCs w:val="20"/>
          <w:color w:val="auto"/>
        </w:rPr>
      </w:pPr>
      <w:r>
        <w:rPr>
          <w:rFonts w:ascii="Arial" w:cs="Arial" w:eastAsia="Arial" w:hAnsi="Arial"/>
          <w:sz w:val="18"/>
          <w:szCs w:val="18"/>
          <w:color w:val="auto"/>
        </w:rPr>
        <w:t>The following table represents a summary of the Company’s financial instruments measured at fair value on a recurring basis for the periods indicated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ind w:left="180"/>
              <w:spacing w:after="0"/>
              <w:rPr>
                <w:sz w:val="20"/>
                <w:szCs w:val="20"/>
                <w:color w:val="auto"/>
              </w:rPr>
            </w:pPr>
            <w:r>
              <w:rPr>
                <w:rFonts w:ascii="Arial" w:cs="Arial" w:eastAsia="Arial" w:hAnsi="Arial"/>
                <w:sz w:val="18"/>
                <w:szCs w:val="18"/>
                <w:b w:val="1"/>
                <w:bCs w:val="1"/>
                <w:color w:val="auto"/>
              </w:rPr>
              <w:t>As of June 30, 2021</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0"/>
              </w:rPr>
              <w:t>As of December 31, 2020</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44,013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44,013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43,425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43,425</w:t>
            </w:r>
          </w:p>
        </w:tc>
      </w:tr>
      <w:tr>
        <w:trPr>
          <w:trHeight w:val="215"/>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6,486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rPr>
              <w:t>Note receivable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50,515</w:t>
            </w:r>
          </w:p>
        </w:tc>
      </w:tr>
      <w:tr>
        <w:trPr>
          <w:trHeight w:val="195"/>
        </w:trPr>
        <w:tc>
          <w:tcPr>
            <w:tcW w:w="20" w:type="dxa"/>
            <w:vAlign w:val="bottom"/>
          </w:tcPr>
          <w:p>
            <w:pPr>
              <w:spacing w:after="0"/>
              <w:rPr>
                <w:sz w:val="16"/>
                <w:szCs w:val="16"/>
                <w:color w:val="auto"/>
              </w:rPr>
            </w:pPr>
          </w:p>
        </w:tc>
        <w:tc>
          <w:tcPr>
            <w:tcW w:w="236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Bank acceptance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15,860</w:t>
            </w:r>
          </w:p>
        </w:tc>
      </w:tr>
      <w:tr>
        <w:trPr>
          <w:trHeight w:val="215"/>
        </w:trPr>
        <w:tc>
          <w:tcPr>
            <w:tcW w:w="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rPr>
              <w:t>Convertible senior notes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70,265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70,265</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70,225</w:t>
            </w:r>
          </w:p>
        </w:tc>
        <w:tc>
          <w:tcPr>
            <w:tcW w:w="10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70,225</w:t>
            </w: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76,734</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86,085</w:t>
            </w: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right="60" w:firstLine="645"/>
        <w:spacing w:after="0" w:line="277" w:lineRule="auto"/>
        <w:rPr>
          <w:sz w:val="20"/>
          <w:szCs w:val="20"/>
          <w:color w:val="auto"/>
        </w:rPr>
      </w:pPr>
      <w:r>
        <w:rPr>
          <w:rFonts w:ascii="Arial" w:cs="Arial" w:eastAsia="Arial" w:hAnsi="Arial"/>
          <w:sz w:val="17"/>
          <w:szCs w:val="17"/>
          <w:color w:val="auto"/>
        </w:rPr>
        <w:t>The carrying value amounts of accounts receivable, note receivable, prepaid expenses and other current assets, accounts payable, accrued expenses and other current liabilities approximate fair value because of the short-term maturity of these instruments. The carrying value amounts of bank acceptances approximate fair value due to the short-term nature of the debt since it renews frequently at current interest rates. The Company believes that the interest rates in effect at each period end represent the current market rates for similar borrowings.</w:t>
      </w:r>
    </w:p>
    <w:p>
      <w:pPr>
        <w:spacing w:after="0" w:line="172" w:lineRule="exact"/>
        <w:rPr>
          <w:sz w:val="20"/>
          <w:szCs w:val="20"/>
          <w:color w:val="auto"/>
        </w:rPr>
      </w:pPr>
    </w:p>
    <w:p>
      <w:pPr>
        <w:ind w:left="140" w:right="420" w:firstLine="322"/>
        <w:spacing w:after="0" w:line="275" w:lineRule="auto"/>
        <w:rPr>
          <w:sz w:val="20"/>
          <w:szCs w:val="20"/>
          <w:color w:val="auto"/>
        </w:rPr>
      </w:pPr>
      <w:r>
        <w:rPr>
          <w:rFonts w:ascii="Arial" w:cs="Arial" w:eastAsia="Arial" w:hAnsi="Arial"/>
          <w:sz w:val="18"/>
          <w:szCs w:val="18"/>
          <w:color w:val="auto"/>
        </w:rPr>
        <w:t>The fair value of its convertible senior debt is measured for disclosure purpose. The fair value is based on observable market prices for this debt, which is traded in less active markets and are therefore classified as a Level 2 fair value measurement.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Notes Payable and Long-Term Debt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w w:val="93"/>
              </w:rPr>
              <w:t>Revolving line of credit with a U.S. bank up to $20,000 with interest at 2.25% , maturing October 15, 2022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19,360</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Paycheck Protection Program Term Note with interest at fixed rate 1.0%, maturing April 16, 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w w:val="99"/>
              </w:rPr>
              <w:t>Revolving line of credit with a Taiwan bank up to $3,436 with 2.2% interest, maturing April 14, 2021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60" w:type="dxa"/>
            <w:vAlign w:val="bottom"/>
          </w:tcPr>
          <w:p>
            <w:pPr>
              <w:spacing w:after="0" w:line="201" w:lineRule="exact"/>
              <w:rPr>
                <w:sz w:val="20"/>
                <w:szCs w:val="20"/>
                <w:color w:val="auto"/>
              </w:rPr>
            </w:pPr>
            <w:r>
              <w:rPr>
                <w:rFonts w:ascii="Arial" w:cs="Arial" w:eastAsia="Arial" w:hAnsi="Arial"/>
                <w:sz w:val="18"/>
                <w:szCs w:val="18"/>
                <w:color w:val="auto"/>
                <w:w w:val="93"/>
              </w:rPr>
              <w:t>Notes payable to a finance company due in monthly installments with 3.5% interest, maturing January 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80" w:type="dxa"/>
            <w:vAlign w:val="bottom"/>
            <w:gridSpan w:val="2"/>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902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Notes payable to a finance company due in monthly installments with 3.1% interest, maturing January 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60" w:type="dxa"/>
            <w:vAlign w:val="bottom"/>
          </w:tcPr>
          <w:p>
            <w:pPr>
              <w:spacing w:after="0" w:line="201" w:lineRule="exact"/>
              <w:rPr>
                <w:sz w:val="20"/>
                <w:szCs w:val="20"/>
                <w:color w:val="auto"/>
              </w:rPr>
            </w:pPr>
            <w:r>
              <w:rPr>
                <w:rFonts w:ascii="Arial" w:cs="Arial" w:eastAsia="Arial" w:hAnsi="Arial"/>
                <w:sz w:val="18"/>
                <w:szCs w:val="18"/>
                <w:color w:val="auto"/>
                <w:w w:val="93"/>
              </w:rPr>
              <w:t>Revolving line of credit with a China bank up to $8,917 with interest ranging from 4.5%, maturing October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80" w:type="dxa"/>
            <w:vAlign w:val="bottom"/>
            <w:gridSpan w:val="2"/>
          </w:tcPr>
          <w:p>
            <w:pPr>
              <w:spacing w:after="0"/>
              <w:rPr>
                <w:sz w:val="20"/>
                <w:szCs w:val="20"/>
                <w:color w:val="auto"/>
              </w:rPr>
            </w:pPr>
            <w:r>
              <w:rPr>
                <w:rFonts w:ascii="Arial" w:cs="Arial" w:eastAsia="Arial" w:hAnsi="Arial"/>
                <w:sz w:val="18"/>
                <w:szCs w:val="18"/>
                <w:color w:val="auto"/>
              </w:rPr>
              <w:t>14, 2020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Revolving line of credit with a China bank up to $25,449 with interest from 3.01% to 4.57%, maturing May</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24, 2024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16,915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Credit facility with a China bank up to $14,125 with interest of 3.5%, maturing January 5, 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15,482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with a China bank up to $7,167 with interest of 5.7%, maturing from June 20, 2022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61,272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52,187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Less debt issuance costs,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Grand total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61,236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52,169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80" w:type="dxa"/>
            <w:vAlign w:val="bottom"/>
            <w:gridSpan w:val="2"/>
          </w:tcPr>
          <w:p>
            <w:pPr>
              <w:spacing w:after="0"/>
              <w:rPr>
                <w:sz w:val="20"/>
                <w:szCs w:val="20"/>
                <w:color w:val="auto"/>
              </w:rPr>
            </w:pPr>
            <w:r>
              <w:rPr>
                <w:rFonts w:ascii="Arial" w:cs="Arial" w:eastAsia="Arial" w:hAnsi="Arial"/>
                <w:sz w:val="18"/>
                <w:szCs w:val="18"/>
                <w:color w:val="auto"/>
              </w:rPr>
              <w:t>Non-current portion</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19,360</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Borders>
              <w:bottom w:val="single" w:sz="8" w:color="auto"/>
            </w:tcBorders>
          </w:tcPr>
          <w:p>
            <w:pPr>
              <w:jc w:val="right"/>
              <w:ind w:right="2610"/>
              <w:spacing w:after="0"/>
              <w:rPr>
                <w:sz w:val="20"/>
                <w:szCs w:val="20"/>
                <w:color w:val="auto"/>
              </w:rPr>
            </w:pPr>
            <w:r>
              <w:rPr>
                <w:rFonts w:ascii="Arial" w:cs="Arial" w:eastAsia="Arial" w:hAnsi="Arial"/>
                <w:sz w:val="18"/>
                <w:szCs w:val="18"/>
                <w:b w:val="1"/>
                <w:bCs w:val="1"/>
                <w:color w:val="auto"/>
              </w:rPr>
              <w:t>Bank Acceptance Notes Payable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Bank acceptance notes issued to vendors with a zero percent interest rate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6,469</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15,860</w:t>
            </w:r>
          </w:p>
        </w:tc>
        <w:tc>
          <w:tcPr>
            <w:tcW w:w="0" w:type="dxa"/>
            <w:vAlign w:val="bottom"/>
          </w:tcPr>
          <w:p>
            <w:pPr>
              <w:spacing w:after="0"/>
              <w:rPr>
                <w:sz w:val="1"/>
                <w:szCs w:val="1"/>
                <w:color w:val="auto"/>
              </w:rPr>
            </w:pPr>
          </w:p>
        </w:tc>
      </w:tr>
      <w:tr>
        <w:trPr>
          <w:trHeight w:val="430"/>
        </w:trPr>
        <w:tc>
          <w:tcPr>
            <w:tcW w:w="7880" w:type="dxa"/>
            <w:vAlign w:val="bottom"/>
            <w:gridSpan w:val="2"/>
          </w:tcPr>
          <w:p>
            <w:pPr>
              <w:jc w:val="right"/>
              <w:ind w:right="20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portion of long-term debt is the amount payable within one year of the balance sheet date of June 30, 2021.</w:t>
      </w: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w w:val="93"/>
              </w:rPr>
              <w:t>Maturities of long-term debt are as follows for the future one-year periods ending June 30, (in thousands):</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645"/>
        <w:spacing w:after="0" w:line="255" w:lineRule="auto"/>
        <w:rPr>
          <w:sz w:val="20"/>
          <w:szCs w:val="20"/>
          <w:color w:val="auto"/>
        </w:rPr>
      </w:pPr>
      <w:r>
        <w:rPr>
          <w:rFonts w:ascii="Arial" w:cs="Arial" w:eastAsia="Arial" w:hAnsi="Arial"/>
          <w:sz w:val="18"/>
          <w:szCs w:val="18"/>
          <w:color w:val="auto"/>
        </w:rPr>
        <w:t>On September 28, 2017, the Company entered into a Loan Agreement (“Loan Agreement”), a Promissory Note, an Addendum to the Promissory Note, a Truist Bank Security Agreement, a Trademark Security Agreement, and a Patent Security Agreement (together the “Credit Facility”) with Truist Bank (which acquired Branch Banking and Trust Company or BB&amp;T in connection with a merger in December 2019). The Company’s obligations under the Credit Facility are secured by the Company’s accounts receivable, inventory, intellectual property, and all business assets with the exception of real estate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ind w:firstLine="645"/>
        <w:spacing w:after="0" w:line="268" w:lineRule="auto"/>
        <w:rPr>
          <w:sz w:val="20"/>
          <w:szCs w:val="20"/>
          <w:color w:val="auto"/>
        </w:rPr>
      </w:pPr>
      <w:r>
        <w:rPr>
          <w:rFonts w:ascii="Arial" w:cs="Arial" w:eastAsia="Arial" w:hAnsi="Arial"/>
          <w:sz w:val="17"/>
          <w:szCs w:val="17"/>
          <w:color w:val="auto"/>
        </w:rPr>
        <w:t>On September 30, 2019, the Company executed a Fourth Amendment to Loan Agreement (the “Fourth Amendment”) with Truist Bank. Under the terms of the Fourth Amendment (i) the maximum commitment under the line of credit was reduced from $25,000,000 to $20,000,000; (ii) the maturity date of the line of credit was extended from September 28, 2020 to April 2, 2021; (iii) pricing of the unused line fee was adjusted to 0.30% per annum; and (iv) created the requirement that if, at any time during any reporting period and pursuant to the most recent loan base report received by Truist Bank, the principal balance outstanding under the line of credit exceeds the lesser of the approved maximum amount of the line of credit commitment amount or the collateral loan value reduced by the reserves, the Company shall immediately prepay the line of credit to the extent necessary to eliminate such excess. Such reserves shall, at any time that the fixed charge coverage ratio for the loan is less than 1.5 to 1.0, tested for the period of twelve months ended on the applicable covenant measurement date, equal to an amount equal to seventy-five percent (75%) of the lesser of the line of credit commitment amount or collateral loan value reduced by the sum of (i) the principal balance outstanding under the line of credit, (ii) the letter of credit exposure reserve, and (iii) the availability reserve as determined by Truist Bank from the most recent loan base report and otherwise in the sole discretion of Truist Bank after consideration of collections.</w:t>
      </w:r>
    </w:p>
    <w:p>
      <w:pPr>
        <w:spacing w:after="0" w:line="179" w:lineRule="exact"/>
        <w:rPr>
          <w:sz w:val="20"/>
          <w:szCs w:val="20"/>
          <w:color w:val="auto"/>
        </w:rPr>
      </w:pPr>
    </w:p>
    <w:p>
      <w:pPr>
        <w:ind w:right="220" w:firstLine="645"/>
        <w:spacing w:after="0" w:line="272" w:lineRule="auto"/>
        <w:rPr>
          <w:sz w:val="20"/>
          <w:szCs w:val="20"/>
          <w:color w:val="auto"/>
        </w:rPr>
      </w:pPr>
      <w:r>
        <w:rPr>
          <w:rFonts w:ascii="Arial" w:cs="Arial" w:eastAsia="Arial" w:hAnsi="Arial"/>
          <w:sz w:val="17"/>
          <w:szCs w:val="17"/>
          <w:color w:val="auto"/>
        </w:rPr>
        <w:t>On April 5, 2021, the Company executed a Fifth Amendment to the Loan Agreement (the "Fifth Amendment") and a Fourth Amendment to a Security Agreement, a Note Modification Agreement, and an Addendum to a Promissory Note (together with the Fifth Amendment the “Amended Credit Facility”) with Truist Bank. The Amended Credit Facility renews the $20 million line of credit with Truist bank originally entered into on September 28, 2017. Under the terms of the Amended Credit Facility, the maturity date of the line of credit is extended from April 2, 2021 to October 15, 2022. Borrowings will bear interest at a rate equal to LIBOR plus 1.5%, with a LIBOR floor of 0.75%. As of June 30, 2021, the Company had $19.4 million outstanding and was in compliance with all covenants under the Amended Credit Facility.</w:t>
      </w:r>
    </w:p>
    <w:p>
      <w:pPr>
        <w:spacing w:after="0" w:line="176" w:lineRule="exact"/>
        <w:rPr>
          <w:sz w:val="20"/>
          <w:szCs w:val="20"/>
          <w:color w:val="auto"/>
        </w:rPr>
      </w:pPr>
    </w:p>
    <w:p>
      <w:pPr>
        <w:ind w:firstLine="645"/>
        <w:spacing w:after="0" w:line="269" w:lineRule="auto"/>
        <w:rPr>
          <w:sz w:val="20"/>
          <w:szCs w:val="20"/>
          <w:color w:val="auto"/>
        </w:rPr>
      </w:pPr>
      <w:r>
        <w:rPr>
          <w:rFonts w:ascii="Arial" w:cs="Arial" w:eastAsia="Arial" w:hAnsi="Arial"/>
          <w:sz w:val="17"/>
          <w:szCs w:val="17"/>
          <w:color w:val="auto"/>
        </w:rPr>
        <w:t>On April 17, 2020, the Company entered into a term note ("PPP Term Note") with Truist Bank, with a principal amount of $6.23 million pursuant to the Paycheck Protection Program (“PPP”) under the Coronavirus Aid, Relief, and Economic Security Act (the “CARES Act”). The PPP loan is evidenced by a promissory note. The PPP Term Note bears interest at a fixed annual rate of 1.00%, with the first six months of interest deferred. Beginning in November 2020, the Company is required to make 18 equal monthly payments of principal and interest with the final payment due in April 2022. The PPP Term Note may be accelerated upon the occurrence of an event of default. The PPP Term Note is unsecured and guaranteed by the United States Small Business Administration ("SBA"). On June 14, 2021, the Company received notification from Truist Bank that the SBA approved the Company's application for forgiveness of the entire principle amount of the PPP Term Note, plus all accrued interest. The forgiveness of the PPP Term Note has been recognized as other income during the second quarter ended June 30, 2021.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15, 2020, Prime World entered into an Amendment to the Finance Lease Agreements dated November 29, 2018 and January 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(the “Amendment”) with Chailease Finance Co., Ltd. (“Chailease”). The Amendment amends the Finance Lease Agreements, dated November 29,</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2018 and January 21, 2019 (hereafter collectively referred to as the “Original Finance Agreements”). Pursuant to the Amendment, Prime World agrees to</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pay Chailease NT$22,311,381, or approximately $0.8 million for certain leased equipment listed in the Amendment (the “Leased Equipment”). This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payment will include all outstanding lease payments, costs and expenses; simultaneously, Chailease agrees to transfer title of such Leased Equipment back</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to Prime World. Regarding all other equipment contemplated in the Original Finance Agreements but not listed in the Amendment, pursuant to the terms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and conditions made under the Original Finance Agreements, Prime World is obligated to pay Chailease monthly lease payments which total</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NT$159,027,448, or approximately $5.5 million (the “Lease Payments”). The Lease Payments will begin on September 21, 2020 with the last Lease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Payment due on January 21, 2022, title of all other equipment contemplated under the Original Finance Agreements but not listed in the Amendment will</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transfer to Prime World upon completion of the Lease Payments and expiration of the Original Finance Agreements. As of June 30, 2021, $0.9 million was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outstanding under the November 29, 2018 Finance Lease Agreement and $1.2 million was outstanding under the January 21, 2019 Finance Lease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7, 2020, Prime World entered into a revolving credit facility totaling NT$100 million, or approximately $3.44 million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“NT$100M Credit Line”) and a $1 million USD credit line (the “ US$1M Credit Line”) with Taishin. Borrowing under the NT$100M Credit Line will be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used for short-term working capital; borrowing under the US$1M Credit Line will be strictly used for spot transactions in the foreign exchange market.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The NT$100M Credit Line and the US$1M Credit Line are collectively referred to as the “Taishin Credit Facility”. On January 14, 2021, the NT$100M</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Credit Line with Taishin was extended for three (3) months until April 14, 2021. Prime World may draw upon the Taishin Credit Facility from October 7,</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2020 through April 14, 2021. The term of each draw under the NT$100M Credit Line shall be either 90 or 120 days and will bear interest at a rate of 2.15%</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for each draw; borrowings under the US$1M Credit Line will bear interest equal to Taishin’s foreign exchange rate effective on the day of the applicable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draw. At the end of the draw term Prime World will make payment for all principal and accrued interest. Prime World’s obligations under the Taishin Credit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Facility will be secured by a promissory note between Prime World and Taishin. As of June 30, 2021, the Company has fully repaid the Taishin Credit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ind w:right="100" w:firstLine="645"/>
        <w:spacing w:after="0" w:line="287" w:lineRule="auto"/>
        <w:rPr>
          <w:sz w:val="20"/>
          <w:szCs w:val="20"/>
          <w:color w:val="auto"/>
        </w:rPr>
      </w:pPr>
      <w:r>
        <w:rPr>
          <w:rFonts w:ascii="Arial" w:cs="Arial" w:eastAsia="Arial" w:hAnsi="Arial"/>
          <w:sz w:val="16"/>
          <w:szCs w:val="16"/>
          <w:color w:val="auto"/>
        </w:rPr>
        <w:t>On April 19, 2019, the Company’s China subsidiary, Global, entered into a twelve (12) month revolving line of credit agreement, totaling 60,000,000 RMB, or approximately $8.9 million, (the “China Merchants Credit Line”), with China Merchants Bank Co., Ltd., in Ningbo, China (“China Merchants”). The China Merchants Credit Line will be used by Global for general corporate purposes, including the issuance of bank acceptance notes to Global’s vendors. On April 14, 2020, Global extended the revolving line of credit agreement with China Merchants by six (6) months. Global may draw upon the China Merchants Credit Line from April 19, 2019 until October 14, 2020 (the “Credit Period”). During the Credit Period, Global may request to draw upon the China Merchants Credit Line on an as-needed basis; however, the amount of available credit under the China Merchants Credit Line and the approval of each draw may be reduced or declined by China Merchants due to changes in Chinese government regulations and/or changes in Global’s financial and operational condition at the time of each requested draw. Each draw will bear interest equal to China Merchants’ commercial banking interest rate effective on the day of the applicable draw. Global’s obligations under the China Merchants Credit Line are unsecured. The China Merchants Credit Line has been replaced by the Replacement China Merchants Credit Line on October 19, 2020</w:t>
      </w:r>
      <w:r>
        <w:rPr>
          <w:rFonts w:ascii="Arial" w:cs="Arial" w:eastAsia="Arial" w:hAnsi="Arial"/>
          <w:sz w:val="16"/>
          <w:szCs w:val="16"/>
          <w:i w:val="1"/>
          <w:iCs w:val="1"/>
          <w:color w:val="auto"/>
        </w:rPr>
        <w:t>.</w:t>
      </w:r>
    </w:p>
    <w:p>
      <w:pPr>
        <w:spacing w:after="0" w:line="165" w:lineRule="exact"/>
        <w:rPr>
          <w:sz w:val="20"/>
          <w:szCs w:val="20"/>
          <w:color w:val="auto"/>
        </w:rPr>
      </w:pPr>
    </w:p>
    <w:p>
      <w:pPr>
        <w:ind w:right="80" w:firstLine="645"/>
        <w:spacing w:after="0" w:line="268" w:lineRule="auto"/>
        <w:rPr>
          <w:sz w:val="20"/>
          <w:szCs w:val="20"/>
          <w:color w:val="auto"/>
        </w:rPr>
      </w:pPr>
      <w:r>
        <w:rPr>
          <w:rFonts w:ascii="Arial" w:cs="Arial" w:eastAsia="Arial" w:hAnsi="Arial"/>
          <w:sz w:val="17"/>
          <w:szCs w:val="17"/>
          <w:color w:val="auto"/>
        </w:rPr>
        <w:t>On May 24, 2019, the Company’s China subsidiary, Global, entered into a five-year revolving credit line agreement, totaling 180,000,000 RMB (the “SPD Credit Line”), or approximately $25.4 million, and a mortgage security agreement (the “Security Agreement”), with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and $2 million credit facility entered into on May 8, 2019.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June 30, 2021, $16.9 million was outstanding under the SPD Credit Line and the outstanding balance of bank acceptance notes issued to vendors was $3.5 million.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21, 2019, the Company’s China subsidiary, Global, entered into an 18 month credit facility totaling 100,000,000 RMB (the “¥100M Credit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Facility”), or approximately $14.1 million, with China Zheshang Bank Co., Ltd., in Ningbo City, China (“CZB”). Borrowing under the ¥100M Credit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Facility will be used by Global for general corporate purposes. On January 6, 2021, the ¥100M Credit Facility with CZB was extended for three (3) years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until January 5, 2024. Global may draw upon the ¥100M Credit Facility from June 21, 2019 until January 5, 2024 (the “¥100M Credit Period”). During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¥100M Credit Period, Global may request to draw upon the ¥100M Credit Facility on an as-needed basis; however, draws under the ¥100M Credit Facility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may become due and repayable to CZB at CZB’s discretion due to changes in Chinese government regulations and/or changes in Global’s financial 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operational condition. Each draw will bear interest equal to CZB’s commercial banking interest rate effective on the day of the applicable draw. Global’s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obligations under the ¥100M Credit Facility will be secured by real property owned by Global and mortgaged to CZB under the terms of the Real Estate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Security Agreement. The agreements for the ¥100M Credit Facility and the Real Estate Security Agreement also contain rights and obligations,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representations and warranties, and events of default applicable to the Company that are customary for agreements of this type. As of June 30, 2021,</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$15.5 million was outstanding under the ¥100M Credit Facility and there was no outstanding balance of bank acceptance notes issued to vendors under this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21, 2019, the Company’s China subsidiary, Global, entered into a three-year credit facility totaling 50,000,000 RMB (the “¥50M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 or approximately $7.1 million, with CZB. Borrowing under the ¥50M Credit Facility will be used by Global for general corporate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purposes. Global may draw upon the ¥50M Credit Facility from June 21, 2019 until June 20, 2022 (the “¥50M Credit Period”). During the ¥50M Credit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Period, Global may request to draw upon the ¥50M Credit Facility on an as-needed basis; however, draws under the ¥50M Credit Facility may become due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and repayable to CZB at CZB’s discretion due to changes in Chinese government regulations and/or changes in Global’s financial and operational condition.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Each draw will bear interest equal to CZB’s commercial banking interest rate effective on the day of the applicable draw. Global’s obligations under the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¥50M Credit Facility will be secured by machinery and equipment owned by Global and mortgaged to CZB under the terms of the Machinery and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Equipment Security Agreement. As of June 30, 2021, $7.4 million was outstanding under the ¥50M Credit Facility.</w:t>
      </w:r>
    </w:p>
    <w:p>
      <w:pPr>
        <w:spacing w:after="0" w:line="208" w:lineRule="exact"/>
        <w:rPr>
          <w:sz w:val="20"/>
          <w:szCs w:val="20"/>
          <w:color w:val="auto"/>
        </w:rPr>
      </w:pPr>
    </w:p>
    <w:p>
      <w:pPr>
        <w:ind w:right="140" w:firstLine="645"/>
        <w:spacing w:after="0" w:line="285" w:lineRule="auto"/>
        <w:rPr>
          <w:sz w:val="20"/>
          <w:szCs w:val="20"/>
          <w:color w:val="auto"/>
        </w:rPr>
      </w:pPr>
      <w:r>
        <w:rPr>
          <w:rFonts w:ascii="Arial" w:cs="Arial" w:eastAsia="Arial" w:hAnsi="Arial"/>
          <w:sz w:val="16"/>
          <w:szCs w:val="16"/>
          <w:color w:val="auto"/>
        </w:rPr>
        <w:t>On October 19, 2020</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Company’s China subsidiary, Global entered into a new twelve (12) month revolving line of credit agreement, totaling 60,000,000 RMB, or approximately $8.9 million (the “Replacement China Merchants Credit Line”), with China Merchants, to replace the original China Merchants Credit Line. The Replacement China Merchants Credit Line will be used by Global for general corporate purposes. Global may draw upon the Replacement China Merchants Credit Line during the period from October 16, 2020 until October 15, 2021. During such period, Global</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may request to draw upon the Replacement China Merchants Credit Line on an as-needed basis; however, the amount of available credit under the Replacement China Merchants Credit Line and the approval of each draw may be reduced or declined by China Merchants due to changes in Chinese government regulations and/or changes in Global’s financial and operational condition at the time of each requested draw. Each draw will bear interest equal to the China Merchants’ commercial banking interest rate effective on the day of the applicable draw. Global’s obligations under the Replacement China Merchants Credit Line is unsecured. As of June 30, 2021, there was no outstanding amount under the Replacement China Merchants Credit Line and the outstanding balance of bank acceptance notes issued to vendors was $3.0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2021 and December 31, 2020, the Company had $5.3 million and $28.7 million of unused borrowing capacity, respectively.</w:t>
      </w:r>
    </w:p>
    <w:p>
      <w:pPr>
        <w:spacing w:after="0" w:line="234" w:lineRule="exact"/>
        <w:rPr>
          <w:sz w:val="20"/>
          <w:szCs w:val="20"/>
          <w:color w:val="auto"/>
        </w:rPr>
      </w:pPr>
    </w:p>
    <w:p>
      <w:pPr>
        <w:ind w:right="20" w:firstLine="645"/>
        <w:spacing w:after="0" w:line="275" w:lineRule="auto"/>
        <w:rPr>
          <w:sz w:val="20"/>
          <w:szCs w:val="20"/>
          <w:color w:val="auto"/>
        </w:rPr>
      </w:pPr>
      <w:r>
        <w:rPr>
          <w:rFonts w:ascii="Arial" w:cs="Arial" w:eastAsia="Arial" w:hAnsi="Arial"/>
          <w:sz w:val="18"/>
          <w:szCs w:val="18"/>
          <w:color w:val="auto"/>
        </w:rPr>
        <w:t>As of June 30, 2021 and December 31, 2020, there was $4.6 million and $5.4 million of restricted cash, investments or security deposits associated with the loan facilities,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609"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Convertible Senior Notes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5, 2019, the Company issued $80.5 million of 5% convertible senior notes due 2024 (the “Notes”). The Notes were issued pursuant to 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indenture, dated as of March 5, 2019 (the “Indenture”), between the Company and Wells Fargo Bank, National Association, as trustee, paying agent, and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conversion agent (the “Trustee”). The Notes bear interest at a rate of 5.00% per year, payable in cash semi-annually in arrears on March 15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September 15 of each year, beginning on September 15, 2019. The Notes will mature on March 15, 2024, unless earlier repurchased, redeemed or converted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their terms.</w:t>
      </w:r>
    </w:p>
    <w:p>
      <w:pPr>
        <w:spacing w:after="0" w:line="208" w:lineRule="exact"/>
        <w:rPr>
          <w:sz w:val="20"/>
          <w:szCs w:val="20"/>
          <w:color w:val="auto"/>
        </w:rPr>
      </w:pPr>
    </w:p>
    <w:p>
      <w:pPr>
        <w:jc w:val="both"/>
        <w:ind w:right="240" w:firstLine="645"/>
        <w:spacing w:after="0" w:line="262" w:lineRule="auto"/>
        <w:rPr>
          <w:sz w:val="20"/>
          <w:szCs w:val="20"/>
          <w:color w:val="auto"/>
        </w:rPr>
      </w:pPr>
      <w:r>
        <w:rPr>
          <w:rFonts w:ascii="Arial" w:cs="Arial" w:eastAsia="Arial" w:hAnsi="Arial"/>
          <w:sz w:val="18"/>
          <w:szCs w:val="18"/>
          <w:color w:val="auto"/>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Truist Bank and the remainder will be used for general corporate purposes.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 of the Notes for the periods indicated (in thousands):</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3"/>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Principal</w:t>
            </w:r>
          </w:p>
        </w:tc>
        <w:tc>
          <w:tcPr>
            <w:tcW w:w="2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80,500</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(2,236)</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(2,646)</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2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78,264</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77,854</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right="20" w:firstLine="645"/>
        <w:spacing w:after="0" w:line="290" w:lineRule="auto"/>
        <w:rPr>
          <w:sz w:val="20"/>
          <w:szCs w:val="20"/>
          <w:color w:val="auto"/>
        </w:rPr>
      </w:pPr>
      <w:r>
        <w:rPr>
          <w:rFonts w:ascii="Arial" w:cs="Arial" w:eastAsia="Arial" w:hAnsi="Arial"/>
          <w:sz w:val="16"/>
          <w:szCs w:val="16"/>
          <w:color w:val="auto"/>
        </w:rPr>
        <w:t>The Notes are convertible at the option of holders of the Notes at any time until the close of business on the scheduled trading day immediately preceding the maturity date. Upon conversion, holders of the Notes will receive shares of the Company’s common stock, together, if applicable, with cash in lieu of any fractional share, at the then-applicable conversion rate. The initial conversion rate is 56.9801 shares of the Company’s common stock per $1,000 principal amount of Notes (representing an initial conversion price of approximately $17.55 per share of common stock, which represents an initial conversion premium of approximately 30% above the closing price of $13.50 per share of the Company’s common stock on February 28, 2019), subject to customary adjustments. If a make-whole fundamental change (as defined in the Indenture) occurs, and in connection with certain other conversions before March 15, 2022, the Company will in certain circumstances increase the conversion rate for a specified period of time.</w:t>
      </w:r>
    </w:p>
    <w:p>
      <w:pPr>
        <w:spacing w:after="0" w:line="164" w:lineRule="exact"/>
        <w:rPr>
          <w:sz w:val="20"/>
          <w:szCs w:val="20"/>
          <w:color w:val="auto"/>
        </w:rPr>
      </w:pPr>
    </w:p>
    <w:p>
      <w:pPr>
        <w:ind w:firstLine="645"/>
        <w:spacing w:after="0" w:line="269" w:lineRule="auto"/>
        <w:rPr>
          <w:sz w:val="20"/>
          <w:szCs w:val="20"/>
          <w:color w:val="auto"/>
        </w:rPr>
      </w:pPr>
      <w:r>
        <w:rPr>
          <w:rFonts w:ascii="Arial" w:cs="Arial" w:eastAsia="Arial" w:hAnsi="Arial"/>
          <w:sz w:val="17"/>
          <w:szCs w:val="17"/>
          <w:color w:val="auto"/>
        </w:rPr>
        <w:t>Initially there are no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spacing w:after="0" w:line="182" w:lineRule="exact"/>
        <w:rPr>
          <w:sz w:val="20"/>
          <w:szCs w:val="20"/>
          <w:color w:val="auto"/>
        </w:rPr>
      </w:pPr>
    </w:p>
    <w:p>
      <w:pPr>
        <w:ind w:right="220" w:firstLine="645"/>
        <w:spacing w:after="0" w:line="275" w:lineRule="auto"/>
        <w:rPr>
          <w:sz w:val="20"/>
          <w:szCs w:val="20"/>
          <w:color w:val="auto"/>
        </w:rPr>
      </w:pPr>
      <w:r>
        <w:rPr>
          <w:rFonts w:ascii="Arial" w:cs="Arial" w:eastAsia="Arial" w:hAnsi="Arial"/>
          <w:sz w:val="18"/>
          <w:szCs w:val="18"/>
          <w:color w:val="auto"/>
        </w:rPr>
        <w:t>Holders may require the Company to repurchase their Notes upon the occurrence of a fundamental change (as defined in the Indenture) at a cash purchase price equal to the principal amount thereof plus accrued and unpaid interest, if any.</w:t>
      </w:r>
    </w:p>
    <w:p>
      <w:pPr>
        <w:spacing w:after="0" w:line="171" w:lineRule="exact"/>
        <w:rPr>
          <w:sz w:val="20"/>
          <w:szCs w:val="20"/>
          <w:color w:val="auto"/>
        </w:rPr>
      </w:pPr>
    </w:p>
    <w:p>
      <w:pPr>
        <w:ind w:right="220" w:firstLine="645"/>
        <w:spacing w:after="0" w:line="290" w:lineRule="auto"/>
        <w:rPr>
          <w:sz w:val="20"/>
          <w:szCs w:val="20"/>
          <w:color w:val="auto"/>
        </w:rPr>
      </w:pPr>
      <w:r>
        <w:rPr>
          <w:rFonts w:ascii="Arial" w:cs="Arial" w:eastAsia="Arial" w:hAnsi="Arial"/>
          <w:sz w:val="16"/>
          <w:szCs w:val="16"/>
          <w:color w:val="auto"/>
        </w:rPr>
        <w:t>The Company may not redeem the Notes prior to March 15, 2022. On or after March 15, 2022, the Company may redeem for cash all or part of the Notes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ind w:right="60" w:firstLine="645"/>
        <w:spacing w:after="0" w:line="275" w:lineRule="auto"/>
        <w:rPr>
          <w:sz w:val="20"/>
          <w:szCs w:val="20"/>
          <w:color w:val="auto"/>
        </w:rPr>
      </w:pPr>
      <w:r>
        <w:rPr>
          <w:rFonts w:ascii="Arial" w:cs="Arial" w:eastAsia="Arial" w:hAnsi="Arial"/>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71" w:lineRule="exact"/>
        <w:rPr>
          <w:sz w:val="20"/>
          <w:szCs w:val="20"/>
          <w:color w:val="auto"/>
        </w:rPr>
      </w:pPr>
    </w:p>
    <w:p>
      <w:pPr>
        <w:ind w:firstLine="645"/>
        <w:spacing w:after="0" w:line="288" w:lineRule="auto"/>
        <w:rPr>
          <w:sz w:val="20"/>
          <w:szCs w:val="20"/>
          <w:color w:val="auto"/>
        </w:rPr>
      </w:pPr>
      <w:r>
        <w:rPr>
          <w:rFonts w:ascii="Arial" w:cs="Arial" w:eastAsia="Arial" w:hAnsi="Arial"/>
          <w:sz w:val="16"/>
          <w:szCs w:val="16"/>
          <w:color w:val="auto"/>
        </w:rPr>
        <w:t xml:space="preserve">Pursuant to the guidance in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 Contracts in Entity’s Own Equity</w:t>
      </w:r>
      <w:r>
        <w:rPr>
          <w:rFonts w:ascii="Arial" w:cs="Arial" w:eastAsia="Arial" w:hAnsi="Arial"/>
          <w:sz w:val="16"/>
          <w:szCs w:val="16"/>
          <w:color w:val="auto"/>
        </w:rPr>
        <w:t xml:space="preserve">, the Company evaluated whether the conversion feature of the note needed to be bifurcated from the host instrument as a freestanding financial instrument. Under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 xml:space="preserve">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contained in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w:t>
      </w:r>
      <w:r>
        <w:rPr>
          <w:rFonts w:ascii="Arial" w:cs="Arial" w:eastAsia="Arial" w:hAnsi="Arial"/>
          <w:sz w:val="16"/>
          <w:szCs w:val="16"/>
          <w:i w:val="1"/>
          <w:iCs w:val="1"/>
          <w:color w:val="auto"/>
        </w:rPr>
        <w:t>25</w:t>
      </w:r>
      <w:r>
        <w:rPr>
          <w:rFonts w:ascii="Arial" w:cs="Arial" w:eastAsia="Arial" w:hAnsi="Arial"/>
          <w:sz w:val="16"/>
          <w:szCs w:val="16"/>
          <w:color w:val="auto"/>
        </w:rPr>
        <w:t>-</w:t>
      </w:r>
      <w:r>
        <w:rPr>
          <w:rFonts w:ascii="Arial" w:cs="Arial" w:eastAsia="Arial" w:hAnsi="Arial"/>
          <w:sz w:val="16"/>
          <w:szCs w:val="16"/>
          <w:i w:val="1"/>
          <w:iCs w:val="1"/>
          <w:color w:val="auto"/>
        </w:rPr>
        <w:t>7</w:t>
      </w:r>
      <w:r>
        <w:rPr>
          <w:rFonts w:ascii="Arial" w:cs="Arial" w:eastAsia="Arial" w:hAnsi="Arial"/>
          <w:sz w:val="16"/>
          <w:szCs w:val="16"/>
          <w:color w:val="auto"/>
        </w:rPr>
        <w:t xml:space="preserve"> and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w:t>
      </w:r>
      <w:r>
        <w:rPr>
          <w:rFonts w:ascii="Arial" w:cs="Arial" w:eastAsia="Arial" w:hAnsi="Arial"/>
          <w:sz w:val="16"/>
          <w:szCs w:val="16"/>
          <w:i w:val="1"/>
          <w:iCs w:val="1"/>
          <w:color w:val="auto"/>
        </w:rPr>
        <w:t>25</w:t>
      </w:r>
      <w:r>
        <w:rPr>
          <w:rFonts w:ascii="Arial" w:cs="Arial" w:eastAsia="Arial" w:hAnsi="Arial"/>
          <w:sz w:val="16"/>
          <w:szCs w:val="16"/>
          <w:color w:val="auto"/>
        </w:rPr>
        <w:t>-</w:t>
      </w:r>
      <w:r>
        <w:rPr>
          <w:rFonts w:ascii="Arial" w:cs="Arial" w:eastAsia="Arial" w:hAnsi="Arial"/>
          <w:sz w:val="16"/>
          <w:szCs w:val="16"/>
          <w:i w:val="1"/>
          <w:iCs w:val="1"/>
          <w:color w:val="auto"/>
        </w:rPr>
        <w:t>10.</w:t>
      </w:r>
      <w:r>
        <w:rPr>
          <w:rFonts w:ascii="Arial" w:cs="Arial" w:eastAsia="Arial" w:hAnsi="Arial"/>
          <w:sz w:val="16"/>
          <w:szCs w:val="16"/>
          <w:color w:val="auto"/>
        </w:rPr>
        <w:t xml:space="preserve"> Accordingly, the conversion option is not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w:t>
      </w:r>
      <w:r>
        <w:rPr>
          <w:rFonts w:ascii="Arial" w:cs="Arial" w:eastAsia="Arial" w:hAnsi="Arial"/>
          <w:sz w:val="16"/>
          <w:szCs w:val="16"/>
          <w:i w:val="1"/>
          <w:iCs w:val="1"/>
          <w:color w:val="auto"/>
        </w:rPr>
        <w:t>470</w:t>
      </w:r>
      <w:r>
        <w:rPr>
          <w:rFonts w:ascii="Arial" w:cs="Arial" w:eastAsia="Arial" w:hAnsi="Arial"/>
          <w:sz w:val="16"/>
          <w:szCs w:val="16"/>
          <w:color w:val="auto"/>
        </w:rPr>
        <w:t>-</w:t>
      </w:r>
      <w:r>
        <w:rPr>
          <w:rFonts w:ascii="Arial" w:cs="Arial" w:eastAsia="Arial" w:hAnsi="Arial"/>
          <w:sz w:val="16"/>
          <w:szCs w:val="16"/>
          <w:i w:val="1"/>
          <w:iCs w:val="1"/>
          <w:color w:val="auto"/>
        </w:rPr>
        <w:t>20, 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and Other Options</w:t>
      </w:r>
      <w:r>
        <w:rPr>
          <w:rFonts w:ascii="Arial" w:cs="Arial" w:eastAsia="Arial" w:hAnsi="Arial"/>
          <w:sz w:val="16"/>
          <w:szCs w:val="16"/>
          <w:color w:val="auto"/>
        </w:rPr>
        <w:t>. The Company determined that notes should be accounted for in their entirety as a liability.</w:t>
      </w:r>
    </w:p>
    <w:p>
      <w:pPr>
        <w:spacing w:after="0" w:line="169" w:lineRule="exact"/>
        <w:rPr>
          <w:sz w:val="20"/>
          <w:szCs w:val="20"/>
          <w:color w:val="auto"/>
        </w:rPr>
      </w:pPr>
    </w:p>
    <w:p>
      <w:pPr>
        <w:ind w:right="80" w:firstLine="645"/>
        <w:spacing w:after="0" w:line="339" w:lineRule="auto"/>
        <w:rPr>
          <w:sz w:val="20"/>
          <w:szCs w:val="20"/>
          <w:color w:val="auto"/>
        </w:rPr>
      </w:pPr>
      <w:r>
        <w:rPr>
          <w:rFonts w:ascii="Arial" w:cs="Arial" w:eastAsia="Arial" w:hAnsi="Arial"/>
          <w:sz w:val="16"/>
          <w:szCs w:val="16"/>
          <w:color w:val="auto"/>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gridSpan w:val="10"/>
          </w:tcPr>
          <w:p>
            <w:pPr>
              <w:ind w:left="660"/>
              <w:spacing w:after="0"/>
              <w:rPr>
                <w:sz w:val="20"/>
                <w:szCs w:val="20"/>
                <w:color w:val="auto"/>
              </w:rPr>
            </w:pPr>
            <w:r>
              <w:rPr>
                <w:rFonts w:ascii="Arial" w:cs="Arial" w:eastAsia="Arial" w:hAnsi="Arial"/>
                <w:sz w:val="18"/>
                <w:szCs w:val="18"/>
                <w:color w:val="auto"/>
                <w:w w:val="91"/>
              </w:rPr>
              <w:t>The following table sets forth interest expense information related to the Notes (in thousands):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8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6"/>
          </w:tcPr>
          <w:p>
            <w:pPr>
              <w:jc w:val="right"/>
              <w:ind w:right="390"/>
              <w:spacing w:after="0"/>
              <w:rPr>
                <w:sz w:val="20"/>
                <w:szCs w:val="20"/>
                <w:color w:val="auto"/>
              </w:rPr>
            </w:pPr>
            <w:r>
              <w:rPr>
                <w:rFonts w:ascii="Arial" w:cs="Arial" w:eastAsia="Arial" w:hAnsi="Arial"/>
                <w:sz w:val="18"/>
                <w:szCs w:val="18"/>
                <w:b w:val="1"/>
                <w:bCs w:val="1"/>
                <w:color w:val="auto"/>
                <w:w w:val="89"/>
              </w:rPr>
              <w:t>Three months ended June 30,</w:t>
            </w:r>
          </w:p>
        </w:tc>
        <w:tc>
          <w:tcPr>
            <w:tcW w:w="200" w:type="dxa"/>
            <w:vAlign w:val="bottom"/>
          </w:tcPr>
          <w:p>
            <w:pPr>
              <w:spacing w:after="0"/>
              <w:rPr>
                <w:sz w:val="24"/>
                <w:szCs w:val="24"/>
                <w:color w:val="auto"/>
              </w:rPr>
            </w:pPr>
          </w:p>
        </w:tc>
        <w:tc>
          <w:tcPr>
            <w:tcW w:w="264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expense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2,013</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cost</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2,423</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Effective interest rate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260" w:type="dxa"/>
            <w:vAlign w:val="bottom"/>
            <w:gridSpan w:val="3"/>
          </w:tcPr>
          <w:p>
            <w:pPr>
              <w:jc w:val="right"/>
              <w:ind w:right="17"/>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872"/>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Note 13. Accrued Liabilities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560" w:type="dxa"/>
            <w:vAlign w:val="bottom"/>
            <w:gridSpan w:val="10"/>
          </w:tcPr>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88"/>
              </w:rPr>
              <w:t>June 30, 2021</w:t>
            </w:r>
          </w:p>
        </w:tc>
        <w:tc>
          <w:tcPr>
            <w:tcW w:w="180" w:type="dxa"/>
            <w:vAlign w:val="bottom"/>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Accrued state and local taxes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Accrued interest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Accrued product warranty</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 expenses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Accrued shipping and tariff expenses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Accrued other</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15,509</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Income and Expense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78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5"/>
              </w:rPr>
              <w:t>Three months ended June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transaction gain</w:t>
            </w:r>
          </w:p>
        </w:tc>
        <w:tc>
          <w:tcPr>
            <w:tcW w:w="780" w:type="dxa"/>
            <w:vAlign w:val="bottom"/>
            <w:shd w:val="clear" w:color="auto" w:fill="CCEEFF"/>
          </w:tcPr>
          <w:p>
            <w:pPr>
              <w:jc w:val="right"/>
              <w:ind w:right="619"/>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Government subsidy income</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non-operating gain (loss)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Loan forgiveness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6,229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6,229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456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4580" w:type="dxa"/>
            <w:vAlign w:val="bottom"/>
            <w:gridSpan w:val="2"/>
          </w:tcPr>
          <w:p>
            <w:pPr>
              <w:spacing w:after="0"/>
              <w:rPr>
                <w:sz w:val="20"/>
                <w:szCs w:val="20"/>
                <w:color w:val="auto"/>
              </w:rPr>
            </w:pPr>
            <w:r>
              <w:rPr>
                <w:rFonts w:ascii="Arial" w:cs="Arial" w:eastAsia="Arial" w:hAnsi="Arial"/>
                <w:sz w:val="18"/>
                <w:szCs w:val="18"/>
                <w:color w:val="auto"/>
              </w:rPr>
              <w:t>Total other income (expense), net</w:t>
            </w:r>
          </w:p>
        </w:tc>
        <w:tc>
          <w:tcPr>
            <w:tcW w:w="780" w:type="dxa"/>
            <w:vAlign w:val="bottom"/>
          </w:tcPr>
          <w:p>
            <w:pPr>
              <w:jc w:val="right"/>
              <w:ind w:right="619"/>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6,797</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6,628</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25" w:right="419" w:bottom="1440" w:gutter="0" w:footer="0" w:header="0"/>
        </w:sectPr>
      </w:pP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3" w:lineRule="exact"/>
        <w:rPr>
          <w:sz w:val="20"/>
          <w:szCs w:val="20"/>
          <w:color w:val="auto"/>
        </w:rPr>
      </w:pPr>
    </w:p>
    <w:p>
      <w:pPr>
        <w:ind w:left="980" w:hanging="32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22" w:lineRule="exact"/>
        <w:rPr>
          <w:rFonts w:ascii="Arial" w:cs="Arial" w:eastAsia="Arial" w:hAnsi="Arial"/>
          <w:sz w:val="18"/>
          <w:szCs w:val="18"/>
          <w:color w:val="auto"/>
        </w:rPr>
      </w:pPr>
    </w:p>
    <w:p>
      <w:pPr>
        <w:ind w:left="980" w:hanging="32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8" w:lineRule="exact"/>
        <w:rPr>
          <w:rFonts w:ascii="Arial" w:cs="Arial" w:eastAsia="Arial" w:hAnsi="Arial"/>
          <w:sz w:val="18"/>
          <w:szCs w:val="18"/>
          <w:color w:val="auto"/>
        </w:rPr>
      </w:pPr>
    </w:p>
    <w:p>
      <w:pPr>
        <w:ind w:left="980" w:hanging="32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2021 Equity Incentive Plan (“2021 Plan”)</w:t>
      </w:r>
    </w:p>
    <w:p>
      <w:pPr>
        <w:spacing w:after="0" w:line="208" w:lineRule="exact"/>
        <w:rPr>
          <w:sz w:val="20"/>
          <w:szCs w:val="20"/>
          <w:color w:val="auto"/>
        </w:rPr>
      </w:pPr>
    </w:p>
    <w:p>
      <w:pPr>
        <w:ind w:right="80" w:firstLine="645"/>
        <w:spacing w:after="0" w:line="295" w:lineRule="auto"/>
        <w:rPr>
          <w:sz w:val="20"/>
          <w:szCs w:val="20"/>
          <w:color w:val="auto"/>
        </w:rPr>
      </w:pPr>
      <w:r>
        <w:rPr>
          <w:rFonts w:ascii="Arial" w:cs="Arial" w:eastAsia="Arial" w:hAnsi="Arial"/>
          <w:sz w:val="16"/>
          <w:szCs w:val="16"/>
          <w:color w:val="auto"/>
        </w:rPr>
        <w:t>The Company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third-party valuation specialists.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3" w:lineRule="exact"/>
        <w:rPr>
          <w:sz w:val="20"/>
          <w:szCs w:val="20"/>
          <w:color w:val="auto"/>
        </w:rPr>
      </w:pPr>
    </w:p>
    <w:p>
      <w:pPr>
        <w:ind w:right="20" w:firstLine="645"/>
        <w:spacing w:after="0" w:line="339" w:lineRule="auto"/>
        <w:rPr>
          <w:sz w:val="20"/>
          <w:szCs w:val="20"/>
          <w:color w:val="auto"/>
        </w:rPr>
      </w:pPr>
      <w:r>
        <w:rPr>
          <w:rFonts w:ascii="Arial" w:cs="Arial" w:eastAsia="Arial" w:hAnsi="Arial"/>
          <w:sz w:val="16"/>
          <w:szCs w:val="16"/>
          <w:color w:val="auto"/>
        </w:rPr>
        <w:t>Options have been granted to the Company’s employees under the two incentive plans and generally become exercisable as to 25% of the shares on the first anniversary date following the date of grant and 12.5% on a semi-annual basis thereafter. All options expire ten years after the date of grant.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8"/>
              </w:rPr>
              <w:t>Weighted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8"/>
              </w:rPr>
              <w:t>Share Price</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r>
      <w:tr>
        <w:trPr>
          <w:trHeight w:val="215"/>
        </w:trPr>
        <w:tc>
          <w:tcPr>
            <w:tcW w:w="32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on Date of</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33"/>
        </w:trPr>
        <w:tc>
          <w:tcPr>
            <w:tcW w:w="326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8"/>
        </w:trPr>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82"/>
              </w:rPr>
              <w:t>except price data)</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15"/>
        </w:trPr>
        <w:tc>
          <w:tcPr>
            <w:tcW w:w="3260" w:type="dxa"/>
            <w:vAlign w:val="bottom"/>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w w:val="88"/>
              </w:rPr>
              <w:t>—</w:t>
            </w:r>
          </w:p>
        </w:tc>
        <w:tc>
          <w:tcPr>
            <w:tcW w:w="2420" w:type="dxa"/>
            <w:vAlign w:val="bottom"/>
            <w:gridSpan w:val="4"/>
          </w:tcPr>
          <w:p>
            <w:pPr>
              <w:ind w:left="1300"/>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5"/>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20" w:type="dxa"/>
            <w:vAlign w:val="bottom"/>
            <w:gridSpan w:val="4"/>
            <w:shd w:val="clear" w:color="auto" w:fill="CCEEFF"/>
          </w:tcPr>
          <w:p>
            <w:pPr>
              <w:ind w:left="1300"/>
              <w:spacing w:after="0"/>
              <w:rPr>
                <w:sz w:val="20"/>
                <w:szCs w:val="20"/>
                <w:color w:val="auto"/>
              </w:rPr>
            </w:pPr>
            <w:r>
              <w:rPr>
                <w:rFonts w:ascii="Arial" w:cs="Arial" w:eastAsia="Arial" w:hAnsi="Arial"/>
                <w:sz w:val="18"/>
                <w:szCs w:val="18"/>
                <w:color w:val="auto"/>
              </w:rPr>
              <w:t>$5.64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5"/>
        </w:trPr>
        <w:tc>
          <w:tcPr>
            <w:tcW w:w="3260" w:type="dxa"/>
            <w:vAlign w:val="bottom"/>
          </w:tcPr>
          <w:p>
            <w:pPr>
              <w:spacing w:after="0"/>
              <w:rPr>
                <w:sz w:val="20"/>
                <w:szCs w:val="20"/>
                <w:color w:val="auto"/>
              </w:rPr>
            </w:pPr>
            <w:r>
              <w:rPr>
                <w:rFonts w:ascii="Arial" w:cs="Arial" w:eastAsia="Arial" w:hAnsi="Arial"/>
                <w:sz w:val="18"/>
                <w:szCs w:val="18"/>
                <w:color w:val="auto"/>
              </w:rPr>
              <w:t>Outstanding, June 30, 2021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ind w:left="13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5.44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326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Exercisable, June 30, 2021</w:t>
            </w:r>
          </w:p>
        </w:tc>
        <w:tc>
          <w:tcPr>
            <w:tcW w:w="11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271</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line="195" w:lineRule="exact"/>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5"/>
        </w:trPr>
        <w:tc>
          <w:tcPr>
            <w:tcW w:w="3260" w:type="dxa"/>
            <w:vAlign w:val="bottom"/>
          </w:tcPr>
          <w:p>
            <w:pPr>
              <w:spacing w:after="0" w:line="195" w:lineRule="exact"/>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271</w:t>
            </w:r>
          </w:p>
        </w:tc>
        <w:tc>
          <w:tcPr>
            <w:tcW w:w="20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10.33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2.19</w:t>
            </w:r>
          </w:p>
        </w:tc>
        <w:tc>
          <w:tcPr>
            <w:tcW w:w="12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6"/>
                <w:szCs w:val="16"/>
                <w:color w:val="auto"/>
              </w:rPr>
            </w:pPr>
          </w:p>
        </w:tc>
      </w:tr>
      <w:tr>
        <w:trPr>
          <w:trHeight w:val="20"/>
        </w:trPr>
        <w:tc>
          <w:tcPr>
            <w:tcW w:w="3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right"/>
        <w:ind w:right="5560"/>
        <w:spacing w:after="0"/>
        <w:rPr>
          <w:sz w:val="20"/>
          <w:szCs w:val="20"/>
          <w:color w:val="auto"/>
        </w:rPr>
      </w:pPr>
      <w:r>
        <w:rPr>
          <w:rFonts w:ascii="Arial" w:cs="Arial" w:eastAsia="Arial" w:hAnsi="Arial"/>
          <w:sz w:val="18"/>
          <w:szCs w:val="18"/>
          <w:color w:val="auto"/>
        </w:rPr>
        <w:t>As of June 30, 2021, there was no unrecognized stock option expense.</w:t>
      </w:r>
    </w:p>
    <w:p>
      <w:pPr>
        <w:spacing w:after="0" w:line="223" w:lineRule="exact"/>
        <w:rPr>
          <w:sz w:val="20"/>
          <w:szCs w:val="20"/>
          <w:color w:val="auto"/>
        </w:rPr>
      </w:pPr>
    </w:p>
    <w:p>
      <w:pPr>
        <w:jc w:val="right"/>
        <w:ind w:right="5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Units/Awards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8"/>
              </w:rPr>
              <w:t>Average Share</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r>
      <w:tr>
        <w:trPr>
          <w:trHeight w:val="215"/>
        </w:trPr>
        <w:tc>
          <w:tcPr>
            <w:tcW w:w="59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3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0"/>
              </w:rPr>
              <w:t>Price on Date</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Average Fair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33"/>
        </w:trPr>
        <w:tc>
          <w:tcPr>
            <w:tcW w:w="5980" w:type="dxa"/>
            <w:vAlign w:val="bottom"/>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of Release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8"/>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84"/>
              </w:rPr>
              <w:t>except price data)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11,279</w:t>
            </w: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9.39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Cancelled/Forfeited</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r>
      <w:tr>
        <w:trPr>
          <w:trHeight w:val="248"/>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June 30,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22,700</w:t>
            </w:r>
          </w:p>
        </w:tc>
      </w:tr>
      <w:tr>
        <w:trPr>
          <w:trHeight w:val="195"/>
        </w:trPr>
        <w:tc>
          <w:tcPr>
            <w:tcW w:w="5980" w:type="dxa"/>
            <w:vAlign w:val="bottom"/>
          </w:tcPr>
          <w:p>
            <w:pPr>
              <w:spacing w:after="0" w:line="195" w:lineRule="exact"/>
              <w:rPr>
                <w:sz w:val="20"/>
                <w:szCs w:val="20"/>
                <w:color w:val="auto"/>
              </w:rPr>
            </w:pPr>
            <w:r>
              <w:rPr>
                <w:rFonts w:ascii="Arial" w:cs="Arial" w:eastAsia="Arial" w:hAnsi="Arial"/>
                <w:sz w:val="18"/>
                <w:szCs w:val="18"/>
                <w:color w:val="auto"/>
              </w:rPr>
              <w:t>Vested and expected to vest</w:t>
            </w:r>
          </w:p>
        </w:tc>
        <w:tc>
          <w:tcPr>
            <w:tcW w:w="11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2,680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11.51</w:t>
            </w:r>
          </w:p>
        </w:tc>
        <w:tc>
          <w:tcPr>
            <w:tcW w:w="120" w:type="dxa"/>
            <w:vAlign w:val="bottom"/>
          </w:tcPr>
          <w:p>
            <w:pPr>
              <w:spacing w:after="0"/>
              <w:rPr>
                <w:sz w:val="16"/>
                <w:szCs w:val="16"/>
                <w:color w:val="auto"/>
              </w:rPr>
            </w:pPr>
          </w:p>
        </w:tc>
        <w:tc>
          <w:tcPr>
            <w:tcW w:w="110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22,700</w:t>
            </w:r>
          </w:p>
        </w:tc>
      </w:tr>
      <w:tr>
        <w:trPr>
          <w:trHeight w:val="20"/>
        </w:trPr>
        <w:tc>
          <w:tcPr>
            <w:tcW w:w="5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80" w:firstLine="645"/>
        <w:spacing w:after="0" w:line="275" w:lineRule="auto"/>
        <w:rPr>
          <w:sz w:val="20"/>
          <w:szCs w:val="20"/>
          <w:color w:val="auto"/>
        </w:rPr>
      </w:pPr>
      <w:r>
        <w:rPr>
          <w:rFonts w:ascii="Arial" w:cs="Arial" w:eastAsia="Arial" w:hAnsi="Arial"/>
          <w:sz w:val="18"/>
          <w:szCs w:val="18"/>
          <w:color w:val="auto"/>
        </w:rPr>
        <w:t>As of June 30, 2021, there was $27.8 million of unrecognized compensation expense related to these RSUs and RSAs. This expense is expected to be recognized over 2.33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w:t>
            </w:r>
          </w:p>
        </w:tc>
        <w:tc>
          <w:tcPr>
            <w:tcW w:w="560" w:type="dxa"/>
            <w:vAlign w:val="bottom"/>
          </w:tcPr>
          <w:p>
            <w:pPr>
              <w:spacing w:after="0"/>
              <w:rPr>
                <w:sz w:val="18"/>
                <w:szCs w:val="18"/>
                <w:color w:val="auto"/>
              </w:rPr>
            </w:pPr>
          </w:p>
        </w:tc>
      </w:tr>
      <w:tr>
        <w:trPr>
          <w:trHeight w:val="233"/>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8"/>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by expense type</w:t>
            </w:r>
          </w:p>
        </w:tc>
        <w:tc>
          <w:tcPr>
            <w:tcW w:w="6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Cost of goods sold</w:t>
            </w:r>
          </w:p>
        </w:tc>
        <w:tc>
          <w:tcPr>
            <w:tcW w:w="14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266</w:t>
            </w:r>
          </w:p>
        </w:tc>
        <w:tc>
          <w:tcPr>
            <w:tcW w:w="10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237</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467</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Sales and marketing</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2,048</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2,066</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8"/>
        </w:trPr>
        <w:tc>
          <w:tcPr>
            <w:tcW w:w="4460" w:type="dxa"/>
            <w:vAlign w:val="bottom"/>
            <w:gridSpan w:val="2"/>
          </w:tcPr>
          <w:p>
            <w:pPr>
              <w:ind w:left="560"/>
              <w:spacing w:after="0"/>
              <w:rPr>
                <w:sz w:val="20"/>
                <w:szCs w:val="20"/>
                <w:color w:val="auto"/>
              </w:rPr>
            </w:pPr>
            <w:r>
              <w:rPr>
                <w:rFonts w:ascii="Arial" w:cs="Arial" w:eastAsia="Arial" w:hAnsi="Arial"/>
                <w:sz w:val="18"/>
                <w:szCs w:val="18"/>
                <w:color w:val="auto"/>
              </w:rPr>
              <w:t>Total share-based compensation expense</w:t>
            </w:r>
          </w:p>
        </w:tc>
        <w:tc>
          <w:tcPr>
            <w:tcW w:w="66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3,273</w:t>
            </w:r>
          </w:p>
        </w:tc>
        <w:tc>
          <w:tcPr>
            <w:tcW w:w="22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3,302</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5,793</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1"/>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4"/>
        </w:trPr>
        <w:tc>
          <w:tcPr>
            <w:tcW w:w="58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7" w:lineRule="exact"/>
        <w:rPr>
          <w:sz w:val="20"/>
          <w:szCs w:val="20"/>
          <w:color w:val="auto"/>
        </w:rPr>
      </w:pPr>
    </w:p>
    <w:p>
      <w:pPr>
        <w:ind w:firstLine="645"/>
        <w:spacing w:after="0" w:line="295" w:lineRule="auto"/>
        <w:rPr>
          <w:sz w:val="20"/>
          <w:szCs w:val="20"/>
          <w:color w:val="auto"/>
        </w:rPr>
      </w:pPr>
      <w:r>
        <w:rPr>
          <w:rFonts w:ascii="Arial" w:cs="Arial" w:eastAsia="Arial" w:hAnsi="Arial"/>
          <w:sz w:val="16"/>
          <w:szCs w:val="16"/>
          <w:color w:val="auto"/>
        </w:rPr>
        <w:t>The Company’s effective tax rate for the three months ended June 30, 2021 and 2020 was 0% and 258.2%, respectively. For the three months ended June 30, 2021, the effective tax rate varied from the federal statutory rate of 21% primarily due to the benefit of the nontaxable PPP loan forgiveness, offset by the change of the valuation allowance on federal, state, Taiwan, and China deferred tax assets ("DTA"). For the three months ended June 30, 2020, the effective tax rate varied from the federal statutory rate of 21% primarily due to the level and mix of earnings among tax jurisdictions, and the change of valuation allowance on the US and state deferred tax assets, and the recording of a valuation allowance on Taiwan deferred tax assets.</w:t>
      </w:r>
    </w:p>
    <w:p>
      <w:pPr>
        <w:spacing w:after="0" w:line="159" w:lineRule="exact"/>
        <w:rPr>
          <w:sz w:val="20"/>
          <w:szCs w:val="20"/>
          <w:color w:val="auto"/>
        </w:rPr>
      </w:pPr>
    </w:p>
    <w:p>
      <w:pPr>
        <w:ind w:right="120" w:firstLine="645"/>
        <w:spacing w:after="0" w:line="255" w:lineRule="auto"/>
        <w:rPr>
          <w:sz w:val="20"/>
          <w:szCs w:val="20"/>
          <w:color w:val="auto"/>
        </w:rPr>
      </w:pPr>
      <w:r>
        <w:rPr>
          <w:rFonts w:ascii="Arial" w:cs="Arial" w:eastAsia="Arial" w:hAnsi="Arial"/>
          <w:sz w:val="18"/>
          <w:szCs w:val="18"/>
          <w:color w:val="auto"/>
        </w:rPr>
        <w:t>The Company's effective tax rate for the six months ended June 30, 2021 and 2020 was 0% and (16.25%), respectively. For the six months ended June 30, 2021, the effective tax rate varied from the federal statutory rate of 21% primarily due to the change of the valuation allowance on federal, state, Taiwan and China DTA. For the six months ended June 30, 2020, the effective tax rate varied from the federal statutory rate of 21% primarily due to the level and mix of earnings among tax jurisdictions, the change of the valuation allowance on the US and state deferred tax assets, and the recording of a valuation on Taiwan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firstLine="645"/>
        <w:spacing w:after="0" w:line="254" w:lineRule="auto"/>
        <w:rPr>
          <w:sz w:val="20"/>
          <w:szCs w:val="20"/>
          <w:color w:val="auto"/>
        </w:rPr>
      </w:pPr>
      <w:r>
        <w:rPr>
          <w:rFonts w:ascii="Arial" w:cs="Arial" w:eastAsia="Arial" w:hAnsi="Arial"/>
          <w:sz w:val="18"/>
          <w:szCs w:val="18"/>
          <w:color w:val="auto"/>
        </w:rPr>
        <w:t>The Company continually monitors and performs an assessment of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not”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June 30, 2021 was appropriate.</w:t>
      </w:r>
    </w:p>
    <w:p>
      <w:pPr>
        <w:spacing w:after="0" w:line="191" w:lineRule="exact"/>
        <w:rPr>
          <w:sz w:val="20"/>
          <w:szCs w:val="20"/>
          <w:color w:val="auto"/>
        </w:rPr>
      </w:pPr>
    </w:p>
    <w:p>
      <w:pPr>
        <w:ind w:firstLine="645"/>
        <w:spacing w:after="0" w:line="252" w:lineRule="auto"/>
        <w:rPr>
          <w:sz w:val="20"/>
          <w:szCs w:val="20"/>
          <w:color w:val="auto"/>
        </w:rPr>
      </w:pPr>
      <w:r>
        <w:rPr>
          <w:rFonts w:ascii="Arial" w:cs="Arial" w:eastAsia="Arial" w:hAnsi="Arial"/>
          <w:sz w:val="18"/>
          <w:szCs w:val="18"/>
          <w:color w:val="auto"/>
        </w:rPr>
        <w:t>In response to the COVID-19 pandemic, the Coronavirus Aid, Relief, and Economic Stability Act (the "CARES Act") was signed into law on March 27, 2020. The CARES Act, among other things, includes tax provisions relating to refundable payroll tax credits, deferment of employer social security payments, net operating loss utilization and carryback periods, modifications to the net interest deduction limitations and technical corrections to tax depreciation methods for qualified improvement property (“QIP”). On December 27, 2020, the Taxpayer Certainty and Disaster Tax Relief Act of 2020 was enacted as part of the Consolidated Appropriations Act, 2021, followed by the American Rescue Plan Act on March 1, 2021. These recent laws, among many other provisions, expand and extend the Paycheck Protection Program (“PPP”), refundable employee retention tax credits previously made available under the CARES Act and allow a full deduction for business meals for the 2021 and 2022 tax years. At this point we do not believe that these changes will have a material impact on our income tax provision for 2021. We will continue to evaluate the impact of new legislation on our financial position, results of operations, and cash flows.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Geographic Information</w:t>
      </w:r>
    </w:p>
    <w:p>
      <w:pPr>
        <w:spacing w:after="0" w:line="227" w:lineRule="exact"/>
        <w:rPr>
          <w:sz w:val="20"/>
          <w:szCs w:val="20"/>
          <w:color w:val="auto"/>
        </w:rPr>
      </w:pPr>
    </w:p>
    <w:p>
      <w:pPr>
        <w:jc w:val="both"/>
        <w:ind w:right="180" w:firstLine="645"/>
        <w:spacing w:after="0" w:line="262"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2" w:lineRule="exact"/>
        <w:rPr>
          <w:sz w:val="20"/>
          <w:szCs w:val="20"/>
          <w:color w:val="auto"/>
        </w:rPr>
      </w:pPr>
    </w:p>
    <w:p>
      <w:pPr>
        <w:jc w:val="both"/>
        <w:ind w:right="160" w:firstLine="645"/>
        <w:spacing w:after="0" w:line="339"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21"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89"/>
              </w:rPr>
              <w:t>Three months ended June 30,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08"/>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3,422</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4,735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6,737</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8,496</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64,486</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China</w:t>
            </w: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21,274</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19,883</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41,265</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32,707</w:t>
            </w: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54,189</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65,222</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103,890</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105,689</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of the period ended</w:t>
            </w: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89,096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90,999</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2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China</w:t>
            </w:r>
          </w:p>
        </w:tc>
        <w:tc>
          <w:tcPr>
            <w:tcW w:w="2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108,575</w:t>
            </w: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264,107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270,654</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3" w:lineRule="exact"/>
        <w:rPr>
          <w:sz w:val="20"/>
          <w:szCs w:val="20"/>
          <w:color w:val="auto"/>
        </w:rPr>
      </w:pPr>
    </w:p>
    <w:p>
      <w:pPr>
        <w:ind w:right="280" w:firstLine="645"/>
        <w:spacing w:after="0" w:line="277" w:lineRule="auto"/>
        <w:rPr>
          <w:sz w:val="20"/>
          <w:szCs w:val="20"/>
          <w:color w:val="auto"/>
        </w:rPr>
      </w:pPr>
      <w:r>
        <w:rPr>
          <w:rFonts w:ascii="Arial" w:cs="Arial" w:eastAsia="Arial" w:hAnsi="Arial"/>
          <w:sz w:val="17"/>
          <w:szCs w:val="17"/>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72" w:lineRule="exact"/>
        <w:rPr>
          <w:sz w:val="20"/>
          <w:szCs w:val="20"/>
          <w:color w:val="auto"/>
        </w:rPr>
      </w:pPr>
    </w:p>
    <w:p>
      <w:pPr>
        <w:ind w:right="340" w:firstLine="645"/>
        <w:spacing w:after="0" w:line="275" w:lineRule="auto"/>
        <w:rPr>
          <w:sz w:val="20"/>
          <w:szCs w:val="20"/>
          <w:color w:val="auto"/>
        </w:rPr>
      </w:pPr>
      <w:r>
        <w:rPr>
          <w:rFonts w:ascii="Arial" w:cs="Arial" w:eastAsia="Arial" w:hAnsi="Arial"/>
          <w:sz w:val="18"/>
          <w:szCs w:val="18"/>
          <w:color w:val="auto"/>
        </w:rPr>
        <w:t>Except for the lawsuits described below, the Company believes that there are no claims or actions pending or threatened against it, the ultimate disposition of which would have a material adverse effect on 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23" w:lineRule="exact"/>
        <w:rPr>
          <w:sz w:val="20"/>
          <w:szCs w:val="20"/>
          <w:color w:val="auto"/>
        </w:rPr>
      </w:pPr>
    </w:p>
    <w:p>
      <w:pPr>
        <w:ind w:firstLine="645"/>
        <w:spacing w:after="0" w:line="283" w:lineRule="auto"/>
        <w:rPr>
          <w:sz w:val="20"/>
          <w:szCs w:val="20"/>
          <w:color w:val="auto"/>
        </w:rPr>
      </w:pPr>
      <w:r>
        <w:rPr>
          <w:rFonts w:ascii="Arial" w:cs="Arial" w:eastAsia="Arial" w:hAnsi="Arial"/>
          <w:sz w:val="16"/>
          <w:szCs w:val="16"/>
          <w:color w:val="auto"/>
        </w:rPr>
        <w:t xml:space="preserve">On August 7, 2018, a derivative lawsuit was filed in the United States District Court for the Southern District of Texas styled </w:t>
      </w:r>
      <w:r>
        <w:rPr>
          <w:rFonts w:ascii="Arial" w:cs="Arial" w:eastAsia="Arial" w:hAnsi="Arial"/>
          <w:sz w:val="16"/>
          <w:szCs w:val="16"/>
          <w:i w:val="1"/>
          <w:iCs w:val="1"/>
          <w:color w:val="auto"/>
        </w:rPr>
        <w:t>Lei Jin, derivatively</w:t>
      </w:r>
      <w:r>
        <w:rPr>
          <w:rFonts w:ascii="Arial" w:cs="Arial" w:eastAsia="Arial" w:hAnsi="Arial"/>
          <w:sz w:val="16"/>
          <w:szCs w:val="16"/>
          <w:color w:val="auto"/>
        </w:rPr>
        <w:t xml:space="preserve"> </w:t>
      </w:r>
      <w:r>
        <w:rPr>
          <w:rFonts w:ascii="Arial" w:cs="Arial" w:eastAsia="Arial" w:hAnsi="Arial"/>
          <w:sz w:val="16"/>
          <w:szCs w:val="16"/>
          <w:i w:val="1"/>
          <w:iCs w:val="1"/>
          <w:color w:val="auto"/>
        </w:rPr>
        <w:t>on behalf ofApplied Optoelectronics, Inc. v. Chih-Hsiang (</w:t>
      </w:r>
      <w:r>
        <w:rPr>
          <w:rFonts w:ascii="Arial" w:cs="Arial" w:eastAsia="Arial" w:hAnsi="Arial"/>
          <w:sz w:val="16"/>
          <w:szCs w:val="16"/>
          <w:color w:val="auto"/>
        </w:rPr>
        <w:t>“</w:t>
      </w:r>
      <w:r>
        <w:rPr>
          <w:rFonts w:ascii="Arial" w:cs="Arial" w:eastAsia="Arial" w:hAnsi="Arial"/>
          <w:sz w:val="16"/>
          <w:szCs w:val="16"/>
          <w:i w:val="1"/>
          <w:iCs w:val="1"/>
          <w:color w:val="auto"/>
        </w:rPr>
        <w:t>Thompson</w:t>
      </w:r>
      <w:r>
        <w:rPr>
          <w:rFonts w:ascii="Arial" w:cs="Arial" w:eastAsia="Arial" w:hAnsi="Arial"/>
          <w:sz w:val="16"/>
          <w:szCs w:val="16"/>
          <w:color w:val="auto"/>
        </w:rPr>
        <w:t>”</w:t>
      </w:r>
      <w:r>
        <w:rPr>
          <w:rFonts w:ascii="Arial" w:cs="Arial" w:eastAsia="Arial" w:hAnsi="Arial"/>
          <w:sz w:val="16"/>
          <w:szCs w:val="16"/>
          <w:i w:val="1"/>
          <w:iCs w:val="1"/>
          <w:color w:val="auto"/>
        </w:rPr>
        <w:t>) Lin, Stefan J. Murry, William H. Yeh, Alex Ignatiev, Richard B. Black, Min-Chu Chen, Alan Moore, and Che-Wei Lin and Applied Optoelectronics, Inc.</w:t>
      </w:r>
      <w:r>
        <w:rPr>
          <w:rFonts w:ascii="Arial" w:cs="Arial" w:eastAsia="Arial" w:hAnsi="Arial"/>
          <w:sz w:val="16"/>
          <w:szCs w:val="16"/>
          <w:color w:val="auto"/>
        </w:rPr>
        <w:t>, No. 4:18-cv-02713 alleging breaches of fiduciary duties, unjust enrichment,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violations of Section 14(a) of the Exchange Act based on similar factual allegations as in the securities class action captioned </w:t>
      </w:r>
      <w:r>
        <w:rPr>
          <w:rFonts w:ascii="Arial" w:cs="Arial" w:eastAsia="Arial" w:hAnsi="Arial"/>
          <w:sz w:val="16"/>
          <w:szCs w:val="16"/>
          <w:i w:val="1"/>
          <w:iCs w:val="1"/>
          <w:color w:val="auto"/>
        </w:rPr>
        <w:t>Mona Abouzied v. Applied</w:t>
      </w:r>
      <w:r>
        <w:rPr>
          <w:rFonts w:ascii="Arial" w:cs="Arial" w:eastAsia="Arial" w:hAnsi="Arial"/>
          <w:sz w:val="16"/>
          <w:szCs w:val="16"/>
          <w:color w:val="auto"/>
        </w:rPr>
        <w:t xml:space="preserve"> </w:t>
      </w:r>
      <w:r>
        <w:rPr>
          <w:rFonts w:ascii="Arial" w:cs="Arial" w:eastAsia="Arial" w:hAnsi="Arial"/>
          <w:sz w:val="16"/>
          <w:szCs w:val="16"/>
          <w:i w:val="1"/>
          <w:iCs w:val="1"/>
          <w:color w:val="auto"/>
        </w:rPr>
        <w:t>Optoelectronics, Inc., Chih-Hsiang (Thompson) Lin, and Stefan J. Murry, et al.</w:t>
      </w:r>
      <w:r>
        <w:rPr>
          <w:rFonts w:ascii="Arial" w:cs="Arial" w:eastAsia="Arial" w:hAnsi="Arial"/>
          <w:sz w:val="16"/>
          <w:szCs w:val="16"/>
          <w:color w:val="auto"/>
        </w:rPr>
        <w:t>, Case No. 4:17-cv-02399, which had been previously filed against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and was dismissed following a settlement in 2020. On December 18, 2018, a second derivative complaint was filed styled </w:t>
      </w:r>
      <w:r>
        <w:rPr>
          <w:rFonts w:ascii="Arial" w:cs="Arial" w:eastAsia="Arial" w:hAnsi="Arial"/>
          <w:sz w:val="16"/>
          <w:szCs w:val="16"/>
          <w:i w:val="1"/>
          <w:iCs w:val="1"/>
          <w:color w:val="auto"/>
        </w:rPr>
        <w:t>Yiu Kwong Ng v.Chih-Hsiang (</w:t>
      </w:r>
      <w:r>
        <w:rPr>
          <w:rFonts w:ascii="Arial" w:cs="Arial" w:eastAsia="Arial" w:hAnsi="Arial"/>
          <w:sz w:val="16"/>
          <w:szCs w:val="16"/>
          <w:color w:val="auto"/>
        </w:rPr>
        <w:t>“</w:t>
      </w:r>
      <w:r>
        <w:rPr>
          <w:rFonts w:ascii="Arial" w:cs="Arial" w:eastAsia="Arial" w:hAnsi="Arial"/>
          <w:sz w:val="16"/>
          <w:szCs w:val="16"/>
          <w:i w:val="1"/>
          <w:iCs w:val="1"/>
          <w:color w:val="auto"/>
        </w:rPr>
        <w:t>Thompson</w:t>
      </w:r>
      <w:r>
        <w:rPr>
          <w:rFonts w:ascii="Arial" w:cs="Arial" w:eastAsia="Arial" w:hAnsi="Arial"/>
          <w:sz w:val="16"/>
          <w:szCs w:val="16"/>
          <w:color w:val="auto"/>
        </w:rPr>
        <w:t>”</w:t>
      </w:r>
      <w:r>
        <w:rPr>
          <w:rFonts w:ascii="Arial" w:cs="Arial" w:eastAsia="Arial" w:hAnsi="Arial"/>
          <w:sz w:val="16"/>
          <w:szCs w:val="16"/>
          <w:i w:val="1"/>
          <w:iCs w:val="1"/>
          <w:color w:val="auto"/>
        </w:rPr>
        <w:t>) Lin, Stefan J. Murry, William H. Yeh, Alex Ignatiev, Richard B. Black, Min-Chu Chen, Alan Moore, and Che-Wei Lin and Applied Optoelectronics, Inc.</w:t>
      </w:r>
      <w:r>
        <w:rPr>
          <w:rFonts w:ascii="Arial" w:cs="Arial" w:eastAsia="Arial" w:hAnsi="Arial"/>
          <w:sz w:val="16"/>
          <w:szCs w:val="16"/>
          <w:color w:val="auto"/>
        </w:rPr>
        <w:t>, No. 4:18-cv-4751 alleging the same causes of actions as the</w:t>
      </w:r>
      <w:r>
        <w:rPr>
          <w:rFonts w:ascii="Arial" w:cs="Arial" w:eastAsia="Arial" w:hAnsi="Arial"/>
          <w:sz w:val="16"/>
          <w:szCs w:val="16"/>
          <w:i w:val="1"/>
          <w:iCs w:val="1"/>
          <w:color w:val="auto"/>
        </w:rPr>
        <w:t xml:space="preserve"> Jin </w:t>
      </w:r>
      <w:r>
        <w:rPr>
          <w:rFonts w:ascii="Arial" w:cs="Arial" w:eastAsia="Arial" w:hAnsi="Arial"/>
          <w:sz w:val="16"/>
          <w:szCs w:val="16"/>
          <w:color w:val="auto"/>
        </w:rPr>
        <w:t>complaint and additional factual allegations regarding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announcement on September 28, 2018 that we had “identified an issue with a small percentage of 25G lasers within a specific customer environment.” On January 11, 2019, the court consolidated these two derivative actions, and on January 15, 2019, the court entered an order staying the actions pending the resolution of the securities class actions. On June 24, 2020, the plaintiffs filed a notice that the stay of proceedings had been terminated, and on July 2, 2020, the parties filed a Joint Stipulation and Proposed Scheduling Order. The court entered the stipulated scheduling order on the same date, under which Defendants were required to file and serve their response or responsive pleading to the complaint by August 3, 2020. By agreement of the parties, the Court subsequently extended the deadline for Defendants to file and serve their response or responsive pleading to December 2, 2020. On December 2, 2020, Defendants filed their motion to dismiss the consolidated derivative complaint. On December 7, 2020, Plaintiffs filed a notice alerting the Court that they were intending to file an amended complaint, which was subsequently filed by Plaintiffs on January 13, 2021. Defendants filed a motion to dismiss all claims on March 1, 2021. Plaintiffs’ response deadline is May 3, 2021. On June 25, 2021, the parties filed a stipulation indicating that they had reached a settlement-in-principle of the action. On June 28, 2021, the Court stayed all deadlines in the action for 30 days to allow the parties to finalize the settlement. The deadline was extended to August 13, 2021. At this stage, we are not yet able to determine the likelihood of loss, if any, arising from this matter.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repaid its revolving bank line of credit with Truist Bank in the amount of $19.4 million in July 2021.</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80" w:firstLine="645"/>
        <w:spacing w:after="0" w:line="295"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June 30, 2021 and the audited consolidated financial statements and notes thereto and management’s discussion and analysis of financial condition and results of operations for the fiscal year ended December 31, 2020 included in our Annual Report. References to “Applied Optoelectronics,” “we,” “our” and “us” are to Applied Optoelectronics, Inc. and its subsidiaries unless otherwise specified or the context otherwise requires.</w:t>
      </w:r>
    </w:p>
    <w:p>
      <w:pPr>
        <w:spacing w:after="0" w:line="159" w:lineRule="exact"/>
        <w:rPr>
          <w:sz w:val="20"/>
          <w:szCs w:val="20"/>
          <w:color w:val="auto"/>
        </w:rPr>
      </w:pPr>
    </w:p>
    <w:p>
      <w:pPr>
        <w:ind w:right="20" w:firstLine="645"/>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81" w:lineRule="exact"/>
        <w:rPr>
          <w:sz w:val="20"/>
          <w:szCs w:val="20"/>
          <w:color w:val="auto"/>
        </w:rPr>
      </w:pPr>
    </w:p>
    <w:p>
      <w:pPr>
        <w:ind w:right="20" w:firstLine="645"/>
        <w:spacing w:after="0" w:line="269"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2020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ind w:firstLine="645"/>
        <w:spacing w:after="0" w:line="269" w:lineRule="auto"/>
        <w:rPr>
          <w:sz w:val="20"/>
          <w:szCs w:val="20"/>
          <w:color w:val="auto"/>
        </w:rPr>
      </w:pPr>
      <w:r>
        <w:rPr>
          <w:rFonts w:ascii="Arial" w:cs="Arial" w:eastAsia="Arial" w:hAnsi="Arial"/>
          <w:sz w:val="17"/>
          <w:szCs w:val="17"/>
          <w:color w:val="auto"/>
        </w:rPr>
        <w:t>We are a leading, vertically integrated provider of fiber-optic networking products. We target four networking end-markets: internet data centers, CATV, telecom and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82" w:lineRule="exact"/>
        <w:rPr>
          <w:sz w:val="20"/>
          <w:szCs w:val="20"/>
          <w:color w:val="auto"/>
        </w:rPr>
      </w:pPr>
    </w:p>
    <w:p>
      <w:pPr>
        <w:ind w:firstLine="645"/>
        <w:spacing w:after="0" w:line="269" w:lineRule="auto"/>
        <w:rPr>
          <w:sz w:val="20"/>
          <w:szCs w:val="20"/>
          <w:color w:val="auto"/>
        </w:rPr>
      </w:pPr>
      <w:r>
        <w:rPr>
          <w:rFonts w:ascii="Arial" w:cs="Arial" w:eastAsia="Arial" w:hAnsi="Arial"/>
          <w:sz w:val="17"/>
          <w:szCs w:val="17"/>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100 Gbps and above, as well as the movement to open internet data center architectures and the increasing use of in-house equipment design among leading internet companies. Within the CATV market, we benefit from a number of ongoing trends including the build-out of CATV infrastructure in the US and other countries, the move to higher bandwidth networks among CATV service providers and the outsourcing of system design among CATV networking equipment companies. In the FTTH market, we benefit from continuing PON deployments and system upgrades among telecom service providers. In the telecom market, we benefit from deployment of new high-speed fiber-optic networks by telecom network operators, including 5G networks.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right="40" w:firstLine="645"/>
        <w:spacing w:after="0" w:line="292"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w:t>
      </w:r>
    </w:p>
    <w:p>
      <w:pPr>
        <w:spacing w:after="0" w:line="162" w:lineRule="exact"/>
        <w:rPr>
          <w:sz w:val="20"/>
          <w:szCs w:val="20"/>
          <w:color w:val="auto"/>
        </w:rPr>
      </w:pPr>
    </w:p>
    <w:p>
      <w:pPr>
        <w:ind w:right="80" w:firstLine="645"/>
        <w:spacing w:after="0" w:line="268" w:lineRule="auto"/>
        <w:rPr>
          <w:sz w:val="20"/>
          <w:szCs w:val="20"/>
          <w:color w:val="auto"/>
        </w:rPr>
      </w:pPr>
      <w:r>
        <w:rPr>
          <w:rFonts w:ascii="Arial" w:cs="Arial" w:eastAsia="Arial" w:hAnsi="Arial"/>
          <w:sz w:val="17"/>
          <w:szCs w:val="17"/>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79" w:lineRule="exact"/>
        <w:rPr>
          <w:sz w:val="20"/>
          <w:szCs w:val="20"/>
          <w:color w:val="auto"/>
        </w:rPr>
      </w:pPr>
    </w:p>
    <w:p>
      <w:pPr>
        <w:ind w:firstLine="645"/>
        <w:spacing w:after="0" w:line="253" w:lineRule="auto"/>
        <w:rPr>
          <w:sz w:val="20"/>
          <w:szCs w:val="20"/>
          <w:color w:val="auto"/>
        </w:rPr>
      </w:pPr>
      <w:r>
        <w:rPr>
          <w:rFonts w:ascii="Arial" w:cs="Arial" w:eastAsia="Arial" w:hAnsi="Arial"/>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executive offices are located at 13139 Jess Pirtle Blvd., Sugar Land, TX 77478, and our telephone number is (281) 295-1800.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7" w:lineRule="exact"/>
        <w:rPr>
          <w:sz w:val="20"/>
          <w:szCs w:val="20"/>
          <w:color w:val="auto"/>
        </w:rPr>
      </w:pPr>
    </w:p>
    <w:p>
      <w:pPr>
        <w:ind w:right="60" w:firstLine="645"/>
        <w:spacing w:after="0" w:line="287" w:lineRule="auto"/>
        <w:rPr>
          <w:sz w:val="20"/>
          <w:szCs w:val="20"/>
          <w:color w:val="auto"/>
        </w:rPr>
      </w:pPr>
      <w:r>
        <w:rPr>
          <w:rFonts w:ascii="Arial" w:cs="Arial" w:eastAsia="Arial" w:hAnsi="Arial"/>
          <w:sz w:val="16"/>
          <w:szCs w:val="16"/>
          <w:color w:val="auto"/>
        </w:rPr>
        <w:t>We are subject to risks and uncertainties as a result of the COVID-19 pandemic. The extent of the impact of the COVID-19 pandemic on our business is highly uncertain and difficult to predict as coronavirus continues to spread around the world. In March 2020, we instituted travel restrictions and implemented sanitation and disinfection procedures to safeguard the health and safety of our employees which continue today. Recently, we began allowing certain employee travel, but continue strict sanitation procedures in our facilities. With increased vaccinations and the potential significant reduction of infections, we have implemented procedures for a safe return to the office environment for all of our employees. However, the spread of COVID-19 may still impact our supply chain operations through restrictions, reduced capacity and shutdown of business activities by suppliers whom we rely on for sourcing components and materials and third-party partners whom we rely on for manufacturing, warehousing and logistics services. Although demand for many of our products has been strong in the short-term as subscribers seek more bandwidth, customers’ purchasing decisions over the long-term may be impacted by the pandemic and its impact on the economy, which could in turn impact our revenue and results of operations. The extent to which the COVID-19 pandemic may materially impact our financial condition, liquidity or results of operations is therefore uncertain.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ind w:right="200" w:firstLine="645"/>
        <w:spacing w:after="0" w:line="275" w:lineRule="auto"/>
        <w:rPr>
          <w:sz w:val="20"/>
          <w:szCs w:val="20"/>
          <w:color w:val="auto"/>
        </w:rPr>
      </w:pPr>
      <w:r>
        <w:rPr>
          <w:rFonts w:ascii="Arial" w:cs="Arial" w:eastAsia="Arial" w:hAnsi="Arial"/>
          <w:sz w:val="18"/>
          <w:szCs w:val="18"/>
          <w:color w:val="auto"/>
        </w:rPr>
        <w:t>The following table set forth our consolidated results of operations for the periods presented and as a percentage of our revenue for those periods (in thousands, except percentages):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Three months ended</w:t>
            </w:r>
          </w:p>
        </w:tc>
        <w:tc>
          <w:tcPr>
            <w:tcW w:w="140" w:type="dxa"/>
            <w:vAlign w:val="bottom"/>
          </w:tcPr>
          <w:p>
            <w:pPr>
              <w:spacing w:after="0"/>
              <w:rPr>
                <w:sz w:val="18"/>
                <w:szCs w:val="18"/>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tcPr>
          <w:p>
            <w:pPr>
              <w:spacing w:after="0"/>
              <w:rPr>
                <w:sz w:val="18"/>
                <w:szCs w:val="18"/>
                <w:color w:val="auto"/>
              </w:rPr>
            </w:pPr>
          </w:p>
        </w:tc>
        <w:tc>
          <w:tcPr>
            <w:tcW w:w="21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6"/>
              </w:rPr>
              <w:t>Six months ended</w:t>
            </w:r>
          </w:p>
        </w:tc>
        <w:tc>
          <w:tcPr>
            <w:tcW w:w="180" w:type="dxa"/>
            <w:vAlign w:val="bottom"/>
          </w:tcPr>
          <w:p>
            <w:pPr>
              <w:spacing w:after="0"/>
              <w:rPr>
                <w:sz w:val="18"/>
                <w:szCs w:val="18"/>
                <w:color w:val="auto"/>
              </w:rPr>
            </w:pPr>
          </w:p>
        </w:tc>
        <w:tc>
          <w:tcPr>
            <w:tcW w:w="20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5"/>
              </w:rPr>
              <w:t>June 30,</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b w:val="1"/>
                <w:bCs w:val="1"/>
                <w:color w:val="auto"/>
                <w:w w:val="89"/>
              </w:rPr>
              <w:t>2021</w:t>
            </w:r>
          </w:p>
        </w:tc>
        <w:tc>
          <w:tcPr>
            <w:tcW w:w="5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4"/>
              </w:rPr>
              <w:t>2020</w:t>
            </w:r>
          </w:p>
        </w:tc>
        <w:tc>
          <w:tcPr>
            <w:tcW w:w="5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89"/>
              </w:rPr>
              <w:t>2021</w:t>
            </w:r>
          </w:p>
        </w:tc>
        <w:tc>
          <w:tcPr>
            <w:tcW w:w="5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9"/>
              </w:rPr>
              <w:t>2020</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54,189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65,222</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103,890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105,689</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43,411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51,486</w:t>
            </w:r>
          </w:p>
        </w:tc>
        <w:tc>
          <w:tcPr>
            <w:tcW w:w="3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82,393</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79.3%</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85,615</w:t>
            </w: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13,736</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21,497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20,074</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9"/>
              </w:rPr>
              <w:t>Research and development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10,803</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21,842</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21,361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2,832</w:t>
            </w:r>
          </w:p>
        </w:tc>
        <w:tc>
          <w:tcPr>
            <w:tcW w:w="3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3,430</w:t>
            </w:r>
          </w:p>
        </w:tc>
        <w:tc>
          <w:tcPr>
            <w:tcW w:w="3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5,792</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6,366</w:t>
            </w: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10,611</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21,550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21,249</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24,427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24,844</w:t>
            </w:r>
          </w:p>
        </w:tc>
        <w:tc>
          <w:tcPr>
            <w:tcW w:w="3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49,184</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48,976</w:t>
            </w: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(13,649)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(11,108)</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(27,687)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(28,902)</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(1,367)</w:t>
            </w:r>
          </w:p>
        </w:tc>
        <w:tc>
          <w:tcPr>
            <w:tcW w:w="3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(1,489)</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(2,798)</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(2,944)</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6,797</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6,628</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0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Total other income</w:t>
            </w: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20" w:type="dxa"/>
            <w:vAlign w:val="bottom"/>
            <w:gridSpan w:val="2"/>
          </w:tcPr>
          <w:p>
            <w:pPr>
              <w:spacing w:after="0"/>
              <w:rPr>
                <w:sz w:val="20"/>
                <w:szCs w:val="20"/>
                <w:color w:val="auto"/>
              </w:rPr>
            </w:pPr>
            <w:r>
              <w:rPr>
                <w:rFonts w:ascii="Arial" w:cs="Arial" w:eastAsia="Arial" w:hAnsi="Arial"/>
                <w:sz w:val="18"/>
                <w:szCs w:val="18"/>
                <w:color w:val="auto"/>
              </w:rPr>
              <w:t>(expense), net</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5,446</w:t>
            </w:r>
          </w:p>
        </w:tc>
        <w:tc>
          <w:tcPr>
            <w:tcW w:w="3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(468)</w:t>
            </w:r>
          </w:p>
        </w:tc>
        <w:tc>
          <w:tcPr>
            <w:tcW w:w="3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3,862</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(1,519)</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(11,576)</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(23,825)</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(30,421)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(7,024)</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(4,976)</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(8,203)</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(18,600)</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(23,825)</w:t>
            </w: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(35,397)</w:t>
            </w: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Financial Results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ind w:right="220" w:firstLine="645"/>
        <w:spacing w:after="0" w:line="258"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telecom and FTTH markets. We derive a significant portion of our revenue from our top ten customers, and we anticipate that we will continue to do so for the foreseeable future. The following charts provide the revenue contribution from each of the markets we served for the three and six months ended June 30, 2021 and 2020 (in thousands, except percentages):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8"/>
                <w:szCs w:val="18"/>
                <w:b w:val="1"/>
                <w:bCs w:val="1"/>
                <w:color w:val="auto"/>
                <w:w w:val="92"/>
              </w:rPr>
              <w:t>Three months ended June 30,</w:t>
            </w:r>
          </w:p>
        </w:tc>
        <w:tc>
          <w:tcPr>
            <w:tcW w:w="1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0"/>
        </w:trPr>
        <w:tc>
          <w:tcPr>
            <w:tcW w:w="2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280"/>
              <w:spacing w:after="0" w:line="190"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3"/>
        </w:trPr>
        <w:tc>
          <w:tcPr>
            <w:tcW w:w="2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08"/>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12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22,392</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52,533</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(30,141)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CATV</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27,599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6,141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21,458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349.4%</w:t>
            </w: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6,170</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FTTH</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0"/>
        </w:trPr>
        <w:tc>
          <w:tcPr>
            <w:tcW w:w="218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8"/>
        </w:trPr>
        <w:tc>
          <w:tcPr>
            <w:tcW w:w="218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12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54,189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65,222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(11,033)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2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0"/>
        </w:trPr>
        <w:tc>
          <w:tcPr>
            <w:tcW w:w="2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w w:val="96"/>
              </w:rPr>
              <w:t>Six months ended June 30,</w:t>
            </w:r>
          </w:p>
        </w:tc>
        <w:tc>
          <w:tcPr>
            <w:tcW w:w="11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0"/>
        </w:trPr>
        <w:tc>
          <w:tcPr>
            <w:tcW w:w="2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00"/>
              <w:spacing w:after="0" w:line="190" w:lineRule="exact"/>
              <w:rPr>
                <w:sz w:val="20"/>
                <w:szCs w:val="20"/>
                <w:color w:val="auto"/>
              </w:rPr>
            </w:pPr>
            <w:r>
              <w:rPr>
                <w:rFonts w:ascii="Arial" w:cs="Arial" w:eastAsia="Arial" w:hAnsi="Arial"/>
                <w:sz w:val="18"/>
                <w:szCs w:val="18"/>
                <w:b w:val="1"/>
                <w:bCs w:val="1"/>
                <w:color w:val="auto"/>
                <w:w w:val="94"/>
              </w:rPr>
              <w:t>% of</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3"/>
        </w:trPr>
        <w:tc>
          <w:tcPr>
            <w:tcW w:w="2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Revenue</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8"/>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12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48,331</w:t>
            </w:r>
          </w:p>
        </w:tc>
        <w:tc>
          <w:tcPr>
            <w:tcW w:w="220" w:type="dxa"/>
            <w:vAlign w:val="bottom"/>
            <w:tcBorders>
              <w:righ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85,797</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(37,466)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CATV</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46,238</w:t>
            </w: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10,364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35,874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346.1%</w:t>
            </w: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220" w:type="dxa"/>
            <w:vAlign w:val="bottom"/>
            <w:tcBorders>
              <w:righ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8,730</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FTTH</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20" w:type="dxa"/>
            <w:vAlign w:val="bottom"/>
            <w:tcBorders>
              <w:righ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2180" w:type="dxa"/>
            <w:vAlign w:val="bottom"/>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8"/>
        </w:trPr>
        <w:tc>
          <w:tcPr>
            <w:tcW w:w="218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100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103,890</w:t>
            </w: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105,689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(1,799)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2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1"/>
        </w:trPr>
        <w:tc>
          <w:tcPr>
            <w:tcW w:w="2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4"/>
        </w:trPr>
        <w:tc>
          <w:tcPr>
            <w:tcW w:w="2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right="120" w:firstLine="645"/>
        <w:spacing w:after="0" w:line="290" w:lineRule="auto"/>
        <w:rPr>
          <w:sz w:val="20"/>
          <w:szCs w:val="20"/>
          <w:color w:val="auto"/>
        </w:rPr>
      </w:pPr>
      <w:r>
        <w:rPr>
          <w:rFonts w:ascii="Arial" w:cs="Arial" w:eastAsia="Arial" w:hAnsi="Arial"/>
          <w:sz w:val="16"/>
          <w:szCs w:val="16"/>
          <w:color w:val="auto"/>
        </w:rPr>
        <w:t>The decrease in revenue during the three and six months ended June 30, 2021 was driven primarily by decrease demand for datacenter segment; this slowdown was related to inventory normalization following the surge in demand that was driven by the shift to working from home early last year. We believe datacenter demand will improve in the second half and beyond. The decreased demand in the datacenter segment was offset by increased demand for CATV products from several existing customers. The increase in demand from CATV multiple-system operators ("MSOs") resulted in strong demand for our CATV products, especially those products that are related to architecture improvements to enable delivery of additional bandwidth to consumers. This increase in bandwidth demand is particularly acute in the upstream direction, and sales of products associated with increased return-path bandwidth were notably strong in the quarter. Based on forecasts and current order bookings, we believe that this CATV demand will likely continue through 2021.</w:t>
      </w:r>
    </w:p>
    <w:p>
      <w:pPr>
        <w:spacing w:after="0" w:line="164" w:lineRule="exact"/>
        <w:rPr>
          <w:sz w:val="20"/>
          <w:szCs w:val="20"/>
          <w:color w:val="auto"/>
        </w:rPr>
      </w:pPr>
    </w:p>
    <w:p>
      <w:pPr>
        <w:ind w:right="160" w:firstLine="645"/>
        <w:spacing w:after="0" w:line="295" w:lineRule="auto"/>
        <w:rPr>
          <w:sz w:val="20"/>
          <w:szCs w:val="20"/>
          <w:color w:val="auto"/>
        </w:rPr>
      </w:pPr>
      <w:r>
        <w:rPr>
          <w:rFonts w:ascii="Arial" w:cs="Arial" w:eastAsia="Arial" w:hAnsi="Arial"/>
          <w:sz w:val="16"/>
          <w:szCs w:val="16"/>
          <w:color w:val="auto"/>
        </w:rPr>
        <w:t>For the three months ended June 30, 2021 and 2020, our top ten customers represented 86.8% and 86.9% of our revenue, respectively. For the six months ended June 30, 2021 and 2020, our top ten customers represented 88.0% and 86.0%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The growth in revenue from our top ten customers in the six months ended June 30, 2021 is primarily due to growth in our CATV segment. We continue to prioritize new customer acquisition and growth of diverse revenue streams.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i w:val="1"/>
                <w:iCs w:val="1"/>
                <w:color w:val="auto"/>
                <w:w w:val="98"/>
              </w:rPr>
              <w:t>Cost of goods sold and gross margin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8"/>
                <w:szCs w:val="18"/>
                <w:b w:val="1"/>
                <w:bCs w:val="1"/>
                <w:color w:val="auto"/>
                <w:w w:val="88"/>
              </w:rPr>
              <w:t>Three months ended June 30,</w:t>
            </w:r>
          </w:p>
        </w:tc>
        <w:tc>
          <w:tcPr>
            <w:tcW w:w="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0"/>
              <w:spacing w:after="0" w:line="190"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75"/>
              </w:rPr>
              <w:t>except percentages)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43,411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51,486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10,778</w:t>
            </w: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13,736</w:t>
            </w: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8"/>
                <w:szCs w:val="18"/>
                <w:b w:val="1"/>
                <w:bCs w:val="1"/>
                <w:color w:val="auto"/>
                <w:w w:val="93"/>
              </w:rPr>
              <w:t>Six months ended June 30,</w:t>
            </w:r>
          </w:p>
        </w:tc>
        <w:tc>
          <w:tcPr>
            <w:tcW w:w="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0"/>
              <w:spacing w:after="0" w:line="190"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75"/>
              </w:rPr>
              <w:t>except percentages)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82,393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85,615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21,497</w:t>
            </w: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20,074</w:t>
            </w: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right="40" w:firstLine="645"/>
        <w:spacing w:after="0" w:line="284" w:lineRule="auto"/>
        <w:rPr>
          <w:sz w:val="20"/>
          <w:szCs w:val="20"/>
          <w:color w:val="auto"/>
        </w:rPr>
      </w:pPr>
      <w:r>
        <w:rPr>
          <w:rFonts w:ascii="Arial" w:cs="Arial" w:eastAsia="Arial" w:hAnsi="Arial"/>
          <w:sz w:val="17"/>
          <w:szCs w:val="17"/>
          <w:color w:val="auto"/>
        </w:rPr>
        <w:t>Cost of goods sold decreased by $8.1 million, or 15.7%, for the three months ended June 30, 2021 as compared to the three months ended June 30, 2020, primarily due to 16.9% decrease in sales over the prior year. Cost of goods sold decreased by $3.2 million, or 3.8%, for the six months ended June 30, 2021 as compared to six months ended June 30, 2021, primarily due to 1.7% decrease in sales over the prior year.</w:t>
      </w:r>
    </w:p>
    <w:p>
      <w:pPr>
        <w:spacing w:after="0" w:line="166" w:lineRule="exact"/>
        <w:rPr>
          <w:sz w:val="20"/>
          <w:szCs w:val="20"/>
          <w:color w:val="auto"/>
        </w:rPr>
      </w:pPr>
    </w:p>
    <w:p>
      <w:pPr>
        <w:ind w:right="60" w:firstLine="645"/>
        <w:spacing w:after="0" w:line="255" w:lineRule="auto"/>
        <w:rPr>
          <w:sz w:val="20"/>
          <w:szCs w:val="20"/>
          <w:color w:val="auto"/>
        </w:rPr>
      </w:pPr>
      <w:r>
        <w:rPr>
          <w:rFonts w:ascii="Arial" w:cs="Arial" w:eastAsia="Arial" w:hAnsi="Arial"/>
          <w:sz w:val="18"/>
          <w:szCs w:val="18"/>
          <w:color w:val="auto"/>
        </w:rPr>
        <w:t>Gross margin decreased for the three months ended June 30, 2021 as compared to the three months ended June 30, 2020 primarily as a result of changes in the mix of products in our datacenter and CATV segment. In particular, we saw an increase in sales of certain CATV products relative to sales of transceivers. This product mix resulted in overall changes in gross margin. Gross margin increased for the six months ended June 30, 2021 as compared to the six months ended June 30, 2020 primarily due to production inefficiencies, higher costs of certain raw materials in prior year at the beginning of the COVID-19 pandemic.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318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8"/>
                <w:szCs w:val="18"/>
                <w:b w:val="1"/>
                <w:bCs w:val="1"/>
                <w:color w:val="auto"/>
                <w:w w:val="88"/>
              </w:rPr>
              <w:t>Three months ended June 30,</w:t>
            </w: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0"/>
              <w:spacing w:after="0" w:line="190" w:lineRule="exact"/>
              <w:rPr>
                <w:sz w:val="20"/>
                <w:szCs w:val="20"/>
                <w:color w:val="auto"/>
              </w:rPr>
            </w:pPr>
            <w:r>
              <w:rPr>
                <w:rFonts w:ascii="Arial" w:cs="Arial" w:eastAsia="Arial" w:hAnsi="Arial"/>
                <w:sz w:val="18"/>
                <w:szCs w:val="18"/>
                <w:b w:val="1"/>
                <w:bCs w:val="1"/>
                <w:color w:val="auto"/>
                <w:w w:val="99"/>
              </w:rPr>
              <w:t>% of</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90"/>
              <w:spacing w:after="0" w:line="190"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revenue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revenue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7"/>
              </w:rPr>
              <w:t>(in thousands,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75"/>
              </w:rPr>
              <w:t>except percentages)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10,803</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318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3,430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(598)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10,611</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24,844</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600"/>
              <w:spacing w:after="0"/>
              <w:rPr>
                <w:sz w:val="20"/>
                <w:szCs w:val="20"/>
                <w:color w:val="auto"/>
              </w:rPr>
            </w:pPr>
            <w:r>
              <w:rPr>
                <w:rFonts w:ascii="Arial" w:cs="Arial" w:eastAsia="Arial" w:hAnsi="Arial"/>
                <w:sz w:val="18"/>
                <w:szCs w:val="18"/>
                <w:b w:val="1"/>
                <w:bCs w:val="1"/>
                <w:color w:val="auto"/>
                <w:w w:val="92"/>
              </w:rPr>
              <w:t>Six months ended June 30,</w:t>
            </w: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0"/>
              <w:spacing w:after="0" w:line="190" w:lineRule="exact"/>
              <w:rPr>
                <w:sz w:val="20"/>
                <w:szCs w:val="20"/>
                <w:color w:val="auto"/>
              </w:rPr>
            </w:pPr>
            <w:r>
              <w:rPr>
                <w:rFonts w:ascii="Arial" w:cs="Arial" w:eastAsia="Arial" w:hAnsi="Arial"/>
                <w:sz w:val="18"/>
                <w:szCs w:val="18"/>
                <w:b w:val="1"/>
                <w:bCs w:val="1"/>
                <w:color w:val="auto"/>
                <w:w w:val="99"/>
              </w:rPr>
              <w:t>% of</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90"/>
              <w:spacing w:after="0" w:line="190"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revenue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revenue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7"/>
              </w:rPr>
              <w:t>(in thousands,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75"/>
              </w:rPr>
              <w:t>except percentages)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21,361</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5"/>
        </w:trPr>
        <w:tc>
          <w:tcPr>
            <w:tcW w:w="318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6,366</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(574)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21,249</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49,184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48,976</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3" w:lineRule="exact"/>
        <w:rPr>
          <w:sz w:val="20"/>
          <w:szCs w:val="20"/>
          <w:color w:val="auto"/>
        </w:rPr>
      </w:pPr>
    </w:p>
    <w:p>
      <w:pPr>
        <w:ind w:right="160" w:firstLine="645"/>
        <w:spacing w:after="0" w:line="254" w:lineRule="auto"/>
        <w:rPr>
          <w:sz w:val="20"/>
          <w:szCs w:val="20"/>
          <w:color w:val="auto"/>
        </w:rPr>
      </w:pPr>
      <w:r>
        <w:rPr>
          <w:rFonts w:ascii="Arial" w:cs="Arial" w:eastAsia="Arial" w:hAnsi="Arial"/>
          <w:sz w:val="18"/>
          <w:szCs w:val="18"/>
          <w:color w:val="auto"/>
        </w:rPr>
        <w:t>Research and development expense slightly increased for the three months ended June 30, 2021 as compared to the three months ended June 30, 2020. Research and development expense increased by $0.5 million, or 2.3% for the six months ended June 30, 2021 as compared to the six months ended June 30, 2020. Research and development costs consist of R&amp;D work orders, R&amp;D material usage and other project related costs related to 100 Gbps, 200/400 Gbps data center products, DOCSIS 3.1 capable CATV products and other new product development, and depreciation expense resulting from R&amp;D equipment investments. These increases were primarily due to an increase in costs from R&amp;D work orders and repair and maintenance as a result of winter storm Uri.</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3" w:lineRule="exact"/>
        <w:rPr>
          <w:sz w:val="20"/>
          <w:szCs w:val="20"/>
          <w:color w:val="auto"/>
        </w:rPr>
      </w:pPr>
    </w:p>
    <w:p>
      <w:pPr>
        <w:ind w:right="20" w:firstLine="645"/>
        <w:spacing w:after="0" w:line="310" w:lineRule="auto"/>
        <w:rPr>
          <w:sz w:val="20"/>
          <w:szCs w:val="20"/>
          <w:color w:val="auto"/>
        </w:rPr>
      </w:pPr>
      <w:r>
        <w:rPr>
          <w:rFonts w:ascii="Arial" w:cs="Arial" w:eastAsia="Arial" w:hAnsi="Arial"/>
          <w:sz w:val="16"/>
          <w:szCs w:val="16"/>
          <w:color w:val="auto"/>
        </w:rPr>
        <w:t>Sales and marketing expense decreased by $0.6 million, or 17.4% for the three months ended June 30, 2021 as compared to the three months ended June 30, 2020. Selling and marketing expense decreased by 0.6 million, or 9.0% for the six months ended June 30, 2021 as compared to the six months ended June 30, 2020. These decreases were primarily due to decrease in commission expenses and shipping and handling charges.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3" w:lineRule="exact"/>
        <w:rPr>
          <w:sz w:val="20"/>
          <w:szCs w:val="20"/>
          <w:color w:val="auto"/>
        </w:rPr>
      </w:pPr>
    </w:p>
    <w:p>
      <w:pPr>
        <w:ind w:right="160" w:firstLine="645"/>
        <w:spacing w:after="0" w:line="277" w:lineRule="auto"/>
        <w:rPr>
          <w:sz w:val="20"/>
          <w:szCs w:val="20"/>
          <w:color w:val="auto"/>
        </w:rPr>
      </w:pPr>
      <w:r>
        <w:rPr>
          <w:rFonts w:ascii="Arial" w:cs="Arial" w:eastAsia="Arial" w:hAnsi="Arial"/>
          <w:sz w:val="17"/>
          <w:szCs w:val="17"/>
          <w:color w:val="auto"/>
        </w:rPr>
        <w:t>General and administrative expense slightly increased for the three months ended June 30, 2021 compared to the three months ended June 30, 2020. General and administrative expense increased by $0.3 million, or 1.4% for the six months ended June 30, 2021 compared to the six months ended June 30, 2020. These increases were primarily due to expense related to winter storm Uri. These increases were partially offset by a decrease in personnel-related costs, share-based compensation expense and professional service fees.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3120" w:type="dxa"/>
            <w:vAlign w:val="bottom"/>
            <w:gridSpan w:val="2"/>
          </w:tcPr>
          <w:p>
            <w:pPr>
              <w:spacing w:after="0"/>
              <w:rPr>
                <w:sz w:val="20"/>
                <w:szCs w:val="20"/>
                <w:color w:val="auto"/>
              </w:rPr>
            </w:pPr>
            <w:r>
              <w:rPr>
                <w:rFonts w:ascii="Arial" w:cs="Arial" w:eastAsia="Arial" w:hAnsi="Arial"/>
                <w:sz w:val="18"/>
                <w:szCs w:val="18"/>
                <w:i w:val="1"/>
                <w:iCs w:val="1"/>
                <w:color w:val="auto"/>
              </w:rPr>
              <w:t>Other income (expense), net</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8"/>
                <w:szCs w:val="18"/>
                <w:b w:val="1"/>
                <w:bCs w:val="1"/>
                <w:color w:val="auto"/>
                <w:w w:val="88"/>
              </w:rPr>
              <w:t>Three months ended June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0"/>
              <w:spacing w:after="0" w:line="190"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(1,489)</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974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20" w:type="dxa"/>
            <w:vAlign w:val="bottom"/>
            <w:gridSpan w:val="2"/>
          </w:tcPr>
          <w:p>
            <w:pPr>
              <w:ind w:left="16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5,914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(1263.7)%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8"/>
                <w:szCs w:val="18"/>
                <w:b w:val="1"/>
                <w:bCs w:val="1"/>
                <w:color w:val="auto"/>
                <w:w w:val="93"/>
              </w:rPr>
              <w:t>Six months ended June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0"/>
              <w:spacing w:after="0" w:line="190"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0"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(2,944)</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1,231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20" w:type="dxa"/>
            <w:vAlign w:val="bottom"/>
            <w:gridSpan w:val="2"/>
          </w:tcPr>
          <w:p>
            <w:pPr>
              <w:ind w:left="16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5,381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income decreased slightly for the three and six months ended June 30, 2021 compared to the three and six months ended June 30,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changes are similar to expected rates of fluctuation with the interest rates and cash balances.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decreased slightly for the three and six months ended June 30, 2021 compared to the three and six months ended June 30,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due to lower average debt balances during the period.</w:t>
      </w:r>
    </w:p>
    <w:p>
      <w:pPr>
        <w:spacing w:after="0" w:line="208" w:lineRule="exact"/>
        <w:rPr>
          <w:sz w:val="20"/>
          <w:szCs w:val="20"/>
          <w:color w:val="auto"/>
        </w:rPr>
      </w:pPr>
    </w:p>
    <w:p>
      <w:pPr>
        <w:ind w:right="60" w:firstLine="645"/>
        <w:spacing w:after="0" w:line="258" w:lineRule="auto"/>
        <w:rPr>
          <w:sz w:val="20"/>
          <w:szCs w:val="20"/>
          <w:color w:val="auto"/>
        </w:rPr>
      </w:pPr>
      <w:r>
        <w:rPr>
          <w:rFonts w:ascii="Arial" w:cs="Arial" w:eastAsia="Arial" w:hAnsi="Arial"/>
          <w:sz w:val="18"/>
          <w:szCs w:val="18"/>
          <w:color w:val="auto"/>
        </w:rPr>
        <w:t>Other income (expense), net increased by $5.8 million or 597.8% for the three months ended June 30, 2021 as compared to the three months ended June 30, 2020. Other income (expense), net increased by $5.4 million, or 438.4% for the six months ended June 30, 2021 as compared to the six months ended June 30, 2020. The increase in other income during the quarter is primarily due to forgiveness by the SBA of the Company's PPP Loan forgiveness application for the entire PPP Loan balance of $6.23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ind w:left="660"/>
              <w:spacing w:after="0"/>
              <w:rPr>
                <w:sz w:val="20"/>
                <w:szCs w:val="20"/>
                <w:color w:val="auto"/>
              </w:rPr>
            </w:pPr>
            <w:r>
              <w:rPr>
                <w:rFonts w:ascii="Arial" w:cs="Arial" w:eastAsia="Arial" w:hAnsi="Arial"/>
                <w:sz w:val="18"/>
                <w:szCs w:val="18"/>
                <w:i w:val="1"/>
                <w:iCs w:val="1"/>
                <w:color w:val="auto"/>
              </w:rPr>
              <w:t>Benefit (provision) for income taxes</w:t>
            </w: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0"/>
        </w:trPr>
        <w:tc>
          <w:tcPr>
            <w:tcW w:w="4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w w:val="88"/>
              </w:rPr>
              <w:t>Three months ended June 30,</w:t>
            </w: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8"/>
        </w:trPr>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8"/>
        </w:trPr>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5"/>
              </w:rPr>
              <w:t>(in thousands,</w:t>
            </w:r>
          </w:p>
        </w:tc>
        <w:tc>
          <w:tcPr>
            <w:tcW w:w="19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80"/>
              </w:rPr>
              <w:t>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2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(7,024)</w:t>
            </w:r>
          </w:p>
        </w:tc>
        <w:tc>
          <w:tcPr>
            <w:tcW w:w="1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7,024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430"/>
        </w:trPr>
        <w:tc>
          <w:tcPr>
            <w:tcW w:w="4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w w:val="92"/>
              </w:rPr>
              <w:t>Six months ended June 30,</w:t>
            </w: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8"/>
        </w:trPr>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8"/>
        </w:trPr>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5"/>
              </w:rPr>
              <w:t>(in thousands,</w:t>
            </w:r>
          </w:p>
        </w:tc>
        <w:tc>
          <w:tcPr>
            <w:tcW w:w="19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80"/>
              </w:rPr>
              <w:t>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2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(4,976)</w:t>
            </w:r>
          </w:p>
        </w:tc>
        <w:tc>
          <w:tcPr>
            <w:tcW w:w="1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4,976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1" w:lineRule="exact"/>
        <w:rPr>
          <w:sz w:val="20"/>
          <w:szCs w:val="20"/>
          <w:color w:val="auto"/>
        </w:rPr>
      </w:pPr>
    </w:p>
    <w:p>
      <w:pPr>
        <w:ind w:right="60" w:firstLine="645"/>
        <w:spacing w:after="0" w:line="295" w:lineRule="auto"/>
        <w:rPr>
          <w:sz w:val="20"/>
          <w:szCs w:val="20"/>
          <w:color w:val="auto"/>
        </w:rPr>
      </w:pPr>
      <w:r>
        <w:rPr>
          <w:rFonts w:ascii="Arial" w:cs="Arial" w:eastAsia="Arial" w:hAnsi="Arial"/>
          <w:sz w:val="16"/>
          <w:szCs w:val="16"/>
          <w:color w:val="auto"/>
        </w:rPr>
        <w:t>The Company’s effective tax rate for the three months ended June 30, 2021 and 2020 wa s 0% and 258.2%, respectively. For the three months ended June 30, 2021, the effective tax rate varied from the federal statutory rate of 21% primarily due to the benefit of the nontaxable PPP loan forgiveness, offset by the change of the valuation allowance on federal, state, Taiwan, and China deferred tax assets ("DTA"). For the three months ended June 30, 2020, the effective tax rate varies from the federal statutory rate of 21% primarily due to the level and mix of earnings amount tax jurisdictions, and the change of the valuation allowance on the US and state DTA, and the recording of a valuation allowance on Taiwan deferred tax assets.</w:t>
      </w:r>
    </w:p>
    <w:p>
      <w:pPr>
        <w:spacing w:after="0" w:line="159" w:lineRule="exact"/>
        <w:rPr>
          <w:sz w:val="20"/>
          <w:szCs w:val="20"/>
          <w:color w:val="auto"/>
        </w:rPr>
      </w:pPr>
    </w:p>
    <w:p>
      <w:pPr>
        <w:ind w:right="160" w:firstLine="645"/>
        <w:spacing w:after="0" w:line="255" w:lineRule="auto"/>
        <w:rPr>
          <w:sz w:val="20"/>
          <w:szCs w:val="20"/>
          <w:color w:val="auto"/>
        </w:rPr>
      </w:pPr>
      <w:r>
        <w:rPr>
          <w:rFonts w:ascii="Arial" w:cs="Arial" w:eastAsia="Arial" w:hAnsi="Arial"/>
          <w:sz w:val="18"/>
          <w:szCs w:val="18"/>
          <w:color w:val="auto"/>
        </w:rPr>
        <w:t>The Company’s effective tax rate for the six months ended June 30, 2021 and 2020 was 0% and (16.25%), respectively. For the six months ended June 30,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effective tax rate varied from the federal statutory rate of 21% primarily due to the change of the valuation allowance on federal, state, Taiwan, and China DTA. For the six months ended June 30, 2020, the effective tax rate varied from the federal statutory rate of 21% primarily due to the level and mix of earnings among tax jurisdictions, the change of the valuation allowance on the US and state deferred tax assets, and the recording of a valuation on Taiwan deferred tax assets.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ind w:right="260" w:firstLine="645"/>
        <w:spacing w:after="0" w:line="262" w:lineRule="auto"/>
        <w:rPr>
          <w:sz w:val="20"/>
          <w:szCs w:val="20"/>
          <w:color w:val="auto"/>
        </w:rPr>
      </w:pPr>
      <w:r>
        <w:rPr>
          <w:rFonts w:ascii="Arial" w:cs="Arial" w:eastAsia="Arial" w:hAnsi="Arial"/>
          <w:sz w:val="18"/>
          <w:szCs w:val="18"/>
          <w:color w:val="auto"/>
        </w:rPr>
        <w:t>As of June 30, 2021, we had $5.3 million of unused borrowing capacity from all of our loan agreements. As of June 30, 2021, our cash, cash equivalents and restricted cash totaled $50.5 million. Cash and cash equivalents are held for working capital purposes and are invested primarily in money market or time deposit funds. We do not enter into investments for trading or speculative purposes.</w:t>
      </w:r>
    </w:p>
    <w:p>
      <w:pPr>
        <w:spacing w:after="0" w:line="182" w:lineRule="exact"/>
        <w:rPr>
          <w:sz w:val="20"/>
          <w:szCs w:val="20"/>
          <w:color w:val="auto"/>
        </w:rPr>
      </w:pPr>
    </w:p>
    <w:p>
      <w:pPr>
        <w:ind w:right="140" w:firstLine="690"/>
        <w:spacing w:after="0" w:line="262" w:lineRule="auto"/>
        <w:rPr>
          <w:sz w:val="20"/>
          <w:szCs w:val="20"/>
          <w:color w:val="auto"/>
        </w:rPr>
      </w:pPr>
      <w:r>
        <w:rPr>
          <w:rFonts w:ascii="Arial" w:cs="Arial" w:eastAsia="Arial" w:hAnsi="Arial"/>
          <w:sz w:val="18"/>
          <w:szCs w:val="18"/>
          <w:color w:val="auto"/>
        </w:rPr>
        <w:t>On October 24, 2019, we filed a Registration Statement on Form S-3 with the Securities and Exchange Commission, which was declared effective on January 9, 2020, providing for the public offer and sale of certain securities of the Company from time to time, at our discretion, up to an aggregate amount of $250 million.</w:t>
      </w:r>
    </w:p>
    <w:p>
      <w:pPr>
        <w:spacing w:after="0" w:line="182" w:lineRule="exact"/>
        <w:rPr>
          <w:sz w:val="20"/>
          <w:szCs w:val="20"/>
          <w:color w:val="auto"/>
        </w:rPr>
      </w:pPr>
    </w:p>
    <w:p>
      <w:pPr>
        <w:ind w:right="180" w:firstLine="645"/>
        <w:spacing w:after="0" w:line="300" w:lineRule="auto"/>
        <w:rPr>
          <w:sz w:val="20"/>
          <w:szCs w:val="20"/>
          <w:color w:val="auto"/>
        </w:rPr>
      </w:pPr>
      <w:r>
        <w:rPr>
          <w:rFonts w:ascii="Arial" w:cs="Arial" w:eastAsia="Arial" w:hAnsi="Arial"/>
          <w:sz w:val="16"/>
          <w:szCs w:val="16"/>
          <w:color w:val="auto"/>
        </w:rPr>
        <w:t>On February 28, 2020, we entered into an Equity Distribution Agreement with Raymond James &amp; Associates, Inc. (the “Sales Agent”) pursuant to which the Company may issue and sell shares of the Company’s common stock having an aggregate offering price of up to $55 million (the “Initial ATM Offering”), from time to time through the Sales Agent. In January 2021, the Company completed its Initial ATM Offering and sold 5.9 million shares at a weighted average price of $9.12 per share, providing proceeds of $53.9 million, net of expenses and underwriting discounts and commissions.</w:t>
      </w:r>
    </w:p>
    <w:p>
      <w:pPr>
        <w:spacing w:after="0" w:line="155" w:lineRule="exact"/>
        <w:rPr>
          <w:sz w:val="20"/>
          <w:szCs w:val="20"/>
          <w:color w:val="auto"/>
        </w:rPr>
      </w:pPr>
    </w:p>
    <w:p>
      <w:pPr>
        <w:ind w:right="180" w:firstLine="645"/>
        <w:spacing w:after="0" w:line="267" w:lineRule="auto"/>
        <w:rPr>
          <w:sz w:val="20"/>
          <w:szCs w:val="20"/>
          <w:color w:val="auto"/>
        </w:rPr>
      </w:pPr>
      <w:r>
        <w:rPr>
          <w:rFonts w:ascii="Arial" w:cs="Arial" w:eastAsia="Arial" w:hAnsi="Arial"/>
          <w:sz w:val="17"/>
          <w:szCs w:val="17"/>
          <w:color w:val="auto"/>
        </w:rPr>
        <w:t>On February 26, 2021, we entered into another Equity Distribution Agreement (the “Agreement”) with the Sale Agent pursuant to which the Company may issue and sell shares of the Company’s common stock, par value $0.001 per share (the “Shares”) having an aggregate offering price of up to $35 million (the “Second ATM Offering”), respectively,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spacing w:after="0" w:line="185" w:lineRule="exact"/>
        <w:rPr>
          <w:sz w:val="20"/>
          <w:szCs w:val="20"/>
          <w:color w:val="auto"/>
        </w:rPr>
      </w:pPr>
    </w:p>
    <w:p>
      <w:pPr>
        <w:ind w:right="120" w:firstLine="645"/>
        <w:spacing w:after="0" w:line="288" w:lineRule="auto"/>
        <w:rPr>
          <w:sz w:val="20"/>
          <w:szCs w:val="20"/>
          <w:color w:val="auto"/>
        </w:rPr>
      </w:pPr>
      <w:r>
        <w:rPr>
          <w:rFonts w:ascii="Arial" w:cs="Arial" w:eastAsia="Arial" w:hAnsi="Arial"/>
          <w:sz w:val="16"/>
          <w:szCs w:val="16"/>
          <w:color w:val="auto"/>
        </w:rPr>
        <w:t>The Agreement provides that the Sales Agent will be entitled to compensation of up to 2% of the gross sales price of the Shares sold through the Sales Agent from time to time. The Company has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Additionally, if the Agreement is terminated under certain circumstances, and the Company fails to sell a minimum amount of the Shares as set forth in the Agreement, then the Company has agreed to reimburse the Sales Agent for reasonable out-of-pocket expenses, including the reasonable fees and disbursements of counsel incurred by the Sales Agent, up to a maximum of $30,000 in the aggregate. The Company agreed to indemnify the Sales Agent against certain liabilities, including liabilities under the Securities Act, or to contribute to payments that the Sales Agent may be required to make because of any of those liabilities.</w:t>
      </w:r>
    </w:p>
    <w:p>
      <w:pPr>
        <w:spacing w:after="0" w:line="169" w:lineRule="exact"/>
        <w:rPr>
          <w:sz w:val="20"/>
          <w:szCs w:val="20"/>
          <w:color w:val="auto"/>
        </w:rPr>
      </w:pPr>
    </w:p>
    <w:p>
      <w:pPr>
        <w:ind w:right="140" w:firstLine="645"/>
        <w:spacing w:after="0" w:line="305" w:lineRule="auto"/>
        <w:rPr>
          <w:sz w:val="20"/>
          <w:szCs w:val="20"/>
          <w:color w:val="auto"/>
        </w:rPr>
      </w:pPr>
      <w:r>
        <w:rPr>
          <w:rFonts w:ascii="Arial" w:cs="Arial" w:eastAsia="Arial" w:hAnsi="Arial"/>
          <w:sz w:val="17"/>
          <w:szCs w:val="17"/>
          <w:color w:val="auto"/>
        </w:rPr>
        <w:t>In March 2021, we commenced sales of common stock through the Second ATM Offering. The details of the shares of common stock sold through the Second ATM Offering through June 30, 2021 are as follows (in thousands, except shares and weighted average per share price):</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 Per</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to Distribution</w:t>
            </w:r>
          </w:p>
        </w:tc>
        <w:tc>
          <w:tcPr>
            <w:tcW w:w="0" w:type="dxa"/>
            <w:vAlign w:val="bottom"/>
          </w:tcPr>
          <w:p>
            <w:pPr>
              <w:spacing w:after="0"/>
              <w:rPr>
                <w:sz w:val="1"/>
                <w:szCs w:val="1"/>
                <w:color w:val="auto"/>
              </w:rPr>
            </w:pPr>
          </w:p>
        </w:tc>
      </w:tr>
      <w:tr>
        <w:trPr>
          <w:trHeight w:val="23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Distribution Agent</w:t>
            </w:r>
          </w:p>
        </w:tc>
        <w:tc>
          <w:tcPr>
            <w:tcW w:w="10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Month</w:t>
            </w:r>
          </w:p>
        </w:tc>
        <w:tc>
          <w:tcPr>
            <w:tcW w:w="1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Share Price</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 Sold</w:t>
            </w:r>
          </w:p>
        </w:tc>
        <w:tc>
          <w:tcPr>
            <w:tcW w:w="12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Proceeds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Agent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March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9.0622</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June 2021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9.1115</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34,686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40" w:right="520" w:firstLine="323"/>
        <w:spacing w:after="0" w:line="275" w:lineRule="auto"/>
        <w:rPr>
          <w:sz w:val="20"/>
          <w:szCs w:val="20"/>
          <w:color w:val="auto"/>
        </w:rPr>
      </w:pPr>
      <w:r>
        <w:rPr>
          <w:rFonts w:ascii="Arial" w:cs="Arial" w:eastAsia="Arial" w:hAnsi="Arial"/>
          <w:sz w:val="18"/>
          <w:szCs w:val="18"/>
          <w:color w:val="auto"/>
        </w:rPr>
        <w:t>As of June 30, 2021, the total gross sales were $0.9 million and thus remaining amount of common stock we have available to sell under the ATM Offering is $34.1 million.</w:t>
      </w:r>
    </w:p>
    <w:p>
      <w:pPr>
        <w:spacing w:after="0" w:line="171" w:lineRule="exact"/>
        <w:rPr>
          <w:sz w:val="20"/>
          <w:szCs w:val="20"/>
          <w:color w:val="auto"/>
        </w:rPr>
      </w:pPr>
    </w:p>
    <w:p>
      <w:pPr>
        <w:ind w:right="120" w:firstLine="645"/>
        <w:spacing w:after="0" w:line="310" w:lineRule="auto"/>
        <w:rPr>
          <w:sz w:val="20"/>
          <w:szCs w:val="20"/>
          <w:color w:val="auto"/>
        </w:rPr>
      </w:pPr>
      <w:r>
        <w:rPr>
          <w:rFonts w:ascii="Arial" w:cs="Arial" w:eastAsia="Arial" w:hAnsi="Arial"/>
          <w:sz w:val="16"/>
          <w:szCs w:val="16"/>
          <w:color w:val="auto"/>
        </w:rPr>
        <w:t>On March 5, 2019, the Company issued $80.5 million of 5% convertible senior notes due 2024, bearing interest at a rate of 5% per year maturing on March 15, 2024, unless earlier repurchased, redeemed or converted in accordance with their terms. The sale of the Notes generated net proceeds of $76.4 million, after expenses. Also refer to Note 12 “Convertible Senior Notes” to the consolidated financial statements for further discussion of the Notes.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1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(14,882)</w:t>
            </w:r>
          </w:p>
        </w:tc>
        <w:tc>
          <w:tcPr>
            <w:tcW w:w="940" w:type="dxa"/>
            <w:vAlign w:val="bottom"/>
            <w:shd w:val="clear" w:color="auto" w:fill="CCEEFF"/>
          </w:tcPr>
          <w:p>
            <w:pPr>
              <w:jc w:val="right"/>
              <w:ind w:right="78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(23,769)</w:t>
            </w: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(3,932)</w:t>
            </w:r>
          </w:p>
        </w:tc>
        <w:tc>
          <w:tcPr>
            <w:tcW w:w="9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(9,219)</w:t>
            </w:r>
          </w:p>
        </w:tc>
      </w:tr>
      <w:tr>
        <w:trPr>
          <w:trHeight w:val="215"/>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19,845</w:t>
            </w: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25,101</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(646)</w:t>
            </w:r>
          </w:p>
        </w:tc>
        <w:tc>
          <w:tcPr>
            <w:tcW w:w="9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1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Borders>
              <w:right w:val="single" w:sz="8" w:color="CCEEFF"/>
            </w:tcBorders>
            <w:shd w:val="clear" w:color="auto" w:fill="CCEEFF"/>
          </w:tcPr>
          <w:p>
            <w:pPr>
              <w:spacing w:after="0"/>
              <w:rPr>
                <w:sz w:val="19"/>
                <w:szCs w:val="19"/>
                <w:color w:val="auto"/>
              </w:rPr>
            </w:pPr>
          </w:p>
        </w:tc>
        <w:tc>
          <w:tcPr>
            <w:tcW w:w="940" w:type="dxa"/>
            <w:vAlign w:val="bottom"/>
            <w:shd w:val="clear" w:color="auto" w:fill="CCEEFF"/>
          </w:tcPr>
          <w:p>
            <w:pPr>
              <w:jc w:val="right"/>
              <w:ind w:right="78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(8,119)</w:t>
            </w: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320" w:top="125" w:right="259" w:bottom="1440" w:gutter="0" w:footer="0" w:header="0"/>
        </w:sectPr>
      </w:pP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3" w:lineRule="exact"/>
        <w:rPr>
          <w:sz w:val="20"/>
          <w:szCs w:val="20"/>
          <w:color w:val="auto"/>
        </w:rPr>
      </w:pPr>
    </w:p>
    <w:p>
      <w:pPr>
        <w:ind w:right="140" w:firstLine="645"/>
        <w:spacing w:after="0" w:line="258" w:lineRule="auto"/>
        <w:rPr>
          <w:sz w:val="20"/>
          <w:szCs w:val="20"/>
          <w:color w:val="auto"/>
        </w:rPr>
      </w:pPr>
      <w:r>
        <w:rPr>
          <w:rFonts w:ascii="Arial" w:cs="Arial" w:eastAsia="Arial" w:hAnsi="Arial"/>
          <w:sz w:val="18"/>
          <w:szCs w:val="18"/>
          <w:color w:val="auto"/>
        </w:rPr>
        <w:t>For the six months ended June 30, 2021, net cash used in operating activities was $14.9 million. Net cash used in operating activities consisted of our net loss of $23.8 million after exclusion of non-cash items of $21.9 million. Cash decreased due to an increase in accounts receivable and trade receivables from our customers of $5.4 million and $3.4 million, respectively, a decrease in accrued liabilities of $3.1 million, a decrease in accounts payable to our vendors of $3.9 million, offset by a decrease in inventory of $8.9 million.</w:t>
      </w:r>
    </w:p>
    <w:p>
      <w:pPr>
        <w:spacing w:after="0" w:line="185" w:lineRule="exact"/>
        <w:rPr>
          <w:sz w:val="20"/>
          <w:szCs w:val="20"/>
          <w:color w:val="auto"/>
        </w:rPr>
      </w:pPr>
    </w:p>
    <w:p>
      <w:pPr>
        <w:ind w:right="140" w:firstLine="645"/>
        <w:spacing w:after="0" w:line="284" w:lineRule="auto"/>
        <w:rPr>
          <w:sz w:val="20"/>
          <w:szCs w:val="20"/>
          <w:color w:val="auto"/>
        </w:rPr>
      </w:pPr>
      <w:r>
        <w:rPr>
          <w:rFonts w:ascii="Arial" w:cs="Arial" w:eastAsia="Arial" w:hAnsi="Arial"/>
          <w:sz w:val="17"/>
          <w:szCs w:val="17"/>
          <w:color w:val="auto"/>
        </w:rPr>
        <w:t>For the six months ended June 30, 2020, net cash used in operating activities was $23.8 million. Net cash used in operating activities consisted of our net loss of $35.4 million after exclusion of non-cash items of $27.1 million. Cash decreased due to an increase in inventory of $15.4 million and accounts receivable from our customers of $9.7 million, offset by an increase in accounts payable to our vendors of $12.7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3" w:lineRule="exact"/>
        <w:rPr>
          <w:sz w:val="20"/>
          <w:szCs w:val="20"/>
          <w:color w:val="auto"/>
        </w:rPr>
      </w:pPr>
    </w:p>
    <w:p>
      <w:pPr>
        <w:ind w:right="500" w:firstLine="645"/>
        <w:spacing w:after="0" w:line="275" w:lineRule="auto"/>
        <w:rPr>
          <w:sz w:val="20"/>
          <w:szCs w:val="20"/>
          <w:color w:val="auto"/>
        </w:rPr>
      </w:pPr>
      <w:r>
        <w:rPr>
          <w:rFonts w:ascii="Arial" w:cs="Arial" w:eastAsia="Arial" w:hAnsi="Arial"/>
          <w:sz w:val="18"/>
          <w:szCs w:val="18"/>
          <w:color w:val="auto"/>
        </w:rPr>
        <w:t>For the six months ended June 30, 2021, net cash used in investing activities was $3.9 million, mainly from the purchase of additional plant, machinery and equipment.</w:t>
      </w:r>
    </w:p>
    <w:p>
      <w:pPr>
        <w:spacing w:after="0" w:line="171" w:lineRule="exact"/>
        <w:rPr>
          <w:sz w:val="20"/>
          <w:szCs w:val="20"/>
          <w:color w:val="auto"/>
        </w:rPr>
      </w:pPr>
    </w:p>
    <w:p>
      <w:pPr>
        <w:ind w:right="500" w:firstLine="645"/>
        <w:spacing w:after="0" w:line="275" w:lineRule="auto"/>
        <w:rPr>
          <w:sz w:val="20"/>
          <w:szCs w:val="20"/>
          <w:color w:val="auto"/>
        </w:rPr>
      </w:pPr>
      <w:r>
        <w:rPr>
          <w:rFonts w:ascii="Arial" w:cs="Arial" w:eastAsia="Arial" w:hAnsi="Arial"/>
          <w:sz w:val="18"/>
          <w:szCs w:val="18"/>
          <w:color w:val="auto"/>
        </w:rPr>
        <w:t>For the six months ended June 30, 2020, net cash used in investing activities was $9.2 million, mainly from the purchase of additional plant, machinery and equipment.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3" w:lineRule="exact"/>
        <w:rPr>
          <w:sz w:val="20"/>
          <w:szCs w:val="20"/>
          <w:color w:val="auto"/>
        </w:rPr>
      </w:pPr>
    </w:p>
    <w:p>
      <w:pPr>
        <w:ind w:firstLine="645"/>
        <w:spacing w:after="0" w:line="262" w:lineRule="auto"/>
        <w:rPr>
          <w:sz w:val="20"/>
          <w:szCs w:val="20"/>
          <w:color w:val="auto"/>
        </w:rPr>
      </w:pPr>
      <w:r>
        <w:rPr>
          <w:rFonts w:ascii="Arial" w:cs="Arial" w:eastAsia="Arial" w:hAnsi="Arial"/>
          <w:sz w:val="18"/>
          <w:szCs w:val="18"/>
          <w:color w:val="auto"/>
        </w:rPr>
        <w:t>For the six months ended June 30, 2021, our financing activities provided $19.8 million in cash. This increase in cash was due to $15.3 million of net proceeds from our At The Market (ATM) Offerings, $16.6 million proceeds from line of credit, offset by repayment of loan and bank acceptance of $2.2 million and $9.5 million, respectively.</w:t>
      </w:r>
    </w:p>
    <w:p>
      <w:pPr>
        <w:spacing w:after="0" w:line="182" w:lineRule="exact"/>
        <w:rPr>
          <w:sz w:val="20"/>
          <w:szCs w:val="20"/>
          <w:color w:val="auto"/>
        </w:rPr>
      </w:pPr>
    </w:p>
    <w:p>
      <w:pPr>
        <w:ind w:right="60" w:firstLine="645"/>
        <w:spacing w:after="0" w:line="262" w:lineRule="auto"/>
        <w:rPr>
          <w:sz w:val="20"/>
          <w:szCs w:val="20"/>
          <w:color w:val="auto"/>
        </w:rPr>
      </w:pPr>
      <w:r>
        <w:rPr>
          <w:rFonts w:ascii="Arial" w:cs="Arial" w:eastAsia="Arial" w:hAnsi="Arial"/>
          <w:sz w:val="18"/>
          <w:szCs w:val="18"/>
          <w:color w:val="auto"/>
        </w:rPr>
        <w:t>For the six months ended June 30, 2020, our financing activities provided $25.1 million in cash. This increase in cash was due to $13.9 million of net proceeds from our At The Market (ATM) Offering, $6.2 million proceeds from PPP term loan, $1.7 million net proceeds from lines of credit and $3.7 million net proceeds from acceptances payable.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3" w:lineRule="exact"/>
        <w:rPr>
          <w:sz w:val="20"/>
          <w:szCs w:val="20"/>
          <w:color w:val="auto"/>
        </w:rPr>
      </w:pPr>
    </w:p>
    <w:p>
      <w:pPr>
        <w:ind w:right="60" w:firstLine="645"/>
        <w:spacing w:after="0" w:line="262" w:lineRule="auto"/>
        <w:rPr>
          <w:sz w:val="20"/>
          <w:szCs w:val="20"/>
          <w:color w:val="auto"/>
        </w:rPr>
      </w:pPr>
      <w:r>
        <w:rPr>
          <w:rFonts w:ascii="Arial" w:cs="Arial" w:eastAsia="Arial" w:hAnsi="Arial"/>
          <w:sz w:val="18"/>
          <w:szCs w:val="18"/>
          <w:color w:val="auto"/>
        </w:rPr>
        <w:t>We have lending arrangements with several financial institutions. In the US, we have a revolving line of credit with Truist Bank. The line of credit contains financial covenants that may limit the amount and types of debt that we may incur. As of June 30, 2021, we were in compliance with these covenants.</w:t>
      </w:r>
    </w:p>
    <w:p>
      <w:pPr>
        <w:spacing w:after="0" w:line="182" w:lineRule="exact"/>
        <w:rPr>
          <w:sz w:val="20"/>
          <w:szCs w:val="20"/>
          <w:color w:val="auto"/>
        </w:rPr>
      </w:pPr>
    </w:p>
    <w:p>
      <w:pPr>
        <w:ind w:right="40" w:firstLine="645"/>
        <w:spacing w:after="0" w:line="262" w:lineRule="auto"/>
        <w:rPr>
          <w:sz w:val="20"/>
          <w:szCs w:val="20"/>
          <w:color w:val="auto"/>
        </w:rPr>
      </w:pPr>
      <w:r>
        <w:rPr>
          <w:rFonts w:ascii="Arial" w:cs="Arial" w:eastAsia="Arial" w:hAnsi="Arial"/>
          <w:sz w:val="18"/>
          <w:szCs w:val="18"/>
          <w:color w:val="auto"/>
        </w:rPr>
        <w:t>In Taiwan, we have a revolving credit facility with Taishin International Bank and equipment finance agreements with Chailease Finance Co., Ltd. for Prime World’s Taiwan Branch. In China, we have revolving lines of credit with China Merchants Bank Co., Ltd. and Shanghai Pudong Development Bank Co., Ltd. and credit facilities with China Zheshang Bank Co., Ltd. for our China Subsidiary, Global.</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we had $5.3 million of unused borrowing capacity.</w:t>
      </w:r>
    </w:p>
    <w:p>
      <w:pPr>
        <w:spacing w:after="0" w:line="223" w:lineRule="exact"/>
        <w:rPr>
          <w:sz w:val="20"/>
          <w:szCs w:val="20"/>
          <w:color w:val="auto"/>
        </w:rPr>
      </w:pPr>
    </w:p>
    <w:p>
      <w:pPr>
        <w:ind w:right="360" w:firstLine="645"/>
        <w:spacing w:after="0" w:line="275" w:lineRule="auto"/>
        <w:rPr>
          <w:sz w:val="20"/>
          <w:szCs w:val="20"/>
          <w:color w:val="auto"/>
        </w:rPr>
      </w:pPr>
      <w:r>
        <w:rPr>
          <w:rFonts w:ascii="Arial" w:cs="Arial" w:eastAsia="Arial" w:hAnsi="Arial"/>
          <w:sz w:val="18"/>
          <w:szCs w:val="18"/>
          <w:color w:val="auto"/>
        </w:rPr>
        <w:t>On March 5, 2019, we issued $80.5 million of 5% convertible senior notes due 2024. The Notes will mature on March 15, 2024, unless earlier repurchased, redeemed or converted in accordance with their terms.</w:t>
      </w:r>
    </w:p>
    <w:p>
      <w:pPr>
        <w:spacing w:after="0" w:line="171" w:lineRule="exact"/>
        <w:rPr>
          <w:sz w:val="20"/>
          <w:szCs w:val="20"/>
          <w:color w:val="auto"/>
        </w:rPr>
      </w:pPr>
    </w:p>
    <w:p>
      <w:pPr>
        <w:ind w:right="140" w:firstLine="645"/>
        <w:spacing w:after="0" w:line="275" w:lineRule="auto"/>
        <w:rPr>
          <w:sz w:val="20"/>
          <w:szCs w:val="20"/>
          <w:color w:val="auto"/>
        </w:rPr>
      </w:pPr>
      <w:r>
        <w:rPr>
          <w:rFonts w:ascii="Arial" w:cs="Arial" w:eastAsia="Arial" w:hAnsi="Arial"/>
          <w:sz w:val="18"/>
          <w:szCs w:val="18"/>
          <w:color w:val="auto"/>
        </w:rPr>
        <w:t>See Note 11 “Notes Payable and Long-term Debt” and Note 12 “Convertible Senior Notes” of our Condensed Consolidated Financial Statements for a description of our notes payable and long-term debt and convertible senior notes.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factory construction</w:t>
      </w:r>
    </w:p>
    <w:p>
      <w:pPr>
        <w:spacing w:after="0" w:line="223" w:lineRule="exact"/>
        <w:rPr>
          <w:sz w:val="20"/>
          <w:szCs w:val="20"/>
          <w:color w:val="auto"/>
        </w:rPr>
      </w:pPr>
    </w:p>
    <w:p>
      <w:pPr>
        <w:ind w:right="200" w:firstLine="645"/>
        <w:spacing w:after="0" w:line="295" w:lineRule="auto"/>
        <w:rPr>
          <w:sz w:val="20"/>
          <w:szCs w:val="20"/>
          <w:color w:val="auto"/>
        </w:rPr>
      </w:pPr>
      <w:r>
        <w:rPr>
          <w:rFonts w:ascii="Arial" w:cs="Arial" w:eastAsia="Arial" w:hAnsi="Arial"/>
          <w:sz w:val="16"/>
          <w:szCs w:val="16"/>
          <w:color w:val="auto"/>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June 30, 2021, construction of the building is complete, and approximately $27.4 million of this total cost has been paid and the remaining portion will be paid in yearly installments for three years after final inspection. We anticipate additional expenses for building improvements to the factory and we are in the process of evaluating the timing of these expenditures and obtaining bids for any such work.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3" w:lineRule="exact"/>
        <w:rPr>
          <w:sz w:val="20"/>
          <w:szCs w:val="20"/>
          <w:color w:val="auto"/>
        </w:rPr>
      </w:pPr>
    </w:p>
    <w:p>
      <w:pPr>
        <w:ind w:right="60" w:firstLine="645"/>
        <w:spacing w:after="0" w:line="253" w:lineRule="auto"/>
        <w:rPr>
          <w:sz w:val="20"/>
          <w:szCs w:val="20"/>
          <w:color w:val="auto"/>
        </w:rPr>
      </w:pPr>
      <w:r>
        <w:rPr>
          <w:rFonts w:ascii="Arial" w:cs="Arial" w:eastAsia="Arial" w:hAnsi="Arial"/>
          <w:sz w:val="18"/>
          <w:szCs w:val="18"/>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and other facilities at our Ningbo, China location,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June 30, 2021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11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line="190" w:lineRule="exact"/>
              <w:rPr>
                <w:sz w:val="20"/>
                <w:szCs w:val="20"/>
                <w:color w:val="auto"/>
              </w:rPr>
            </w:pPr>
            <w:r>
              <w:rPr>
                <w:rFonts w:ascii="Arial" w:cs="Arial" w:eastAsia="Arial" w:hAnsi="Arial"/>
                <w:sz w:val="18"/>
                <w:szCs w:val="18"/>
                <w:b w:val="1"/>
                <w:bCs w:val="1"/>
                <w:color w:val="auto"/>
                <w:w w:val="88"/>
              </w:rPr>
              <w:t>Less than 1</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0"/>
              <w:spacing w:after="0" w:line="190"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6"/>
                <w:szCs w:val="16"/>
                <w:color w:val="auto"/>
              </w:rPr>
            </w:pPr>
          </w:p>
        </w:tc>
      </w:tr>
      <w:tr>
        <w:trPr>
          <w:trHeight w:val="233"/>
        </w:trPr>
        <w:tc>
          <w:tcPr>
            <w:tcW w:w="1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1-3 Years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3-5 Years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r>
      <w:tr>
        <w:trPr>
          <w:trHeight w:val="208"/>
        </w:trPr>
        <w:tc>
          <w:tcPr>
            <w:tcW w:w="362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color w:val="auto"/>
              </w:rPr>
              <w:t>Notes payable and long-term debt</w:t>
            </w:r>
            <w:r>
              <w:rPr>
                <w:rFonts w:ascii="Arial" w:cs="Arial" w:eastAsia="Arial" w:hAnsi="Arial"/>
                <w:sz w:val="24"/>
                <w:szCs w:val="24"/>
                <w:color w:val="auto"/>
                <w:vertAlign w:val="superscript"/>
              </w:rPr>
              <w:t>(1)</w:t>
            </w: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3620" w:type="dxa"/>
            <w:vAlign w:val="bottom"/>
            <w:gridSpan w:val="2"/>
          </w:tcPr>
          <w:p>
            <w:pPr>
              <w:spacing w:after="0" w:line="214" w:lineRule="exact"/>
              <w:rPr>
                <w:sz w:val="20"/>
                <w:szCs w:val="20"/>
                <w:color w:val="auto"/>
              </w:rPr>
            </w:pPr>
            <w:r>
              <w:rPr>
                <w:rFonts w:ascii="Arial" w:cs="Arial" w:eastAsia="Arial" w:hAnsi="Arial"/>
                <w:sz w:val="15"/>
                <w:szCs w:val="15"/>
                <w:color w:val="auto"/>
              </w:rPr>
              <w:t>Convertible senior notes</w:t>
            </w:r>
            <w:r>
              <w:rPr>
                <w:rFonts w:ascii="Arial" w:cs="Arial" w:eastAsia="Arial" w:hAnsi="Arial"/>
                <w:sz w:val="24"/>
                <w:szCs w:val="24"/>
                <w:color w:val="auto"/>
                <w:vertAlign w:val="superscript"/>
              </w:rPr>
              <w:t>(2)</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90,673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4,025</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86,648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3620" w:type="dxa"/>
            <w:vAlign w:val="bottom"/>
            <w:gridSpan w:val="2"/>
            <w:shd w:val="clear" w:color="auto" w:fill="CCEEFF"/>
          </w:tcPr>
          <w:p>
            <w:pPr>
              <w:spacing w:after="0" w:line="214" w:lineRule="exact"/>
              <w:rPr>
                <w:sz w:val="20"/>
                <w:szCs w:val="20"/>
                <w:color w:val="auto"/>
              </w:rPr>
            </w:pPr>
            <w:r>
              <w:rPr>
                <w:rFonts w:ascii="Arial" w:cs="Arial" w:eastAsia="Arial" w:hAnsi="Arial"/>
                <w:sz w:val="15"/>
                <w:szCs w:val="15"/>
                <w:color w:val="auto"/>
              </w:rPr>
              <w:t>Operating leases</w:t>
            </w:r>
            <w:r>
              <w:rPr>
                <w:rFonts w:ascii="Arial" w:cs="Arial" w:eastAsia="Arial" w:hAnsi="Arial"/>
                <w:sz w:val="24"/>
                <w:szCs w:val="24"/>
                <w:color w:val="auto"/>
                <w:vertAlign w:val="superscript"/>
              </w:rPr>
              <w:t>(3)</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18"/>
                <w:szCs w:val="18"/>
                <w:color w:val="auto"/>
              </w:rPr>
            </w:pPr>
          </w:p>
        </w:tc>
      </w:tr>
      <w:tr>
        <w:trPr>
          <w:trHeight w:val="215"/>
        </w:trPr>
        <w:tc>
          <w:tcPr>
            <w:tcW w:w="3620" w:type="dxa"/>
            <w:vAlign w:val="bottom"/>
            <w:gridSpan w:val="2"/>
          </w:tcPr>
          <w:p>
            <w:pPr>
              <w:spacing w:after="0" w:line="214" w:lineRule="exact"/>
              <w:rPr>
                <w:sz w:val="20"/>
                <w:szCs w:val="20"/>
                <w:color w:val="auto"/>
              </w:rPr>
            </w:pPr>
            <w:r>
              <w:rPr>
                <w:rFonts w:ascii="Arial" w:cs="Arial" w:eastAsia="Arial" w:hAnsi="Arial"/>
                <w:sz w:val="15"/>
                <w:szCs w:val="15"/>
                <w:color w:val="auto"/>
              </w:rPr>
              <w:t>Financing leases</w:t>
            </w:r>
            <w:r>
              <w:rPr>
                <w:rFonts w:ascii="Arial" w:cs="Arial" w:eastAsia="Arial" w:hAnsi="Arial"/>
                <w:sz w:val="24"/>
                <w:szCs w:val="24"/>
                <w:color w:val="auto"/>
                <w:vertAlign w:val="superscript"/>
              </w:rPr>
              <w:t>(3)</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commitments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161,828</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108,666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18"/>
                <w:szCs w:val="18"/>
                <w:color w:val="auto"/>
              </w:rPr>
            </w:pPr>
          </w:p>
        </w:tc>
      </w:tr>
      <w:tr>
        <w:trPr>
          <w:trHeight w:val="54"/>
        </w:trPr>
        <w:tc>
          <w:tcPr>
            <w:tcW w:w="1140" w:type="dxa"/>
            <w:vAlign w:val="bottom"/>
            <w:tcBorders>
              <w:bottom w:val="single" w:sz="8" w:color="auto"/>
            </w:tcBorders>
          </w:tcPr>
          <w:p>
            <w:pPr>
              <w:spacing w:after="0"/>
              <w:rPr>
                <w:sz w:val="4"/>
                <w:szCs w:val="4"/>
                <w:color w:val="auto"/>
              </w:rPr>
            </w:pPr>
          </w:p>
        </w:tc>
        <w:tc>
          <w:tcPr>
            <w:tcW w:w="2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39" w:lineRule="exact"/>
        <w:rPr>
          <w:sz w:val="20"/>
          <w:szCs w:val="20"/>
          <w:color w:val="auto"/>
        </w:rPr>
      </w:pPr>
    </w:p>
    <w:p>
      <w:pPr>
        <w:ind w:left="660" w:right="260" w:hanging="330"/>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several loan and security agreements in China, Taiwan and the U.S. that provide various credit facilities, including lines of credit, bank acceptance payable and term loans. The amount presented in the table represents the principal portion and estimated interest expense for the obligations.</w:t>
      </w:r>
    </w:p>
    <w:p>
      <w:pPr>
        <w:spacing w:after="0" w:line="2" w:lineRule="exact"/>
        <w:rPr>
          <w:rFonts w:ascii="Arial" w:cs="Arial" w:eastAsia="Arial" w:hAnsi="Arial"/>
          <w:sz w:val="18"/>
          <w:szCs w:val="18"/>
          <w:color w:val="auto"/>
        </w:rPr>
      </w:pPr>
    </w:p>
    <w:p>
      <w:pPr>
        <w:ind w:left="660" w:right="20" w:hanging="330"/>
        <w:spacing w:after="0" w:line="24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issued convertible senior notes due 2024. The amount present in the table represents the principal portion and estimated interest expense for the obligations.</w:t>
      </w: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various non-cancellable lease agreements for our offices in Taiwan and in the 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7" w:lineRule="exact"/>
        <w:rPr>
          <w:sz w:val="20"/>
          <w:szCs w:val="20"/>
          <w:color w:val="auto"/>
        </w:rPr>
      </w:pPr>
    </w:p>
    <w:p>
      <w:pPr>
        <w:ind w:right="40" w:firstLine="645"/>
        <w:spacing w:after="0" w:line="262"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net sales and revenues or on income from continuing operations or on the prices of raw materials. To the extent we expand our operations in China and Taiwan, such actions may result in inflation having a more significant impact on our operating results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six months ended June 30, 2021, we did not, and do not currently, have any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7" w:lineRule="exact"/>
        <w:rPr>
          <w:sz w:val="20"/>
          <w:szCs w:val="20"/>
          <w:color w:val="auto"/>
        </w:rPr>
      </w:pPr>
    </w:p>
    <w:p>
      <w:pPr>
        <w:ind w:right="80" w:firstLine="645"/>
        <w:spacing w:after="0" w:line="269" w:lineRule="auto"/>
        <w:rPr>
          <w:sz w:val="20"/>
          <w:szCs w:val="20"/>
          <w:color w:val="auto"/>
        </w:rPr>
      </w:pPr>
      <w:r>
        <w:rPr>
          <w:rFonts w:ascii="Arial" w:cs="Arial" w:eastAsia="Arial" w:hAnsi="Arial"/>
          <w:sz w:val="17"/>
          <w:szCs w:val="17"/>
          <w:color w:val="auto"/>
        </w:rPr>
        <w:t>In our Annual Report for the year ended December 31, 2020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ectPr>
          <w:pgSz w:w="11900" w:h="16838" w:orient="portrait"/>
          <w:cols w:equalWidth="0" w:num="1">
            <w:col w:w="11240"/>
          </w:cols>
          <w:pgMar w:left="320" w:top="12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7" w:lineRule="exact"/>
        <w:rPr>
          <w:sz w:val="20"/>
          <w:szCs w:val="20"/>
          <w:color w:val="auto"/>
        </w:rPr>
      </w:pPr>
    </w:p>
    <w:p>
      <w:pPr>
        <w:ind w:right="20" w:firstLine="645"/>
        <w:spacing w:after="0" w:line="262" w:lineRule="auto"/>
        <w:rPr>
          <w:sz w:val="20"/>
          <w:szCs w:val="20"/>
          <w:color w:val="auto"/>
        </w:rPr>
      </w:pPr>
      <w:r>
        <w:rPr>
          <w:rFonts w:ascii="Arial" w:cs="Arial" w:eastAsia="Arial" w:hAnsi="Arial"/>
          <w:sz w:val="18"/>
          <w:szCs w:val="18"/>
          <w:color w:val="auto"/>
        </w:rPr>
        <w:t>For quantitative and qualitative disclosures about market risk affecting the Company, see Item 7A – Quantitative and Qualitative Disclosures about Market Risk in our Annual Report for the fiscal year ended December 31, 2020. We do not believe the Company’s exposure to market risk has changed materially since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7" w:lineRule="exact"/>
        <w:rPr>
          <w:sz w:val="20"/>
          <w:szCs w:val="20"/>
          <w:color w:val="auto"/>
        </w:rPr>
      </w:pPr>
    </w:p>
    <w:p>
      <w:pPr>
        <w:ind w:firstLine="645"/>
        <w:spacing w:after="0" w:line="270"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81" w:lineRule="exact"/>
        <w:rPr>
          <w:sz w:val="20"/>
          <w:szCs w:val="20"/>
          <w:color w:val="auto"/>
        </w:rPr>
      </w:pPr>
    </w:p>
    <w:p>
      <w:pPr>
        <w:jc w:val="both"/>
        <w:ind w:right="140" w:firstLine="645"/>
        <w:spacing w:after="0" w:line="26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June 30, 2021. Based upon that evaluation, our Chief Executive Officer and Chief Financial Officer concluded that, as of the end of the period covered by this report, our disclosure controls and procedures were effective.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jc w:val="both"/>
        <w:ind w:right="40" w:firstLine="645"/>
        <w:spacing w:after="0" w:line="310" w:lineRule="auto"/>
        <w:rPr>
          <w:sz w:val="20"/>
          <w:szCs w:val="20"/>
          <w:color w:val="auto"/>
        </w:rPr>
      </w:pPr>
      <w:r>
        <w:rPr>
          <w:rFonts w:ascii="Arial" w:cs="Arial" w:eastAsia="Arial" w:hAnsi="Arial"/>
          <w:sz w:val="16"/>
          <w:szCs w:val="16"/>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Part II.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7"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Information with respect to legal proceedings can be found under the heading "Contingencies" in Note 18 to the Condensed Consolidated Financial Statements contained in Part 1, Item 1 of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jc w:val="both"/>
        <w:ind w:right="120" w:firstLine="645"/>
        <w:spacing w:after="0" w:line="262" w:lineRule="auto"/>
        <w:rPr>
          <w:sz w:val="20"/>
          <w:szCs w:val="20"/>
          <w:color w:val="auto"/>
        </w:rPr>
      </w:pPr>
      <w:r>
        <w:rPr>
          <w:rFonts w:ascii="Arial" w:cs="Arial" w:eastAsia="Arial" w:hAnsi="Arial"/>
          <w:sz w:val="18"/>
          <w:szCs w:val="18"/>
          <w:i w:val="1"/>
          <w:iCs w:val="1"/>
          <w:color w:val="auto"/>
        </w:rPr>
        <w:t>Investing in our common stock involves a high degree of risk. See Part I, Item 1A, Risk Factors, of our Annual Report on Form 10-K for the year ended December 31, 2020 for a detailed discussion of the risk factors affecting our Company. As of June 30, 2021, there have been no material changes to those risk factors.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ind w:left="46"/>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tbl>
      <w:tblPr>
        <w:tblLayout w:type="fixed"/>
        <w:tblInd w:w="46"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00" w:type="dxa"/>
            <w:vAlign w:val="bottom"/>
            <w:gridSpan w:val="20"/>
          </w:tcPr>
          <w:p>
            <w:pPr>
              <w:ind w:left="200"/>
              <w:spacing w:after="0"/>
              <w:rPr>
                <w:sz w:val="20"/>
                <w:szCs w:val="20"/>
                <w:color w:val="auto"/>
              </w:rPr>
            </w:pPr>
            <w:r>
              <w:rPr>
                <w:rFonts w:ascii="Arial" w:cs="Arial" w:eastAsia="Arial" w:hAnsi="Arial"/>
                <w:sz w:val="18"/>
                <w:szCs w:val="18"/>
                <w:b w:val="1"/>
                <w:bCs w:val="1"/>
                <w:color w:val="auto"/>
              </w:rPr>
              <w:t>EXHIBIT INDEX</w:t>
            </w:r>
          </w:p>
        </w:tc>
      </w:tr>
      <w:tr>
        <w:trPr>
          <w:trHeight w:val="645"/>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4"/>
                <w:szCs w:val="24"/>
                <w:color w:val="auto"/>
              </w:rPr>
            </w:pPr>
          </w:p>
        </w:tc>
        <w:tc>
          <w:tcPr>
            <w:tcW w:w="9580" w:type="dxa"/>
            <w:vAlign w:val="bottom"/>
            <w:tcBorders>
              <w:bottom w:val="single" w:sz="8" w:color="auto"/>
            </w:tcBorders>
            <w:gridSpan w:val="25"/>
          </w:tcPr>
          <w:p>
            <w:pPr>
              <w:spacing w:after="0"/>
              <w:rPr>
                <w:sz w:val="20"/>
                <w:szCs w:val="20"/>
                <w:color w:val="auto"/>
              </w:rPr>
            </w:pPr>
            <w:r>
              <w:rPr>
                <w:rFonts w:ascii="Arial" w:cs="Arial" w:eastAsia="Arial" w:hAnsi="Arial"/>
                <w:sz w:val="18"/>
                <w:szCs w:val="18"/>
                <w:b w:val="1"/>
                <w:bCs w:val="1"/>
                <w:color w:val="auto"/>
              </w:rPr>
              <w:t>Description</w:t>
            </w:r>
          </w:p>
        </w:tc>
      </w:tr>
      <w:tr>
        <w:trPr>
          <w:trHeight w:val="168"/>
        </w:trPr>
        <w:tc>
          <w:tcPr>
            <w:tcW w:w="1200" w:type="dxa"/>
            <w:vAlign w:val="bottom"/>
          </w:tcPr>
          <w:p>
            <w:pPr>
              <w:spacing w:after="0" w:line="168" w:lineRule="exact"/>
              <w:rPr>
                <w:sz w:val="20"/>
                <w:szCs w:val="20"/>
                <w:color w:val="auto"/>
              </w:rPr>
            </w:pPr>
            <w:r>
              <w:rPr>
                <w:rFonts w:ascii="Arial" w:cs="Arial" w:eastAsia="Arial" w:hAnsi="Arial"/>
                <w:sz w:val="18"/>
                <w:szCs w:val="18"/>
                <w:color w:val="auto"/>
              </w:rPr>
              <w:t>3.1*</w:t>
            </w:r>
          </w:p>
        </w:tc>
        <w:tc>
          <w:tcPr>
            <w:tcW w:w="460" w:type="dxa"/>
            <w:vAlign w:val="bottom"/>
          </w:tcPr>
          <w:p>
            <w:pPr>
              <w:spacing w:after="0"/>
              <w:rPr>
                <w:sz w:val="14"/>
                <w:szCs w:val="14"/>
                <w:color w:val="auto"/>
              </w:rPr>
            </w:pPr>
          </w:p>
        </w:tc>
        <w:tc>
          <w:tcPr>
            <w:tcW w:w="9560" w:type="dxa"/>
            <w:vAlign w:val="bottom"/>
            <w:tcBorders>
              <w:bottom w:val="single" w:sz="8" w:color="0000EE"/>
            </w:tcBorders>
            <w:gridSpan w:val="24"/>
          </w:tcPr>
          <w:p>
            <w:pPr>
              <w:spacing w:after="0" w:line="168"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Amended and Restated Certificate of Incorporation, as currently in effect (filed as Exhibit 3.1 to the Registrant’s Quarterly Report on</w:t>
              </w:r>
            </w:hyperlink>
          </w:p>
        </w:tc>
        <w:tc>
          <w:tcPr>
            <w:tcW w:w="20" w:type="dxa"/>
            <w:vAlign w:val="bottom"/>
          </w:tcPr>
          <w:p>
            <w:pPr>
              <w:spacing w:after="0"/>
              <w:rPr>
                <w:sz w:val="14"/>
                <w:szCs w:val="14"/>
                <w:color w:val="auto"/>
              </w:rPr>
            </w:pPr>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360" w:type="dxa"/>
            <w:vAlign w:val="bottom"/>
            <w:tcBorders>
              <w:bottom w:val="single" w:sz="8" w:color="0000EE"/>
            </w:tcBorders>
            <w:gridSpan w:val="9"/>
          </w:tcPr>
          <w:p>
            <w:pPr>
              <w:spacing w:after="0" w:line="195"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Form 10-Q filed with the Securities and Exchange Commission on November 14, 2013).</w:t>
              </w:r>
            </w:hyperlink>
          </w:p>
        </w:tc>
        <w:tc>
          <w:tcPr>
            <w:tcW w:w="3220" w:type="dxa"/>
            <w:vAlign w:val="bottom"/>
            <w:gridSpan w:val="16"/>
          </w:tcPr>
          <w:p>
            <w:pPr>
              <w:spacing w:after="0"/>
              <w:rPr>
                <w:sz w:val="16"/>
                <w:szCs w:val="16"/>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9340" w:type="dxa"/>
            <w:vAlign w:val="bottom"/>
            <w:tcBorders>
              <w:bottom w:val="single" w:sz="8" w:color="0000EE"/>
            </w:tcBorders>
            <w:gridSpan w:val="19"/>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Amended and Restated Bylaws, as currently in effect (filed as Exhibit 3.2 to the Registrant’s Quarterly Report on Form 10-Q filed</w:t>
              </w:r>
            </w:hyperlink>
          </w:p>
        </w:tc>
        <w:tc>
          <w:tcPr>
            <w:tcW w:w="240" w:type="dxa"/>
            <w:vAlign w:val="bottom"/>
            <w:gridSpan w:val="6"/>
          </w:tcPr>
          <w:p>
            <w:pPr>
              <w:spacing w:after="0"/>
              <w:rPr>
                <w:sz w:val="24"/>
                <w:szCs w:val="24"/>
                <w:color w:val="auto"/>
              </w:rPr>
            </w:pPr>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140" w:type="dxa"/>
            <w:vAlign w:val="bottom"/>
            <w:tcBorders>
              <w:bottom w:val="single" w:sz="8" w:color="0000EE"/>
            </w:tcBorders>
            <w:gridSpan w:val="7"/>
          </w:tcPr>
          <w:p>
            <w:pPr>
              <w:spacing w:after="0" w:line="195" w:lineRule="exact"/>
              <w:rPr>
                <w:rFonts w:ascii="Arial" w:cs="Arial" w:eastAsia="Arial" w:hAnsi="Arial"/>
                <w:sz w:val="18"/>
                <w:szCs w:val="18"/>
                <w:color w:val="0000EE"/>
                <w:w w:val="89"/>
              </w:rPr>
            </w:pPr>
            <w:hyperlink r:id="rId41">
              <w:r>
                <w:rPr>
                  <w:rFonts w:ascii="Arial" w:cs="Arial" w:eastAsia="Arial" w:hAnsi="Arial"/>
                  <w:sz w:val="18"/>
                  <w:szCs w:val="18"/>
                  <w:color w:val="0000EE"/>
                  <w:w w:val="89"/>
                </w:rPr>
                <w:t>with the Securities and Exchange Commission on November 14, 2013).</w:t>
              </w:r>
            </w:hyperlink>
          </w:p>
        </w:tc>
        <w:tc>
          <w:tcPr>
            <w:tcW w:w="4440" w:type="dxa"/>
            <w:vAlign w:val="bottom"/>
            <w:gridSpan w:val="18"/>
          </w:tcPr>
          <w:p>
            <w:pPr>
              <w:spacing w:after="0"/>
              <w:rPr>
                <w:sz w:val="16"/>
                <w:szCs w:val="16"/>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9580" w:type="dxa"/>
            <w:vAlign w:val="bottom"/>
            <w:gridSpan w:val="25"/>
          </w:tcPr>
          <w:p>
            <w:pPr>
              <w:spacing w:after="0"/>
              <w:rPr>
                <w:rFonts w:ascii="Arial" w:cs="Arial" w:eastAsia="Arial" w:hAnsi="Arial"/>
                <w:sz w:val="18"/>
                <w:szCs w:val="18"/>
                <w:color w:val="0000EE"/>
                <w:w w:val="98"/>
              </w:rPr>
            </w:pPr>
            <w:hyperlink r:id="rId42">
              <w:r>
                <w:rPr>
                  <w:rFonts w:ascii="Arial" w:cs="Arial" w:eastAsia="Arial" w:hAnsi="Arial"/>
                  <w:sz w:val="18"/>
                  <w:szCs w:val="18"/>
                  <w:color w:val="0000EE"/>
                  <w:w w:val="98"/>
                </w:rPr>
                <w:t>Common Stock Specimen (filed as Exhibit 4.1 to the Registrant’s Current Report on Form 8-K filed with the Securities and</w:t>
              </w:r>
            </w:hyperlink>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89"/>
              </w:rPr>
            </w:pPr>
            <w:hyperlink r:id="rId42">
              <w:r>
                <w:rPr>
                  <w:rFonts w:ascii="Arial" w:cs="Arial" w:eastAsia="Arial" w:hAnsi="Arial"/>
                  <w:sz w:val="18"/>
                  <w:szCs w:val="18"/>
                  <w:color w:val="0000EE"/>
                  <w:w w:val="89"/>
                </w:rPr>
                <w:t>Exchange Commission on July 15, 2015).</w:t>
              </w:r>
            </w:hyperlink>
          </w:p>
        </w:tc>
        <w:tc>
          <w:tcPr>
            <w:tcW w:w="5840" w:type="dxa"/>
            <w:vAlign w:val="bottom"/>
            <w:tcBorders>
              <w:top w:val="single" w:sz="8" w:color="0000EE"/>
            </w:tcBorders>
            <w:gridSpan w:val="9"/>
          </w:tcPr>
          <w:p>
            <w:pPr>
              <w:spacing w:after="0"/>
              <w:rPr>
                <w:sz w:val="16"/>
                <w:szCs w:val="16"/>
                <w:color w:val="auto"/>
              </w:rPr>
            </w:pPr>
          </w:p>
        </w:tc>
        <w:tc>
          <w:tcPr>
            <w:tcW w:w="740" w:type="dxa"/>
            <w:vAlign w:val="bottom"/>
            <w:gridSpan w:val="12"/>
          </w:tcPr>
          <w:p>
            <w:pPr>
              <w:spacing w:after="0"/>
              <w:rPr>
                <w:sz w:val="16"/>
                <w:szCs w:val="16"/>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9580" w:type="dxa"/>
            <w:vAlign w:val="bottom"/>
            <w:gridSpan w:val="25"/>
          </w:tcPr>
          <w:p>
            <w:pPr>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Indenture, dated as of March 5, 2019 between Applied Optoelectronics, Inc. and Wells Fargo Bank, National Association, as trustee,</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580" w:type="dxa"/>
            <w:vAlign w:val="bottom"/>
            <w:gridSpan w:val="25"/>
          </w:tcPr>
          <w:p>
            <w:pPr>
              <w:spacing w:after="0" w:line="195"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paying agent, and conversion agent (filed as Exhibit 4.1 to the Registrant’s Current Report on Form 8-K filed with the Securities and</w:t>
              </w:r>
            </w:hyperlink>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8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89"/>
              </w:rPr>
            </w:pPr>
            <w:hyperlink r:id="rId43">
              <w:r>
                <w:rPr>
                  <w:rFonts w:ascii="Arial" w:cs="Arial" w:eastAsia="Arial" w:hAnsi="Arial"/>
                  <w:sz w:val="18"/>
                  <w:szCs w:val="18"/>
                  <w:color w:val="0000EE"/>
                  <w:w w:val="89"/>
                </w:rPr>
                <w:t>Exchange Commission on March 5, 2019).</w:t>
              </w:r>
            </w:hyperlink>
          </w:p>
        </w:tc>
        <w:tc>
          <w:tcPr>
            <w:tcW w:w="6420" w:type="dxa"/>
            <w:vAlign w:val="bottom"/>
            <w:tcBorders>
              <w:top w:val="single" w:sz="8" w:color="0000EE"/>
            </w:tcBorders>
            <w:gridSpan w:val="16"/>
          </w:tcPr>
          <w:p>
            <w:pPr>
              <w:spacing w:after="0"/>
              <w:rPr>
                <w:sz w:val="16"/>
                <w:szCs w:val="16"/>
                <w:color w:val="auto"/>
              </w:rPr>
            </w:pPr>
          </w:p>
        </w:tc>
        <w:tc>
          <w:tcPr>
            <w:tcW w:w="80" w:type="dxa"/>
            <w:vAlign w:val="bottom"/>
            <w:gridSpan w:val="4"/>
          </w:tcPr>
          <w:p>
            <w:pPr>
              <w:spacing w:after="0"/>
              <w:rPr>
                <w:sz w:val="16"/>
                <w:szCs w:val="16"/>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24"/>
                <w:szCs w:val="24"/>
                <w:color w:val="auto"/>
              </w:rPr>
            </w:pPr>
          </w:p>
        </w:tc>
        <w:tc>
          <w:tcPr>
            <w:tcW w:w="9520" w:type="dxa"/>
            <w:vAlign w:val="bottom"/>
            <w:tcBorders>
              <w:bottom w:val="single" w:sz="8" w:color="0000EE"/>
            </w:tcBorders>
            <w:gridSpan w:val="22"/>
          </w:tcPr>
          <w:p>
            <w:pPr>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Form of Note representing the Company’s 5.00% Convertible Senior Notes due 2024 (included as Exhibit A to the Indenture filed as</w:t>
              </w:r>
            </w:hyperlink>
          </w:p>
        </w:tc>
        <w:tc>
          <w:tcPr>
            <w:tcW w:w="60" w:type="dxa"/>
            <w:vAlign w:val="bottom"/>
            <w:gridSpan w:val="3"/>
          </w:tcPr>
          <w:p>
            <w:pPr>
              <w:spacing w:after="0"/>
              <w:rPr>
                <w:sz w:val="24"/>
                <w:szCs w:val="24"/>
                <w:color w:val="auto"/>
              </w:rPr>
            </w:pPr>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580" w:type="dxa"/>
            <w:vAlign w:val="bottom"/>
            <w:gridSpan w:val="25"/>
          </w:tcPr>
          <w:p>
            <w:pPr>
              <w:spacing w:after="0" w:line="195"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Exhibit 4.1 to the Registrant’s Current Report on Form 8-K filed with the Securities and Exchange Commission on March 5, 2019).</w:t>
              </w:r>
            </w:hyperlink>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9480" w:type="dxa"/>
            <w:vAlign w:val="bottom"/>
            <w:tcBorders>
              <w:top w:val="single" w:sz="8" w:color="0000EE"/>
            </w:tcBorders>
            <w:gridSpan w:val="20"/>
          </w:tcPr>
          <w:p>
            <w:pPr>
              <w:spacing w:after="0"/>
              <w:rPr>
                <w:rFonts w:ascii="Arial" w:cs="Arial" w:eastAsia="Arial" w:hAnsi="Arial"/>
                <w:sz w:val="18"/>
                <w:szCs w:val="18"/>
                <w:color w:val="0000EE"/>
                <w:w w:val="96"/>
              </w:rPr>
            </w:pPr>
            <w:hyperlink r:id="rId44">
              <w:r>
                <w:rPr>
                  <w:rFonts w:ascii="Arial" w:cs="Arial" w:eastAsia="Arial" w:hAnsi="Arial"/>
                  <w:sz w:val="18"/>
                  <w:szCs w:val="18"/>
                  <w:color w:val="0000EE"/>
                  <w:w w:val="96"/>
                </w:rPr>
                <w:t>Fifth Amendment to Loan Agreement and Fourth Amendment to Security Agreement, dated April 5, 2021, between Applied</w:t>
              </w:r>
            </w:hyperlink>
          </w:p>
        </w:tc>
        <w:tc>
          <w:tcPr>
            <w:tcW w:w="100" w:type="dxa"/>
            <w:vAlign w:val="bottom"/>
            <w:gridSpan w:val="5"/>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940" w:type="dxa"/>
            <w:vAlign w:val="bottom"/>
            <w:tcBorders>
              <w:bottom w:val="single" w:sz="8" w:color="0000EE"/>
            </w:tcBorders>
            <w:gridSpan w:val="15"/>
          </w:tcPr>
          <w:p>
            <w:pPr>
              <w:spacing w:after="0" w:line="195"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Optoelectronics, Inc. and Truist Bank (included as Exhibit 10.1 to the Registrants Current Report on Form 8-K filed with the</w:t>
              </w:r>
            </w:hyperlink>
          </w:p>
        </w:tc>
        <w:tc>
          <w:tcPr>
            <w:tcW w:w="640" w:type="dxa"/>
            <w:vAlign w:val="bottom"/>
            <w:gridSpan w:val="10"/>
          </w:tcPr>
          <w:p>
            <w:pPr>
              <w:spacing w:after="0"/>
              <w:rPr>
                <w:sz w:val="16"/>
                <w:szCs w:val="16"/>
                <w:color w:val="auto"/>
              </w:rPr>
            </w:pPr>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580" w:type="dxa"/>
            <w:vAlign w:val="bottom"/>
            <w:gridSpan w:val="25"/>
          </w:tcPr>
          <w:p>
            <w:pPr>
              <w:spacing w:after="0" w:line="195" w:lineRule="exact"/>
              <w:rPr>
                <w:rFonts w:ascii="Arial" w:cs="Arial" w:eastAsia="Arial" w:hAnsi="Arial"/>
                <w:sz w:val="18"/>
                <w:szCs w:val="18"/>
                <w:color w:val="0000EE"/>
              </w:rPr>
            </w:pPr>
            <w:hyperlink r:id="rId44">
              <w:r>
                <w:rPr>
                  <w:rFonts w:ascii="Arial" w:cs="Arial" w:eastAsia="Arial" w:hAnsi="Arial"/>
                  <w:sz w:val="18"/>
                  <w:szCs w:val="18"/>
                  <w:color w:val="0000EE"/>
                </w:rPr>
                <w:t>Securities and Exchange Commission on April 9, 2021).</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9540" w:type="dxa"/>
            <w:vAlign w:val="bottom"/>
            <w:tcBorders>
              <w:bottom w:val="single" w:sz="8" w:color="0000EE"/>
            </w:tcBorders>
            <w:gridSpan w:val="23"/>
          </w:tcPr>
          <w:p>
            <w:pPr>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Note Modification Agreement, dated April 5, 2021, between Applied Optoelectronics, Inc. and Truist Bank (included as Exhibit 10.2</w:t>
              </w:r>
            </w:hyperlink>
          </w:p>
        </w:tc>
        <w:tc>
          <w:tcPr>
            <w:tcW w:w="40" w:type="dxa"/>
            <w:vAlign w:val="bottom"/>
            <w:gridSpan w:val="2"/>
          </w:tcPr>
          <w:p>
            <w:pPr>
              <w:spacing w:after="0"/>
              <w:rPr>
                <w:sz w:val="24"/>
                <w:szCs w:val="24"/>
                <w:color w:val="auto"/>
              </w:rPr>
            </w:pPr>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580" w:type="dxa"/>
            <w:vAlign w:val="bottom"/>
            <w:gridSpan w:val="25"/>
          </w:tcPr>
          <w:p>
            <w:pPr>
              <w:spacing w:after="0" w:line="195" w:lineRule="exact"/>
              <w:rPr>
                <w:rFonts w:ascii="Arial" w:cs="Arial" w:eastAsia="Arial" w:hAnsi="Arial"/>
                <w:sz w:val="18"/>
                <w:szCs w:val="18"/>
                <w:color w:val="0000EE"/>
              </w:rPr>
            </w:pPr>
            <w:hyperlink r:id="rId45">
              <w:r>
                <w:rPr>
                  <w:rFonts w:ascii="Arial" w:cs="Arial" w:eastAsia="Arial" w:hAnsi="Arial"/>
                  <w:sz w:val="18"/>
                  <w:szCs w:val="18"/>
                  <w:color w:val="0000EE"/>
                </w:rPr>
                <w:t>to the Registrants Current Report on Form 8-K filed with the Securities and Exchange Commission on April 9, 2021).</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4"/>
                <w:szCs w:val="24"/>
                <w:color w:val="auto"/>
              </w:rPr>
            </w:pPr>
          </w:p>
        </w:tc>
        <w:tc>
          <w:tcPr>
            <w:tcW w:w="9580" w:type="dxa"/>
            <w:vAlign w:val="bottom"/>
            <w:gridSpan w:val="25"/>
          </w:tcPr>
          <w:p>
            <w:pPr>
              <w:spacing w:after="0"/>
              <w:rPr>
                <w:rFonts w:ascii="Arial" w:cs="Arial" w:eastAsia="Arial" w:hAnsi="Arial"/>
                <w:sz w:val="18"/>
                <w:szCs w:val="18"/>
                <w:color w:val="0000EE"/>
                <w:w w:val="94"/>
              </w:rPr>
            </w:pPr>
            <w:hyperlink r:id="rId46">
              <w:r>
                <w:rPr>
                  <w:rFonts w:ascii="Arial" w:cs="Arial" w:eastAsia="Arial" w:hAnsi="Arial"/>
                  <w:sz w:val="18"/>
                  <w:szCs w:val="18"/>
                  <w:color w:val="0000EE"/>
                  <w:w w:val="94"/>
                </w:rPr>
                <w:t>Addendum to Promissory Note, dated April 5, 2021, between Applied Optoelectronics, Inc. and Truist Bank (included as Exhibit</w:t>
              </w:r>
            </w:hyperlink>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40" w:type="dxa"/>
            <w:vAlign w:val="bottom"/>
            <w:tcBorders>
              <w:top w:val="single" w:sz="8" w:color="0000EE"/>
            </w:tcBorders>
            <w:gridSpan w:val="17"/>
          </w:tcPr>
          <w:p>
            <w:pPr>
              <w:spacing w:after="0" w:line="195" w:lineRule="exact"/>
              <w:rPr>
                <w:rFonts w:ascii="Arial" w:cs="Arial" w:eastAsia="Arial" w:hAnsi="Arial"/>
                <w:sz w:val="18"/>
                <w:szCs w:val="18"/>
                <w:color w:val="0000EE"/>
                <w:w w:val="95"/>
              </w:rPr>
            </w:pPr>
            <w:hyperlink r:id="rId46">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3</w:t>
              </w:r>
              <w:r>
                <w:rPr>
                  <w:rFonts w:ascii="Arial" w:cs="Arial" w:eastAsia="Arial" w:hAnsi="Arial"/>
                  <w:sz w:val="18"/>
                  <w:szCs w:val="18"/>
                  <w:color w:val="0000EE"/>
                  <w:w w:val="95"/>
                </w:rPr>
                <w:t xml:space="preserve"> to the Registrants Current Report on Form 8-K filed with the Securities and Exchange Commission on April 9, 2021).</w:t>
              </w:r>
            </w:hyperlink>
          </w:p>
        </w:tc>
        <w:tc>
          <w:tcPr>
            <w:tcW w:w="340" w:type="dxa"/>
            <w:vAlign w:val="bottom"/>
            <w:gridSpan w:val="8"/>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9580" w:type="dxa"/>
            <w:vAlign w:val="bottom"/>
            <w:gridSpan w:val="25"/>
          </w:tcPr>
          <w:p>
            <w:pPr>
              <w:spacing w:after="0"/>
              <w:rPr>
                <w:rFonts w:ascii="Arial" w:cs="Arial" w:eastAsia="Arial" w:hAnsi="Arial"/>
                <w:sz w:val="18"/>
                <w:szCs w:val="18"/>
                <w:color w:val="0000EE"/>
                <w:w w:val="94"/>
              </w:rPr>
            </w:pPr>
            <w:hyperlink r:id="rId47">
              <w:r>
                <w:rPr>
                  <w:rFonts w:ascii="Arial" w:cs="Arial" w:eastAsia="Arial" w:hAnsi="Arial"/>
                  <w:sz w:val="18"/>
                  <w:szCs w:val="18"/>
                  <w:color w:val="0000EE"/>
                  <w:w w:val="94"/>
                </w:rPr>
                <w:t>2021 Stock Incentive Plan (included as Exhibit 10.1 to the Registrants Current Report on Form 8-K filed with the Securities and</w:t>
              </w:r>
            </w:hyperlink>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4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8"/>
              </w:rPr>
            </w:pPr>
            <w:hyperlink r:id="rId47">
              <w:r>
                <w:rPr>
                  <w:rFonts w:ascii="Arial" w:cs="Arial" w:eastAsia="Arial" w:hAnsi="Arial"/>
                  <w:sz w:val="18"/>
                  <w:szCs w:val="18"/>
                  <w:color w:val="0000EE"/>
                  <w:w w:val="88"/>
                </w:rPr>
                <w:t>Exchange Commission on June 3, 2021).</w:t>
              </w:r>
            </w:hyperlink>
          </w:p>
        </w:tc>
        <w:tc>
          <w:tcPr>
            <w:tcW w:w="6240" w:type="dxa"/>
            <w:vAlign w:val="bottom"/>
            <w:tcBorders>
              <w:top w:val="single" w:sz="8" w:color="0000EE"/>
            </w:tcBorders>
            <w:gridSpan w:val="13"/>
          </w:tcPr>
          <w:p>
            <w:pPr>
              <w:spacing w:after="0"/>
              <w:rPr>
                <w:sz w:val="16"/>
                <w:szCs w:val="16"/>
                <w:color w:val="auto"/>
              </w:rPr>
            </w:pPr>
          </w:p>
        </w:tc>
        <w:tc>
          <w:tcPr>
            <w:tcW w:w="400" w:type="dxa"/>
            <w:vAlign w:val="bottom"/>
            <w:gridSpan w:val="9"/>
          </w:tcPr>
          <w:p>
            <w:pPr>
              <w:spacing w:after="0"/>
              <w:rPr>
                <w:sz w:val="16"/>
                <w:szCs w:val="16"/>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10.4.1†**</w:t>
            </w:r>
          </w:p>
        </w:tc>
        <w:tc>
          <w:tcPr>
            <w:tcW w:w="460" w:type="dxa"/>
            <w:vAlign w:val="bottom"/>
          </w:tcPr>
          <w:p>
            <w:pPr>
              <w:spacing w:after="0"/>
              <w:rPr>
                <w:sz w:val="24"/>
                <w:szCs w:val="24"/>
                <w:color w:val="auto"/>
              </w:rPr>
            </w:pPr>
          </w:p>
        </w:tc>
        <w:tc>
          <w:tcPr>
            <w:tcW w:w="9580" w:type="dxa"/>
            <w:vAlign w:val="bottom"/>
            <w:gridSpan w:val="2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Form of Restricted Stock Unit Award Agreement under 2021 Equity Incentive Plan.</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10.4.2†**</w:t>
            </w:r>
          </w:p>
        </w:tc>
        <w:tc>
          <w:tcPr>
            <w:tcW w:w="460" w:type="dxa"/>
            <w:vAlign w:val="bottom"/>
          </w:tcPr>
          <w:p>
            <w:pPr>
              <w:spacing w:after="0"/>
              <w:rPr>
                <w:sz w:val="24"/>
                <w:szCs w:val="24"/>
                <w:color w:val="auto"/>
              </w:rPr>
            </w:pPr>
          </w:p>
        </w:tc>
        <w:tc>
          <w:tcPr>
            <w:tcW w:w="9580" w:type="dxa"/>
            <w:vAlign w:val="bottom"/>
            <w:gridSpan w:val="2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Form of Performance Restricted Stock Unit Award Agreement under 2021 Equity Incentive Plan.</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20" w:type="dxa"/>
            <w:vAlign w:val="bottom"/>
            <w:gridSpan w:val="8"/>
            <w:shd w:val="clear" w:color="auto" w:fill="0000EE"/>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958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Certification of Chief Executive Officer pursuant to Exchange Act Rule, 13a-14(a) and 15d-14(a), as adopted pursuant to Section 302</w:t>
              </w:r>
            </w:hyperlink>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580" w:type="dxa"/>
            <w:vAlign w:val="bottom"/>
            <w:gridSpan w:val="25"/>
          </w:tcPr>
          <w:p>
            <w:pPr>
              <w:spacing w:after="0" w:line="195" w:lineRule="exact"/>
              <w:rPr>
                <w:rFonts w:ascii="Arial" w:cs="Arial" w:eastAsia="Arial" w:hAnsi="Arial"/>
                <w:sz w:val="18"/>
                <w:szCs w:val="18"/>
                <w:color w:val="0000EE"/>
              </w:rPr>
            </w:pPr>
            <w:hyperlink w:anchor="page52">
              <w:r>
                <w:rPr>
                  <w:rFonts w:ascii="Arial" w:cs="Arial" w:eastAsia="Arial" w:hAnsi="Arial"/>
                  <w:sz w:val="18"/>
                  <w:szCs w:val="18"/>
                  <w:color w:val="0000EE"/>
                </w:rPr>
                <w:t>of the Sarbanes-Oxley Act of 2002.</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60" w:type="dxa"/>
            <w:vAlign w:val="bottom"/>
            <w:gridSpan w:val="1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580" w:type="dxa"/>
            <w:vAlign w:val="bottom"/>
            <w:gridSpan w:val="25"/>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Certification of Chief Financial Officer pursuant to Exchange Act Rule, 13a-14(a) and 15d-14(a), as adopted pursuant to Section 302</w:t>
              </w:r>
            </w:hyperlink>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520" w:type="dxa"/>
            <w:vAlign w:val="bottom"/>
            <w:tcBorders>
              <w:top w:val="single" w:sz="8" w:color="0000EE"/>
            </w:tcBorders>
            <w:gridSpan w:val="22"/>
          </w:tcPr>
          <w:p>
            <w:pPr>
              <w:spacing w:after="0" w:line="195" w:lineRule="exact"/>
              <w:rPr>
                <w:rFonts w:ascii="Arial" w:cs="Arial" w:eastAsia="Arial" w:hAnsi="Arial"/>
                <w:sz w:val="18"/>
                <w:szCs w:val="18"/>
                <w:color w:val="0000EE"/>
              </w:rPr>
            </w:pPr>
            <w:hyperlink w:anchor="page53">
              <w:r>
                <w:rPr>
                  <w:rFonts w:ascii="Arial" w:cs="Arial" w:eastAsia="Arial" w:hAnsi="Arial"/>
                  <w:sz w:val="18"/>
                  <w:szCs w:val="18"/>
                  <w:color w:val="0000EE"/>
                </w:rPr>
                <w:t>of the Sarbanes-Oxley Act of 2002.</w:t>
              </w:r>
            </w:hyperlink>
          </w:p>
        </w:tc>
        <w:tc>
          <w:tcPr>
            <w:tcW w:w="60" w:type="dxa"/>
            <w:vAlign w:val="bottom"/>
            <w:gridSpan w:val="3"/>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60" w:type="dxa"/>
            <w:vAlign w:val="bottom"/>
            <w:gridSpan w:val="16"/>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410"/>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580" w:type="dxa"/>
            <w:vAlign w:val="bottom"/>
            <w:gridSpan w:val="25"/>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Certification pursuant to 18 U.S.C. 1350, adopted pursuant to Section 906 of the Sarbanes-Oxley Act of 2002, by Chief Executive</w:t>
              </w:r>
            </w:hyperlink>
          </w:p>
        </w:tc>
      </w:tr>
      <w:tr>
        <w:trPr>
          <w:trHeight w:val="195"/>
        </w:trPr>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320" w:type="dxa"/>
            <w:vAlign w:val="bottom"/>
            <w:tcBorders>
              <w:top w:val="single" w:sz="8" w:color="0000EE"/>
            </w:tcBorders>
            <w:gridSpan w:val="18"/>
          </w:tcPr>
          <w:p>
            <w:pPr>
              <w:spacing w:after="0" w:line="195" w:lineRule="exact"/>
              <w:rPr>
                <w:rFonts w:ascii="Arial" w:cs="Arial" w:eastAsia="Arial" w:hAnsi="Arial"/>
                <w:sz w:val="18"/>
                <w:szCs w:val="18"/>
                <w:color w:val="0000EE"/>
              </w:rPr>
            </w:pPr>
            <w:hyperlink w:anchor="page54">
              <w:r>
                <w:rPr>
                  <w:rFonts w:ascii="Arial" w:cs="Arial" w:eastAsia="Arial" w:hAnsi="Arial"/>
                  <w:sz w:val="18"/>
                  <w:szCs w:val="18"/>
                  <w:color w:val="0000EE"/>
                </w:rPr>
                <w:t>Officer and Chief Financial Officer.</w:t>
              </w:r>
            </w:hyperlink>
          </w:p>
        </w:tc>
        <w:tc>
          <w:tcPr>
            <w:tcW w:w="260" w:type="dxa"/>
            <w:vAlign w:val="bottom"/>
            <w:gridSpan w:val="7"/>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7020" w:type="dxa"/>
            <w:vAlign w:val="bottom"/>
            <w:gridSpan w:val="23"/>
          </w:tcPr>
          <w:p>
            <w:pPr>
              <w:spacing w:after="0" w:line="20" w:lineRule="exact"/>
              <w:rPr>
                <w:sz w:val="1"/>
                <w:szCs w:val="1"/>
                <w:color w:val="auto"/>
              </w:rPr>
            </w:pPr>
          </w:p>
        </w:tc>
      </w:tr>
      <w:tr>
        <w:trPr>
          <w:trHeight w:val="436"/>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460" w:type="dxa"/>
            <w:vAlign w:val="bottom"/>
          </w:tcPr>
          <w:p>
            <w:pPr>
              <w:spacing w:after="0"/>
              <w:rPr>
                <w:sz w:val="24"/>
                <w:szCs w:val="24"/>
                <w:color w:val="auto"/>
              </w:rPr>
            </w:pPr>
          </w:p>
        </w:tc>
        <w:tc>
          <w:tcPr>
            <w:tcW w:w="9580" w:type="dxa"/>
            <w:vAlign w:val="bottom"/>
            <w:gridSpan w:val="25"/>
          </w:tcPr>
          <w:p>
            <w:pPr>
              <w:spacing w:after="0"/>
              <w:rPr>
                <w:sz w:val="20"/>
                <w:szCs w:val="20"/>
                <w:color w:val="auto"/>
              </w:rPr>
            </w:pPr>
            <w:r>
              <w:rPr>
                <w:rFonts w:ascii="Arial" w:cs="Arial" w:eastAsia="Arial" w:hAnsi="Arial"/>
                <w:sz w:val="18"/>
                <w:szCs w:val="18"/>
                <w:color w:val="auto"/>
                <w:w w:val="93"/>
              </w:rPr>
              <w:t>Inline XBRL Instance – the instance document does not appear in the Interactive Data File because its XBRL tags are embedded</w:t>
            </w:r>
          </w:p>
        </w:tc>
      </w:tr>
      <w:tr>
        <w:trPr>
          <w:trHeight w:val="230"/>
        </w:trPr>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580" w:type="dxa"/>
            <w:vAlign w:val="bottom"/>
            <w:gridSpan w:val="25"/>
          </w:tcPr>
          <w:p>
            <w:pPr>
              <w:spacing w:after="0"/>
              <w:rPr>
                <w:sz w:val="20"/>
                <w:szCs w:val="20"/>
                <w:color w:val="auto"/>
              </w:rPr>
            </w:pPr>
            <w:r>
              <w:rPr>
                <w:rFonts w:ascii="Arial" w:cs="Arial" w:eastAsia="Arial" w:hAnsi="Arial"/>
                <w:sz w:val="18"/>
                <w:szCs w:val="18"/>
                <w:color w:val="auto"/>
              </w:rPr>
              <w:t>within the Inline XBRL document.</w:t>
            </w:r>
          </w:p>
        </w:tc>
      </w:tr>
      <w:tr>
        <w:trPr>
          <w:trHeight w:val="430"/>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460" w:type="dxa"/>
            <w:vAlign w:val="bottom"/>
          </w:tcPr>
          <w:p>
            <w:pPr>
              <w:spacing w:after="0"/>
              <w:rPr>
                <w:sz w:val="24"/>
                <w:szCs w:val="24"/>
                <w:color w:val="auto"/>
              </w:rPr>
            </w:pPr>
          </w:p>
        </w:tc>
        <w:tc>
          <w:tcPr>
            <w:tcW w:w="9580" w:type="dxa"/>
            <w:vAlign w:val="bottom"/>
            <w:gridSpan w:val="2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0"/>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460" w:type="dxa"/>
            <w:vAlign w:val="bottom"/>
          </w:tcPr>
          <w:p>
            <w:pPr>
              <w:spacing w:after="0"/>
              <w:rPr>
                <w:sz w:val="24"/>
                <w:szCs w:val="24"/>
                <w:color w:val="auto"/>
              </w:rPr>
            </w:pPr>
          </w:p>
        </w:tc>
        <w:tc>
          <w:tcPr>
            <w:tcW w:w="9580" w:type="dxa"/>
            <w:vAlign w:val="bottom"/>
            <w:gridSpan w:val="2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0"/>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460" w:type="dxa"/>
            <w:vAlign w:val="bottom"/>
          </w:tcPr>
          <w:p>
            <w:pPr>
              <w:spacing w:after="0"/>
              <w:rPr>
                <w:sz w:val="24"/>
                <w:szCs w:val="24"/>
                <w:color w:val="auto"/>
              </w:rPr>
            </w:pPr>
          </w:p>
        </w:tc>
        <w:tc>
          <w:tcPr>
            <w:tcW w:w="9580" w:type="dxa"/>
            <w:vAlign w:val="bottom"/>
            <w:gridSpan w:val="2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0"/>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460" w:type="dxa"/>
            <w:vAlign w:val="bottom"/>
          </w:tcPr>
          <w:p>
            <w:pPr>
              <w:spacing w:after="0"/>
              <w:rPr>
                <w:sz w:val="24"/>
                <w:szCs w:val="24"/>
                <w:color w:val="auto"/>
              </w:rPr>
            </w:pPr>
          </w:p>
        </w:tc>
        <w:tc>
          <w:tcPr>
            <w:tcW w:w="9580" w:type="dxa"/>
            <w:vAlign w:val="bottom"/>
            <w:gridSpan w:val="2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0"/>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460" w:type="dxa"/>
            <w:vAlign w:val="bottom"/>
          </w:tcPr>
          <w:p>
            <w:pPr>
              <w:spacing w:after="0"/>
              <w:rPr>
                <w:sz w:val="24"/>
                <w:szCs w:val="24"/>
                <w:color w:val="auto"/>
              </w:rPr>
            </w:pPr>
          </w:p>
        </w:tc>
        <w:tc>
          <w:tcPr>
            <w:tcW w:w="9580" w:type="dxa"/>
            <w:vAlign w:val="bottom"/>
            <w:gridSpan w:val="2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0"/>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9580" w:type="dxa"/>
            <w:vAlign w:val="bottom"/>
            <w:gridSpan w:val="2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33655</wp:posOffset>
            </wp:positionV>
            <wp:extent cx="7169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6915" cy="8255"/>
                    </a:xfrm>
                    <a:prstGeom prst="rect">
                      <a:avLst/>
                    </a:prstGeom>
                    <a:noFill/>
                  </pic:spPr>
                </pic:pic>
              </a:graphicData>
            </a:graphic>
          </wp:anchor>
        </w:drawing>
      </w:r>
    </w:p>
    <w:p>
      <w:pPr>
        <w:spacing w:after="0" w:line="86" w:lineRule="exact"/>
        <w:rPr>
          <w:sz w:val="20"/>
          <w:szCs w:val="20"/>
          <w:color w:val="auto"/>
        </w:rPr>
      </w:pPr>
    </w:p>
    <w:p>
      <w:pPr>
        <w:ind w:left="46" w:right="6720" w:firstLine="7"/>
        <w:spacing w:after="0" w:line="257" w:lineRule="auto"/>
        <w:tabs>
          <w:tab w:leader="none" w:pos="584"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 ** Filed herewith.</w:t>
      </w:r>
    </w:p>
    <w:p>
      <w:pPr>
        <w:spacing w:after="0" w:line="1" w:lineRule="exact"/>
        <w:rPr>
          <w:rFonts w:ascii="Arial" w:cs="Arial" w:eastAsia="Arial" w:hAnsi="Arial"/>
          <w:sz w:val="18"/>
          <w:szCs w:val="18"/>
          <w:color w:val="auto"/>
        </w:rPr>
      </w:pPr>
    </w:p>
    <w:p>
      <w:pPr>
        <w:ind w:left="126" w:hanging="126"/>
        <w:spacing w:after="0"/>
        <w:tabs>
          <w:tab w:leader="none" w:pos="126"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ectPr>
          <w:pgSz w:w="11900" w:h="16838" w:orient="portrait"/>
          <w:cols w:equalWidth="0" w:num="1">
            <w:col w:w="11286"/>
          </w:cols>
          <w:pgMar w:left="274" w:top="125" w:right="339" w:bottom="2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5"/>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97155</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86"/>
          </w:cols>
          <w:pgMar w:left="274" w:top="125" w:right="339" w:bottom="27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APPLIED OPTOELECTRONICS, INC.</w:t>
            </w:r>
          </w:p>
        </w:tc>
      </w:tr>
      <w:tr>
        <w:trPr>
          <w:trHeight w:val="430"/>
        </w:trPr>
        <w:tc>
          <w:tcPr>
            <w:tcW w:w="3540" w:type="dxa"/>
            <w:vAlign w:val="bottom"/>
          </w:tcPr>
          <w:p>
            <w:pPr>
              <w:spacing w:after="0"/>
              <w:rPr>
                <w:sz w:val="20"/>
                <w:szCs w:val="20"/>
                <w:color w:val="auto"/>
              </w:rPr>
            </w:pPr>
            <w:r>
              <w:rPr>
                <w:rFonts w:ascii="Arial" w:cs="Arial" w:eastAsia="Arial" w:hAnsi="Arial"/>
                <w:sz w:val="18"/>
                <w:szCs w:val="18"/>
                <w:color w:val="auto"/>
              </w:rPr>
              <w:t>Date: August 5, 2021</w:t>
            </w: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By:  /s/ STEFAN J. MURRY</w:t>
            </w:r>
          </w:p>
        </w:tc>
      </w:tr>
      <w:tr>
        <w:trPr>
          <w:trHeight w:val="194"/>
        </w:trPr>
        <w:tc>
          <w:tcPr>
            <w:tcW w:w="35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r>
      <w:tr>
        <w:trPr>
          <w:trHeight w:val="215"/>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443"/>
        </w:trPr>
        <w:tc>
          <w:tcPr>
            <w:tcW w:w="3540" w:type="dxa"/>
            <w:vAlign w:val="bottom"/>
          </w:tcPr>
          <w:p>
            <w:pPr>
              <w:spacing w:after="0"/>
              <w:rPr>
                <w:sz w:val="24"/>
                <w:szCs w:val="24"/>
                <w:color w:val="auto"/>
              </w:rPr>
            </w:pPr>
          </w:p>
        </w:tc>
        <w:tc>
          <w:tcPr>
            <w:tcW w:w="2500" w:type="dxa"/>
            <w:vAlign w:val="bottom"/>
          </w:tcPr>
          <w:p>
            <w:pPr>
              <w:jc w:val="right"/>
              <w:ind w:right="230"/>
              <w:spacing w:after="0"/>
              <w:rPr>
                <w:sz w:val="20"/>
                <w:szCs w:val="20"/>
                <w:color w:val="auto"/>
              </w:rPr>
            </w:pPr>
            <w:r>
              <w:rPr>
                <w:rFonts w:ascii="Arial" w:cs="Arial" w:eastAsia="Arial" w:hAnsi="Arial"/>
                <w:sz w:val="18"/>
                <w:szCs w:val="18"/>
                <w:color w:val="auto"/>
              </w:rPr>
              <w:t>37</w:t>
            </w:r>
          </w:p>
        </w:tc>
        <w:tc>
          <w:tcPr>
            <w:tcW w:w="5200" w:type="dxa"/>
            <w:vAlign w:val="bottom"/>
          </w:tcPr>
          <w:p>
            <w:pPr>
              <w:spacing w:after="0"/>
              <w:rPr>
                <w:sz w:val="24"/>
                <w:szCs w:val="24"/>
                <w:color w:val="auto"/>
              </w:rPr>
            </w:pPr>
          </w:p>
        </w:tc>
      </w:tr>
      <w:tr>
        <w:trPr>
          <w:trHeight w:val="114"/>
        </w:trPr>
        <w:tc>
          <w:tcPr>
            <w:tcW w:w="35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52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UNIT AWARD</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Subject to the terms and conditions of this Notice of Restricted Stock Unit Award (this "</w:t>
      </w:r>
      <w:r>
        <w:rPr>
          <w:rFonts w:ascii="Arial" w:cs="Arial" w:eastAsia="Arial" w:hAnsi="Arial"/>
          <w:sz w:val="17"/>
          <w:szCs w:val="17"/>
          <w:u w:val="single" w:color="auto"/>
          <w:color w:val="auto"/>
        </w:rPr>
        <w:t>Notice</w:t>
      </w:r>
      <w:r>
        <w:rPr>
          <w:rFonts w:ascii="Arial" w:cs="Arial" w:eastAsia="Arial" w:hAnsi="Arial"/>
          <w:sz w:val="17"/>
          <w:szCs w:val="17"/>
          <w:color w:val="auto"/>
        </w:rPr>
        <w:t>"), the Restricted Stock Unit Award Agreement attached hereto (the "</w:t>
      </w:r>
      <w:r>
        <w:rPr>
          <w:rFonts w:ascii="Arial" w:cs="Arial" w:eastAsia="Arial" w:hAnsi="Arial"/>
          <w:sz w:val="17"/>
          <w:szCs w:val="17"/>
          <w:u w:val="single" w:color="auto"/>
          <w:color w:val="auto"/>
        </w:rPr>
        <w:t>Award Agreement</w:t>
      </w:r>
      <w:r>
        <w:rPr>
          <w:rFonts w:ascii="Arial" w:cs="Arial" w:eastAsia="Arial" w:hAnsi="Arial"/>
          <w:sz w:val="17"/>
          <w:szCs w:val="17"/>
          <w:color w:val="auto"/>
        </w:rPr>
        <w:t>"), and the Applied Optoelectronics, Inc. 2021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the below individual (the "</w:t>
      </w:r>
      <w:r>
        <w:rPr>
          <w:rFonts w:ascii="Arial" w:cs="Arial" w:eastAsia="Arial" w:hAnsi="Arial"/>
          <w:sz w:val="17"/>
          <w:szCs w:val="17"/>
          <w:u w:val="single" w:color="auto"/>
          <w:color w:val="auto"/>
        </w:rPr>
        <w:t>Participant</w:t>
      </w:r>
      <w:r>
        <w:rPr>
          <w:rFonts w:ascii="Arial" w:cs="Arial" w:eastAsia="Arial" w:hAnsi="Arial"/>
          <w:sz w:val="17"/>
          <w:szCs w:val="17"/>
          <w:color w:val="auto"/>
        </w:rPr>
        <w:t>") is hereby granted the below number of Restricted Stock Units (the "</w:t>
      </w:r>
      <w:r>
        <w:rPr>
          <w:rFonts w:ascii="Arial" w:cs="Arial" w:eastAsia="Arial" w:hAnsi="Arial"/>
          <w:sz w:val="17"/>
          <w:szCs w:val="17"/>
          <w:u w:val="single" w:color="auto"/>
          <w:color w:val="auto"/>
        </w:rPr>
        <w:t>RSUs</w:t>
      </w:r>
      <w:r>
        <w:rPr>
          <w:rFonts w:ascii="Arial" w:cs="Arial" w:eastAsia="Arial" w:hAnsi="Arial"/>
          <w:sz w:val="17"/>
          <w:szCs w:val="17"/>
          <w:color w:val="auto"/>
        </w:rPr>
        <w:t>") in the Common Stock of Applied Optoelectronics,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Unless otherwise specifically indicated, all terms used in this Notice shall have the meaning as set forth in the Award Agreement or the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Identifying Information:</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Participant Name:</w:t>
      </w:r>
    </w:p>
    <w:p>
      <w:pPr>
        <w:spacing w:after="0" w:line="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and Address:</w:t>
      </w:r>
    </w:p>
    <w:p>
      <w:pPr>
        <w:spacing w:after="0" w:line="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Employee ID / Participant Code:</w:t>
      </w:r>
    </w:p>
    <w:p>
      <w:pPr>
        <w:spacing w:after="0" w:line="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Grant Number:</w:t>
      </w:r>
    </w:p>
    <w:p>
      <w:pPr>
        <w:spacing w:after="0" w:line="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Number of RSUs:</w:t>
      </w:r>
    </w:p>
    <w:p>
      <w:pPr>
        <w:spacing w:after="0" w:line="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Date of Grant:</w:t>
      </w:r>
    </w:p>
    <w:p>
      <w:pPr>
        <w:spacing w:after="0" w:line="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Vesting Commencement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p>
    <w:p>
      <w:pPr>
        <w:spacing w:after="0" w:line="2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Subject to the Participant's continuous status as a Service Provider, and the terms of the Plan and this Award Agreement, the RSUs shall vest over a [ ]-year period in accordance with the following vesting schedule (the "</w:t>
      </w: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ind w:left="2240"/>
        <w:spacing w:after="0"/>
        <w:tabs>
          <w:tab w:leader="none" w:pos="6900" w:val="left"/>
        </w:tabs>
        <w:rPr>
          <w:sz w:val="20"/>
          <w:szCs w:val="20"/>
          <w:color w:val="auto"/>
        </w:rPr>
      </w:pPr>
      <w:r>
        <w:rPr>
          <w:rFonts w:ascii="Arial" w:cs="Arial" w:eastAsia="Arial" w:hAnsi="Arial"/>
          <w:sz w:val="18"/>
          <w:szCs w:val="18"/>
          <w:u w:val="single" w:color="auto"/>
          <w:color w:val="auto"/>
        </w:rPr>
        <w:t>Vesting Date</w:t>
      </w:r>
      <w:r>
        <w:rPr>
          <w:sz w:val="20"/>
          <w:szCs w:val="20"/>
          <w:color w:val="auto"/>
        </w:rPr>
        <w:tab/>
      </w:r>
      <w:r>
        <w:rPr>
          <w:rFonts w:ascii="Arial" w:cs="Arial" w:eastAsia="Arial" w:hAnsi="Arial"/>
          <w:sz w:val="16"/>
          <w:szCs w:val="16"/>
          <w:u w:val="single" w:color="auto"/>
          <w:color w:val="auto"/>
        </w:rPr>
        <w:t>Nonforfeitable Proportion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Notwithstanding the above, the RSUs shall automatically become fully vested upon the earlier of: (i) the Participant's Disability (as determined in the sole discretion of the Company) and (ii) the Participant's death.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236220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ind w:firstLine="645"/>
        <w:spacing w:after="0" w:line="275" w:lineRule="auto"/>
        <w:rPr>
          <w:sz w:val="20"/>
          <w:szCs w:val="20"/>
          <w:color w:val="auto"/>
        </w:rPr>
      </w:pPr>
      <w:r>
        <w:rPr>
          <w:rFonts w:ascii="Arial" w:cs="Arial" w:eastAsia="Arial" w:hAnsi="Arial"/>
          <w:sz w:val="18"/>
          <w:szCs w:val="18"/>
          <w:color w:val="auto"/>
        </w:rPr>
        <w:t>By your signature and the signature of the Company's representative below, the Participant and the Company agree that the RSUs granted are governed by the terms and conditions of this Notice, the Award Agreement and the Plan.</w:t>
      </w:r>
    </w:p>
    <w:p>
      <w:pPr>
        <w:spacing w:after="0" w:line="16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APPLIED OPTOELECTRONICS, INC.</w:t>
      </w:r>
    </w:p>
    <w:p>
      <w:pPr>
        <w:spacing w:after="0" w:line="200" w:lineRule="exact"/>
        <w:rPr>
          <w:sz w:val="20"/>
          <w:szCs w:val="20"/>
          <w:color w:val="auto"/>
        </w:rPr>
      </w:pPr>
    </w:p>
    <w:p>
      <w:pPr>
        <w:spacing w:after="0" w:line="2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PARTICIPANT ACKNOWLEDGMENT</w:t>
      </w:r>
    </w:p>
    <w:p>
      <w:pPr>
        <w:spacing w:after="0" w:line="227"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The Participant acknowledges receipt of a copy of this Notice, the Award Agreement and the Plan, and represents that he or she is familiar with the provisions thereof, and hereby accepts the RSUs subject to all of the terms and provisions hereof and thereof. The Participant has reviewed this Notice, the Award Agreement and the Plan in their entirety, has had an opportunity to obtain the advice of legal counsel prior to executing this Notice, the Award Agreement, and fully understands all provisions of this Notice, the Award Agreement and the Plan. The Participant hereby agrees that all questions of interpretation and administration relating to this Notice, the Award Agreement and the Plan shall be resolved by the Committee.</w:t>
      </w:r>
    </w:p>
    <w:p>
      <w:pPr>
        <w:spacing w:after="0" w:line="174"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The Participant hereby acknowledges that he or she has had the opportunity to review with his or her own tax advisors the tax consequences of receiving this Notice, the Award Agreement and the Plan, and the transactions contemplated thereby, including any U.S. federal, state and local tax laws, and any other applicable taxing jurisdiction, prior to executing this Notice. The Participant attests that he or she is relying solely on such advisors and not on any statements or representations of the Company or any of its agents or affiliates. Further, the Participant hereby acknowledges and understands that he or she (and not the Company) shall be solely responsible for his or her tax liability that may arise as a result of receiving this Notice and the Award Agreement.</w:t>
      </w:r>
    </w:p>
    <w:p>
      <w:pPr>
        <w:spacing w:after="0" w:line="15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PARTICIPANT:</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Signed:</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 Name: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97"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APPLIED OPTOELECTRONICS, INC.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EQUITY INCENTIVE PLAN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Subject to the terms and conditions of the Notice of Restricted Stock Unit Award (the "</w:t>
      </w:r>
      <w:r>
        <w:rPr>
          <w:rFonts w:ascii="Arial" w:cs="Arial" w:eastAsia="Arial" w:hAnsi="Arial"/>
          <w:sz w:val="17"/>
          <w:szCs w:val="17"/>
          <w:u w:val="single" w:color="auto"/>
          <w:color w:val="auto"/>
        </w:rPr>
        <w:t>Notice</w:t>
      </w:r>
      <w:r>
        <w:rPr>
          <w:rFonts w:ascii="Arial" w:cs="Arial" w:eastAsia="Arial" w:hAnsi="Arial"/>
          <w:sz w:val="17"/>
          <w:szCs w:val="17"/>
          <w:color w:val="auto"/>
        </w:rPr>
        <w:t>"), this Restricted Stock Unit Award Agreement (this "</w:t>
      </w:r>
      <w:r>
        <w:rPr>
          <w:rFonts w:ascii="Arial" w:cs="Arial" w:eastAsia="Arial" w:hAnsi="Arial"/>
          <w:sz w:val="17"/>
          <w:szCs w:val="17"/>
          <w:u w:val="single" w:color="auto"/>
          <w:color w:val="auto"/>
        </w:rPr>
        <w:t>Award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the Applied Optoelectronics, Inc. 2021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the individual set forth in the Notice (the "</w:t>
      </w:r>
      <w:r>
        <w:rPr>
          <w:rFonts w:ascii="Arial" w:cs="Arial" w:eastAsia="Arial" w:hAnsi="Arial"/>
          <w:sz w:val="17"/>
          <w:szCs w:val="17"/>
          <w:u w:val="single" w:color="auto"/>
          <w:color w:val="auto"/>
        </w:rPr>
        <w:t>Participant</w:t>
      </w:r>
      <w:r>
        <w:rPr>
          <w:rFonts w:ascii="Arial" w:cs="Arial" w:eastAsia="Arial" w:hAnsi="Arial"/>
          <w:sz w:val="17"/>
          <w:szCs w:val="17"/>
          <w:color w:val="auto"/>
        </w:rPr>
        <w:t>") is hereby granted Restricted Stock Units (the "</w:t>
      </w:r>
      <w:r>
        <w:rPr>
          <w:rFonts w:ascii="Arial" w:cs="Arial" w:eastAsia="Arial" w:hAnsi="Arial"/>
          <w:sz w:val="17"/>
          <w:szCs w:val="17"/>
          <w:u w:val="single" w:color="auto"/>
          <w:color w:val="auto"/>
        </w:rPr>
        <w:t>RSUs</w:t>
      </w:r>
      <w:r>
        <w:rPr>
          <w:rFonts w:ascii="Arial" w:cs="Arial" w:eastAsia="Arial" w:hAnsi="Arial"/>
          <w:sz w:val="17"/>
          <w:szCs w:val="17"/>
          <w:color w:val="auto"/>
        </w:rPr>
        <w:t>") in the Common Stock of Applied Optoelectronics,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Unless otherwise specifically indicated, all terms used in this Award Agreement shall have the meaning as set forth in the Notice or the Plan.</w:t>
      </w:r>
    </w:p>
    <w:p>
      <w:pPr>
        <w:spacing w:after="0" w:line="172" w:lineRule="exact"/>
        <w:rPr>
          <w:sz w:val="20"/>
          <w:szCs w:val="20"/>
          <w:color w:val="auto"/>
        </w:rPr>
      </w:pPr>
    </w:p>
    <w:p>
      <w:pPr>
        <w:ind w:left="320" w:hanging="313"/>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Vesting Schedule and Risk of Forfeiture.</w:t>
      </w:r>
    </w:p>
    <w:p>
      <w:pPr>
        <w:spacing w:after="0" w:line="222" w:lineRule="exact"/>
        <w:rPr>
          <w:rFonts w:ascii="Arial" w:cs="Arial" w:eastAsia="Arial" w:hAnsi="Arial"/>
          <w:sz w:val="18"/>
          <w:szCs w:val="18"/>
          <w:color w:val="auto"/>
        </w:rPr>
      </w:pPr>
    </w:p>
    <w:p>
      <w:pPr>
        <w:ind w:right="20" w:firstLine="652"/>
        <w:spacing w:after="0" w:line="305" w:lineRule="auto"/>
        <w:tabs>
          <w:tab w:leader="none" w:pos="1020" w:val="left"/>
        </w:tabs>
        <w:numPr>
          <w:ilvl w:val="1"/>
          <w:numId w:val="7"/>
        </w:numPr>
        <w:rPr>
          <w:rFonts w:ascii="Arial" w:cs="Arial" w:eastAsia="Arial" w:hAnsi="Arial"/>
          <w:sz w:val="17"/>
          <w:szCs w:val="17"/>
          <w:color w:val="auto"/>
        </w:rPr>
      </w:pPr>
      <w:r>
        <w:rPr>
          <w:rFonts w:ascii="Arial" w:cs="Arial" w:eastAsia="Arial" w:hAnsi="Arial"/>
          <w:sz w:val="17"/>
          <w:szCs w:val="17"/>
          <w:color w:val="auto"/>
        </w:rPr>
        <w:t>Vesting Schedule. Subject to the Participant's continuous service with the Company as a Service Provider and any other limitations set forth in the Notice, the Plan or this Award Agreement, the RSUs shall vest in accordance with the Vesting Schedule provided in the Notice.</w:t>
      </w:r>
    </w:p>
    <w:p>
      <w:pPr>
        <w:spacing w:after="0" w:line="148" w:lineRule="exact"/>
        <w:rPr>
          <w:rFonts w:ascii="Arial" w:cs="Arial" w:eastAsia="Arial" w:hAnsi="Arial"/>
          <w:sz w:val="17"/>
          <w:szCs w:val="17"/>
          <w:color w:val="auto"/>
        </w:rPr>
      </w:pPr>
    </w:p>
    <w:p>
      <w:pPr>
        <w:ind w:right="100" w:firstLine="652"/>
        <w:spacing w:after="0" w:line="292" w:lineRule="auto"/>
        <w:tabs>
          <w:tab w:leader="none" w:pos="1033" w:val="left"/>
        </w:tabs>
        <w:numPr>
          <w:ilvl w:val="1"/>
          <w:numId w:val="7"/>
        </w:numPr>
        <w:rPr>
          <w:rFonts w:ascii="Arial" w:cs="Arial" w:eastAsia="Arial" w:hAnsi="Arial"/>
          <w:sz w:val="16"/>
          <w:szCs w:val="16"/>
          <w:color w:val="auto"/>
        </w:rPr>
      </w:pPr>
      <w:r>
        <w:rPr>
          <w:rFonts w:ascii="Arial" w:cs="Arial" w:eastAsia="Arial" w:hAnsi="Arial"/>
          <w:sz w:val="16"/>
          <w:szCs w:val="16"/>
          <w:color w:val="auto"/>
        </w:rPr>
        <w:t>Risk of Forfeiture. The RSUs shall be subject to a risk of forfeiture until such time that the risk of forfeiture lapses in accordance with the Vesting Schedule. All or any portion of the RSUs subject to a risk of forfeiture shall automatically be forfeited and immediately returned to the Company if the Participant's continuous status as a Service Provider is interrupted or terminated for any reason, unless otherwise provided by the Administrator. The Company shall implement any forfeiture under this Section 1 in a unilateral manner, without the Participant's consent, and with no payment to the Participant, cash or otherwise, for any unvested RSUs that are forfeited. Additionally, all of the RSUs subject to this Award Agreement shall immediately become forfeited if the Participant fails to fully satisfy Section 3(b) of this Award Agreement, as determined by the Committee.</w:t>
      </w:r>
    </w:p>
    <w:p>
      <w:pPr>
        <w:spacing w:after="0" w:line="161" w:lineRule="exact"/>
        <w:rPr>
          <w:rFonts w:ascii="Arial" w:cs="Arial" w:eastAsia="Arial" w:hAnsi="Arial"/>
          <w:sz w:val="16"/>
          <w:szCs w:val="16"/>
          <w:color w:val="auto"/>
        </w:rPr>
      </w:pPr>
    </w:p>
    <w:p>
      <w:pPr>
        <w:ind w:right="80" w:firstLine="7"/>
        <w:spacing w:after="0" w:line="300" w:lineRule="auto"/>
        <w:tabs>
          <w:tab w:leader="none" w:pos="313" w:val="left"/>
        </w:tabs>
        <w:numPr>
          <w:ilvl w:val="0"/>
          <w:numId w:val="7"/>
        </w:numPr>
        <w:rPr>
          <w:rFonts w:ascii="Arial" w:cs="Arial" w:eastAsia="Arial" w:hAnsi="Arial"/>
          <w:sz w:val="16"/>
          <w:szCs w:val="16"/>
          <w:color w:val="auto"/>
        </w:rPr>
      </w:pPr>
      <w:r>
        <w:rPr>
          <w:rFonts w:ascii="Arial" w:cs="Arial" w:eastAsia="Arial" w:hAnsi="Arial"/>
          <w:sz w:val="16"/>
          <w:szCs w:val="16"/>
          <w:color w:val="auto"/>
        </w:rPr>
        <w:t>Settlement of RSUs into Shares. Subject to the terms of this Award Agreement, and only to the extent all or any portion of the RSUs become nonforfeitable pursuant to the Vesting Schedule, each RSU that becomes nonforfeitable shall be converted into one Share of the Company's Common Stock on the Vesting Date (as defined in the Vesting Schedule); and at such time the Shares shall be distributed to the Participant as soon as administratively possible after such event, but in no event later than two-and-one-half (2.5) months after the end of the year in which such event occurred.</w:t>
      </w:r>
    </w:p>
    <w:p>
      <w:pPr>
        <w:spacing w:after="0" w:line="155" w:lineRule="exact"/>
        <w:rPr>
          <w:rFonts w:ascii="Arial" w:cs="Arial" w:eastAsia="Arial" w:hAnsi="Arial"/>
          <w:sz w:val="16"/>
          <w:szCs w:val="16"/>
          <w:color w:val="auto"/>
        </w:rPr>
      </w:pPr>
    </w:p>
    <w:p>
      <w:pPr>
        <w:ind w:right="140" w:firstLine="7"/>
        <w:spacing w:after="0" w:line="275" w:lineRule="auto"/>
        <w:tabs>
          <w:tab w:leader="none" w:pos="31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Taxes. The Participant hereby acknowledges and understands that he or she may suffer adverse tax consequences as a result of the Participant's receipt of, vesting in, or disposition of, the RSUs.</w:t>
      </w:r>
    </w:p>
    <w:p>
      <w:pPr>
        <w:spacing w:after="0" w:line="170" w:lineRule="exact"/>
        <w:rPr>
          <w:rFonts w:ascii="Arial" w:cs="Arial" w:eastAsia="Arial" w:hAnsi="Arial"/>
          <w:sz w:val="18"/>
          <w:szCs w:val="18"/>
          <w:color w:val="auto"/>
        </w:rPr>
      </w:pPr>
    </w:p>
    <w:p>
      <w:pPr>
        <w:ind w:right="40" w:firstLine="652"/>
        <w:spacing w:after="0" w:line="255" w:lineRule="auto"/>
        <w:tabs>
          <w:tab w:leader="none" w:pos="1023" w:val="left"/>
        </w:tabs>
        <w:numPr>
          <w:ilvl w:val="1"/>
          <w:numId w:val="7"/>
        </w:numPr>
        <w:rPr>
          <w:rFonts w:ascii="Arial" w:cs="Arial" w:eastAsia="Arial" w:hAnsi="Arial"/>
          <w:sz w:val="18"/>
          <w:szCs w:val="18"/>
          <w:color w:val="auto"/>
        </w:rPr>
      </w:pPr>
      <w:r>
        <w:rPr>
          <w:rFonts w:ascii="Arial" w:cs="Arial" w:eastAsia="Arial" w:hAnsi="Arial"/>
          <w:sz w:val="18"/>
          <w:szCs w:val="18"/>
          <w:color w:val="auto"/>
        </w:rPr>
        <w:t>Representations. The Participant has reviewed with his or her own tax advisors the tax consequences of this Award Agreement and the RSUs granted hereunder, including any U.S. federal, state and local tax laws, and any other applicable taxing jurisdiction. The Participant is relying solely on such advisors and not on any statements or representations of the Company or any of its agents. The Participant hereby acknowledges and understands that he or she (and not the Company) shall be responsible for his or her own tax liability that may arise as a result of his or her receiving this Award Agreement and the RSUs granted hereunder.</w:t>
      </w:r>
    </w:p>
    <w:p>
      <w:pPr>
        <w:spacing w:after="0" w:line="190" w:lineRule="exact"/>
        <w:rPr>
          <w:rFonts w:ascii="Arial" w:cs="Arial" w:eastAsia="Arial" w:hAnsi="Arial"/>
          <w:sz w:val="18"/>
          <w:szCs w:val="18"/>
          <w:color w:val="auto"/>
        </w:rPr>
      </w:pPr>
    </w:p>
    <w:p>
      <w:pPr>
        <w:ind w:right="200" w:firstLine="652"/>
        <w:spacing w:after="0" w:line="262" w:lineRule="auto"/>
        <w:tabs>
          <w:tab w:leader="none" w:pos="1033" w:val="left"/>
        </w:tabs>
        <w:numPr>
          <w:ilvl w:val="1"/>
          <w:numId w:val="7"/>
        </w:numPr>
        <w:rPr>
          <w:rFonts w:ascii="Arial" w:cs="Arial" w:eastAsia="Arial" w:hAnsi="Arial"/>
          <w:sz w:val="18"/>
          <w:szCs w:val="18"/>
          <w:color w:val="auto"/>
        </w:rPr>
      </w:pPr>
      <w:r>
        <w:rPr>
          <w:rFonts w:ascii="Arial" w:cs="Arial" w:eastAsia="Arial" w:hAnsi="Arial"/>
          <w:sz w:val="18"/>
          <w:szCs w:val="18"/>
          <w:color w:val="auto"/>
        </w:rPr>
        <w:t>Payment of Withholding Taxes. The Participant shall make appropriate arrangements with the Company for the satisfaction of all U.S. federal, state, local and non-U.S. income and employment tax withholding requirements applicable to any RSUs that settle in Shares of Common Stock in accordance with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346710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-3858895</wp:posOffset>
            </wp:positionV>
            <wp:extent cx="19335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933575" cy="825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-3586480</wp:posOffset>
            </wp:positionV>
            <wp:extent cx="897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897890" cy="825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-3176905</wp:posOffset>
            </wp:positionV>
            <wp:extent cx="9283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2837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-2221230</wp:posOffset>
            </wp:positionV>
            <wp:extent cx="15538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553845"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-1538605</wp:posOffset>
            </wp:positionV>
            <wp:extent cx="3752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375285" cy="825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-1129030</wp:posOffset>
            </wp:positionV>
            <wp:extent cx="8401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-309880</wp:posOffset>
            </wp:positionV>
            <wp:extent cx="15252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52527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0" w:name="page41"/>
    <w:bookmarkEnd w:id="40"/>
    <w:p>
      <w:pPr>
        <w:ind w:right="240" w:firstLine="645"/>
        <w:spacing w:after="0" w:line="255" w:lineRule="auto"/>
        <w:rPr>
          <w:sz w:val="20"/>
          <w:szCs w:val="20"/>
          <w:color w:val="auto"/>
        </w:rPr>
      </w:pPr>
      <w:r>
        <w:rPr>
          <w:rFonts w:ascii="Arial" w:cs="Arial" w:eastAsia="Arial" w:hAnsi="Arial"/>
          <w:sz w:val="18"/>
          <w:szCs w:val="18"/>
          <w:color w:val="auto"/>
        </w:rPr>
        <w:t>The Company may satisfy its withholding obligation in its discretion by (i) withholding the balance of all applicable amounts legally payable by the Participant through wages or other cash compensation paid to the Participant by the Company and/or (ii) withholding in Shares, provided that the Company does not withhold an amount of Shares in excess of the amount necessary to satisfy the applicable withholding amount based on the maximum statutory tax rates in the Participant's applicable jurisdiction. The Participant hereby agrees that a breach of this Section 3(b) shall be deemed to be a material breach of this Award Agreement.</w:t>
      </w:r>
    </w:p>
    <w:p>
      <w:pPr>
        <w:spacing w:after="0" w:line="190"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The Participant hereby acknowledges his or her understanding that the Company's obligations under this Award Agreement are fully contingent on the Participant first satisfying this Section 3(b). Therefore, a failure of the Participant to reasonably satisfy this Section 3 in accordance with the Committee's sole and absolute discretion shall result in the automatic termination and expiration of this Award Agreement and the Company's obligations hereunder.</w:t>
      </w:r>
    </w:p>
    <w:p>
      <w:pPr>
        <w:spacing w:after="0" w:line="185" w:lineRule="exact"/>
        <w:rPr>
          <w:sz w:val="20"/>
          <w:szCs w:val="20"/>
          <w:color w:val="auto"/>
        </w:rPr>
      </w:pPr>
    </w:p>
    <w:p>
      <w:pPr>
        <w:ind w:right="40" w:firstLine="645"/>
        <w:spacing w:after="0" w:line="295" w:lineRule="auto"/>
        <w:rPr>
          <w:sz w:val="20"/>
          <w:szCs w:val="20"/>
          <w:color w:val="auto"/>
        </w:rPr>
      </w:pPr>
      <w:r>
        <w:rPr>
          <w:rFonts w:ascii="Arial" w:cs="Arial" w:eastAsia="Arial" w:hAnsi="Arial"/>
          <w:sz w:val="16"/>
          <w:szCs w:val="16"/>
          <w:color w:val="auto"/>
        </w:rPr>
        <w:t>(c) No Application of Section 409A. The RSUs and this Award Agreement are intended to avoid the application of Section 409A of the Code ("</w:t>
      </w:r>
      <w:r>
        <w:rPr>
          <w:rFonts w:ascii="Arial" w:cs="Arial" w:eastAsia="Arial" w:hAnsi="Arial"/>
          <w:sz w:val="16"/>
          <w:szCs w:val="16"/>
          <w:u w:val="single" w:color="auto"/>
          <w:color w:val="auto"/>
        </w:rPr>
        <w:t>Section 409A</w:t>
      </w:r>
      <w:r>
        <w:rPr>
          <w:rFonts w:ascii="Arial" w:cs="Arial" w:eastAsia="Arial" w:hAnsi="Arial"/>
          <w:sz w:val="16"/>
          <w:szCs w:val="16"/>
          <w:color w:val="auto"/>
        </w:rPr>
        <w:t>") because either (i) there is no deferral arrangement or (ii) the Award Agreement satisfies an exemption available under Section 409A such as the short-term deferral rule. Notwithstanding any other provision in the Plan or this Award Agreement to the contrary, the Committee shall have the right, in its sole discretion, to adopt such amendments to the Plan or this Award Agreement or take such other actions (including amendments and actions with retroactive effect) as the Committee determines are necessary or appropriate for the RSUs to comply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-597535</wp:posOffset>
            </wp:positionV>
            <wp:extent cx="15919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591945" cy="8255"/>
                    </a:xfrm>
                    <a:prstGeom prst="rect">
                      <a:avLst/>
                    </a:prstGeom>
                    <a:noFill/>
                  </pic:spPr>
                </pic:pic>
              </a:graphicData>
            </a:graphic>
          </wp:anchor>
        </w:drawing>
      </w:r>
    </w:p>
    <w:p>
      <w:pPr>
        <w:spacing w:after="0" w:line="139" w:lineRule="exact"/>
        <w:rPr>
          <w:sz w:val="20"/>
          <w:szCs w:val="20"/>
          <w:color w:val="auto"/>
        </w:rPr>
      </w:pPr>
    </w:p>
    <w:p>
      <w:pPr>
        <w:ind w:right="60" w:firstLine="7"/>
        <w:spacing w:after="0" w:line="255" w:lineRule="auto"/>
        <w:tabs>
          <w:tab w:leader="none" w:pos="31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Transferability of RSUs. The RSUs may not be transferred in any manner other than by will or by the laws of descent and distribution. Any purported transfer of RSUs in breach of this Award Agreement shall be void and ineffective and shall not operate to transfer any interest or title in the purported transferee. Notwithstanding the foregoing, the Participant may designate one or more beneficiaries of the Participant's RSUs in the event of the Participant's death on a beneficiary designation form provided by the Committee. The terms of this Award Agreement shall be binding upon the executors, administrators, heirs, successors and transferees of the Participant.</w:t>
      </w:r>
    </w:p>
    <w:p>
      <w:pPr>
        <w:spacing w:after="0" w:line="190" w:lineRule="exact"/>
        <w:rPr>
          <w:rFonts w:ascii="Arial" w:cs="Arial" w:eastAsia="Arial" w:hAnsi="Arial"/>
          <w:sz w:val="18"/>
          <w:szCs w:val="18"/>
          <w:color w:val="auto"/>
        </w:rPr>
      </w:pPr>
    </w:p>
    <w:p>
      <w:pPr>
        <w:ind w:right="160" w:firstLine="7"/>
        <w:spacing w:after="0" w:line="339" w:lineRule="auto"/>
        <w:tabs>
          <w:tab w:leader="none" w:pos="313" w:val="left"/>
        </w:tabs>
        <w:numPr>
          <w:ilvl w:val="0"/>
          <w:numId w:val="8"/>
        </w:numPr>
        <w:rPr>
          <w:rFonts w:ascii="Arial" w:cs="Arial" w:eastAsia="Arial" w:hAnsi="Arial"/>
          <w:sz w:val="16"/>
          <w:szCs w:val="16"/>
          <w:color w:val="auto"/>
        </w:rPr>
      </w:pPr>
      <w:r>
        <w:rPr>
          <w:rFonts w:ascii="Arial" w:cs="Arial" w:eastAsia="Arial" w:hAnsi="Arial"/>
          <w:sz w:val="16"/>
          <w:szCs w:val="16"/>
          <w:color w:val="auto"/>
        </w:rPr>
        <w:t>Rights as a Shareholder of the Company. The Participant's receipt of the grant of RSUs pursuant to this Award Agreement shall provide and confer no rights or status as a shareholder of the Company until such time the RSUs are converted in accordance with Section 2 of this Award Agreement.</w:t>
      </w:r>
    </w:p>
    <w:p>
      <w:pPr>
        <w:spacing w:after="0" w:line="125" w:lineRule="exact"/>
        <w:rPr>
          <w:rFonts w:ascii="Arial" w:cs="Arial" w:eastAsia="Arial" w:hAnsi="Arial"/>
          <w:sz w:val="16"/>
          <w:szCs w:val="16"/>
          <w:color w:val="auto"/>
        </w:rPr>
      </w:pPr>
    </w:p>
    <w:p>
      <w:pPr>
        <w:ind w:right="120" w:firstLine="7"/>
        <w:spacing w:after="0" w:line="255" w:lineRule="auto"/>
        <w:tabs>
          <w:tab w:leader="none" w:pos="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Legality of Initial Issuance. No Shares shall be issued in accordance with Section 2 of this Award Agreement unless and until the Committee has determined that: (i) the Company and the Participant have taken all actions required to register the Shares of Common Stock under the Securities Act or to perfect an exemption from the registration requirements thereof, if applicable; (ii) all applicable listing requirements of any stock exchange or other securities market on which the Shares of Common Stock are listed has been satisfied; and (iii) any other applicable provision of state or U.S. federal law or other Applicable Law has been satisfied.</w:t>
      </w:r>
    </w:p>
    <w:p>
      <w:pPr>
        <w:spacing w:after="0" w:line="190" w:lineRule="exact"/>
        <w:rPr>
          <w:rFonts w:ascii="Arial" w:cs="Arial" w:eastAsia="Arial" w:hAnsi="Arial"/>
          <w:sz w:val="18"/>
          <w:szCs w:val="18"/>
          <w:color w:val="auto"/>
        </w:rPr>
      </w:pPr>
    </w:p>
    <w:p>
      <w:pPr>
        <w:jc w:val="both"/>
        <w:ind w:right="300" w:firstLine="7"/>
        <w:spacing w:after="0" w:line="284" w:lineRule="auto"/>
        <w:tabs>
          <w:tab w:leader="none" w:pos="313" w:val="left"/>
        </w:tabs>
        <w:numPr>
          <w:ilvl w:val="0"/>
          <w:numId w:val="8"/>
        </w:numPr>
        <w:rPr>
          <w:rFonts w:ascii="Arial" w:cs="Arial" w:eastAsia="Arial" w:hAnsi="Arial"/>
          <w:sz w:val="17"/>
          <w:szCs w:val="17"/>
          <w:color w:val="auto"/>
        </w:rPr>
      </w:pPr>
      <w:r>
        <w:rPr>
          <w:rFonts w:ascii="Arial" w:cs="Arial" w:eastAsia="Arial" w:hAnsi="Arial"/>
          <w:sz w:val="17"/>
          <w:szCs w:val="17"/>
          <w:color w:val="auto"/>
        </w:rPr>
        <w:t>Notice. Any notice required by the terms of this Award Agreement shall be given in writing and shall be deemed effective upon personal delivery or upon deposit with the U.S. Postal Service, by registered or certified mail, with postage and fees prepaid. Notice shall be addressed to the Company at its principal executive office and to the Participant at the address that he or she most recently provided to the Company.</w:t>
      </w:r>
    </w:p>
    <w:p>
      <w:pPr>
        <w:spacing w:after="0" w:line="166" w:lineRule="exact"/>
        <w:rPr>
          <w:rFonts w:ascii="Arial" w:cs="Arial" w:eastAsia="Arial" w:hAnsi="Arial"/>
          <w:sz w:val="17"/>
          <w:szCs w:val="17"/>
          <w:color w:val="auto"/>
        </w:rPr>
      </w:pPr>
    </w:p>
    <w:p>
      <w:pPr>
        <w:ind w:right="20" w:firstLine="7"/>
        <w:spacing w:after="0" w:line="275" w:lineRule="auto"/>
        <w:tabs>
          <w:tab w:leader="none" w:pos="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Successors and Assigns. Except as provided herein to the contrary, this Award Agreement shall be binding upon and inure to the benefit of the parties to this Award Agreement, their respective successors and permitted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-2774315</wp:posOffset>
            </wp:positionV>
            <wp:extent cx="1200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-1955165</wp:posOffset>
            </wp:positionV>
            <wp:extent cx="1951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9519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-1545590</wp:posOffset>
            </wp:positionV>
            <wp:extent cx="13354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335405"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-726440</wp:posOffset>
            </wp:positionV>
            <wp:extent cx="4165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41656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-180340</wp:posOffset>
            </wp:positionV>
            <wp:extent cx="11938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193800" cy="8255"/>
                    </a:xfrm>
                    <a:prstGeom prst="rect">
                      <a:avLst/>
                    </a:prstGeom>
                    <a:noFill/>
                  </pic:spPr>
                </pic:pic>
              </a:graphicData>
            </a:graphic>
          </wp:anchor>
        </w:drawing>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1" w:name="page42"/>
    <w:bookmarkEnd w:id="41"/>
    <w:p>
      <w:pPr>
        <w:jc w:val="both"/>
        <w:ind w:left="-7" w:firstLine="7"/>
        <w:spacing w:after="0" w:line="258" w:lineRule="auto"/>
        <w:tabs>
          <w:tab w:leader="none" w:pos="306"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Assignment. Except as otherwise provided in this Award Agreement, the Participant shall not assign any of his or her rights under the Notice or this Award Agreement without the prior written consent of the Company, which consent may be withheld in its sole discretion. The Company shall be permitted to assign its rights or obligations under the Notice or this Award Agreement, but no such assignment shall release the Company of its obligations pursuant to the Notice or this Award Agreement.</w:t>
      </w:r>
    </w:p>
    <w:p>
      <w:pPr>
        <w:spacing w:after="0" w:line="184" w:lineRule="exact"/>
        <w:rPr>
          <w:rFonts w:ascii="Arial" w:cs="Arial" w:eastAsia="Arial" w:hAnsi="Arial"/>
          <w:sz w:val="18"/>
          <w:szCs w:val="18"/>
          <w:color w:val="auto"/>
        </w:rPr>
      </w:pPr>
    </w:p>
    <w:p>
      <w:pPr>
        <w:ind w:left="-7" w:right="40" w:firstLine="7"/>
        <w:spacing w:after="0" w:line="255" w:lineRule="auto"/>
        <w:tabs>
          <w:tab w:leader="none" w:pos="396"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Severability. It is the desire of the parties hereto that this Award Agreement be enforced to the maximum extent permitted by law, and should any provision contained herein be held unenforceable by a court of competent jurisdiction, the parties hereby agree and consent that such provision shall be reformed to create a valid and enforceable provision to the maximum extent permitted by law; provided, however, if such provision cannot be reformed, the validity, legality or enforceability of the remainder of this Award Agreement shall not be affected even if one or more of the provisions of this Award Agreement shall be held to be invalid, illegal or unenforceable in any respect.</w:t>
      </w:r>
    </w:p>
    <w:p>
      <w:pPr>
        <w:spacing w:after="0" w:line="190" w:lineRule="exact"/>
        <w:rPr>
          <w:rFonts w:ascii="Arial" w:cs="Arial" w:eastAsia="Arial" w:hAnsi="Arial"/>
          <w:sz w:val="18"/>
          <w:szCs w:val="18"/>
          <w:color w:val="auto"/>
        </w:rPr>
      </w:pPr>
    </w:p>
    <w:p>
      <w:pPr>
        <w:ind w:left="-7" w:right="40" w:firstLine="7"/>
        <w:spacing w:after="0" w:line="255" w:lineRule="auto"/>
        <w:tabs>
          <w:tab w:leader="none" w:pos="379"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Amendment. Any provision of this Award Agreement may be amended and the observance thereof may be waived (either generally or in a particular instance and either retroactively or prospectively) only by a written instrument signed by the parties hereto. Notwithstanding the foregoing or any other provision in the Plan or this Award Agreement to the contrary, the Committee shall have the right, in its sole discretion, to unilaterally adopt amendments to this Award Agreement or the Plan to the minimum extent necessary or appropriate (as determined by the Committee in its sole discretion) for RSUs to comply with Section 409A.</w:t>
      </w:r>
    </w:p>
    <w:p>
      <w:pPr>
        <w:spacing w:after="0" w:line="190" w:lineRule="exact"/>
        <w:rPr>
          <w:rFonts w:ascii="Arial" w:cs="Arial" w:eastAsia="Arial" w:hAnsi="Arial"/>
          <w:sz w:val="18"/>
          <w:szCs w:val="18"/>
          <w:color w:val="auto"/>
        </w:rPr>
      </w:pPr>
    </w:p>
    <w:p>
      <w:pPr>
        <w:ind w:left="-7" w:right="80" w:firstLine="7"/>
        <w:spacing w:after="0" w:line="258" w:lineRule="auto"/>
        <w:tabs>
          <w:tab w:leader="none" w:pos="386" w:val="left"/>
        </w:tabs>
        <w:numPr>
          <w:ilvl w:val="0"/>
          <w:numId w:val="9"/>
        </w:numPr>
        <w:rPr>
          <w:rFonts w:ascii="Arial" w:cs="Arial" w:eastAsia="Arial" w:hAnsi="Arial"/>
          <w:sz w:val="18"/>
          <w:szCs w:val="18"/>
          <w:color w:val="auto"/>
        </w:rPr>
      </w:pPr>
      <w:r>
        <w:rPr>
          <w:rFonts w:ascii="Arial" w:cs="Arial" w:eastAsia="Arial" w:hAnsi="Arial"/>
          <w:sz w:val="18"/>
          <w:szCs w:val="18"/>
          <w:color w:val="auto"/>
        </w:rPr>
        <w:t>Administration and Interpretation. Any determination by the Committee in connection with any question or issue arising under the Notice, the Plan or this Award Agreement shall be final, conclusive and binding on the Participant, the Company and all other persons. Any question or dispute regarding the interpretation of this Award Agreement or the receipt of the RSUs hereunder shall be submitted by the Participant to the Committee. The resolution of such question or dispute by the Committee shall be final and binding on all parties.</w:t>
      </w:r>
    </w:p>
    <w:p>
      <w:pPr>
        <w:spacing w:after="0" w:line="184" w:lineRule="exact"/>
        <w:rPr>
          <w:rFonts w:ascii="Arial" w:cs="Arial" w:eastAsia="Arial" w:hAnsi="Arial"/>
          <w:sz w:val="18"/>
          <w:szCs w:val="18"/>
          <w:color w:val="auto"/>
        </w:rPr>
      </w:pPr>
    </w:p>
    <w:p>
      <w:pPr>
        <w:ind w:left="-7" w:right="360" w:firstLine="7"/>
        <w:spacing w:after="0" w:line="275" w:lineRule="auto"/>
        <w:tabs>
          <w:tab w:leader="none" w:pos="396"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Headings. The section headings in this Award Agreement are inserted only as a matter of convenience, and in no way define, limit or interpret the scope of this Award Agreement or of any particular section.</w:t>
      </w:r>
    </w:p>
    <w:p>
      <w:pPr>
        <w:spacing w:after="0" w:line="170" w:lineRule="exact"/>
        <w:rPr>
          <w:rFonts w:ascii="Arial" w:cs="Arial" w:eastAsia="Arial" w:hAnsi="Arial"/>
          <w:sz w:val="18"/>
          <w:szCs w:val="18"/>
          <w:color w:val="auto"/>
        </w:rPr>
      </w:pPr>
    </w:p>
    <w:p>
      <w:pPr>
        <w:ind w:left="-7" w:right="140" w:firstLine="7"/>
        <w:spacing w:after="0" w:line="258" w:lineRule="auto"/>
        <w:tabs>
          <w:tab w:leader="none" w:pos="396"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Counterparts. This Award Agreement may be executed in any number of counterparts, any of which may be executed and transmitted by facsimile, electronic or digital means, and each of which shall be deemed to be an original, but all of which together shall be deemed to be one and the same instrument. Any counterpart or other signature delivered by facsimile shall be deemed for all purposes as being a good and valid execution and delivery of this Award Agreement by that party.</w:t>
      </w:r>
    </w:p>
    <w:p>
      <w:pPr>
        <w:spacing w:after="0" w:line="184" w:lineRule="exact"/>
        <w:rPr>
          <w:rFonts w:ascii="Arial" w:cs="Arial" w:eastAsia="Arial" w:hAnsi="Arial"/>
          <w:sz w:val="18"/>
          <w:szCs w:val="18"/>
          <w:color w:val="auto"/>
        </w:rPr>
      </w:pPr>
    </w:p>
    <w:p>
      <w:pPr>
        <w:jc w:val="both"/>
        <w:ind w:left="-7" w:right="140" w:firstLine="7"/>
        <w:spacing w:after="0" w:line="277" w:lineRule="auto"/>
        <w:tabs>
          <w:tab w:leader="none" w:pos="396" w:val="left"/>
        </w:tabs>
        <w:numPr>
          <w:ilvl w:val="0"/>
          <w:numId w:val="9"/>
        </w:numPr>
        <w:rPr>
          <w:rFonts w:ascii="Arial" w:cs="Arial" w:eastAsia="Arial" w:hAnsi="Arial"/>
          <w:sz w:val="17"/>
          <w:szCs w:val="17"/>
          <w:color w:val="auto"/>
        </w:rPr>
      </w:pPr>
      <w:r>
        <w:rPr>
          <w:rFonts w:ascii="Arial" w:cs="Arial" w:eastAsia="Arial" w:hAnsi="Arial"/>
          <w:sz w:val="17"/>
          <w:szCs w:val="17"/>
          <w:color w:val="auto"/>
        </w:rPr>
        <w:t>Entire Agreement. The provisions of the Plan and the Notice are incorporated herein by reference. Except as otherwise provided herein, the Plan, the Notice and this Award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w:t>
      </w:r>
    </w:p>
    <w:p>
      <w:pPr>
        <w:spacing w:after="0" w:line="172" w:lineRule="exact"/>
        <w:rPr>
          <w:rFonts w:ascii="Arial" w:cs="Arial" w:eastAsia="Arial" w:hAnsi="Arial"/>
          <w:sz w:val="17"/>
          <w:szCs w:val="17"/>
          <w:color w:val="auto"/>
        </w:rPr>
      </w:pPr>
    </w:p>
    <w:p>
      <w:pPr>
        <w:ind w:left="-7" w:right="100" w:firstLine="7"/>
        <w:spacing w:after="0" w:line="253" w:lineRule="auto"/>
        <w:tabs>
          <w:tab w:leader="none" w:pos="396" w:val="left"/>
        </w:tabs>
        <w:numPr>
          <w:ilvl w:val="0"/>
          <w:numId w:val="9"/>
        </w:numPr>
        <w:rPr>
          <w:rFonts w:ascii="Arial" w:cs="Arial" w:eastAsia="Arial" w:hAnsi="Arial"/>
          <w:sz w:val="18"/>
          <w:szCs w:val="18"/>
          <w:color w:val="auto"/>
        </w:rPr>
      </w:pPr>
      <w:r>
        <w:rPr>
          <w:rFonts w:ascii="Arial" w:cs="Arial" w:eastAsia="Arial" w:hAnsi="Arial"/>
          <w:sz w:val="18"/>
          <w:szCs w:val="18"/>
          <w:color w:val="auto"/>
        </w:rPr>
        <w:t>Choice of Law and Forum. This Award Agreement shall be governed by, and construed and interpreted in accordance with, the laws of the State of Texas as applicable to contracts executed in and performed in Texas, except to the extent preempted by controlling federal law, but without regard to the principles of conflict of laws under Texas law that might direct the application of the law of another forum. Any action to enforce the provisions of this Award Agreement, or any Dispute relating to this Agreement, must be brought in any federal or state court of competent jurisdiction in Harris or Fort Bend County, Texas, and the Parties hereby waive any objection to such exclusive venue including, without limitation, that it is inconvenient. For all purposes of this Agreement, the term "Dispute" means any dispute, disagreement, controversy, claim, or cause of action arising in connection with, or relating to,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-5627370</wp:posOffset>
            </wp:positionV>
            <wp:extent cx="8242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82423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-4944745</wp:posOffset>
            </wp:positionV>
            <wp:extent cx="6629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662940" cy="825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-4125595</wp:posOffset>
            </wp:positionV>
            <wp:extent cx="669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6692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-3306445</wp:posOffset>
            </wp:positionV>
            <wp:extent cx="16357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63576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-2623820</wp:posOffset>
            </wp:positionV>
            <wp:extent cx="5429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4292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-2214245</wp:posOffset>
            </wp:positionV>
            <wp:extent cx="701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0104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-1531620</wp:posOffset>
            </wp:positionV>
            <wp:extent cx="9251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92519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-848995</wp:posOffset>
            </wp:positionV>
            <wp:extent cx="13138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65"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13"/>
          </w:cols>
          <w:pgMar w:left="327" w:top="582" w:right="359" w:bottom="1440" w:gutter="0" w:footer="0" w:header="0"/>
        </w:sectPr>
      </w:pPr>
    </w:p>
    <w:bookmarkStart w:id="42" w:name="page43"/>
    <w:bookmarkEnd w:id="42"/>
    <w:p>
      <w:pPr>
        <w:ind w:right="160" w:firstLine="7"/>
        <w:spacing w:after="0" w:line="272" w:lineRule="auto"/>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Waiver of Jury Trial. THE PARTIES HERETO WAIVE ANY RIGHT TO TRIAL BY JURY IN ANY PROCEEDING ARISING OUT OF OR RELATING TO THIS AGREEMENT, WHETHER NOW EXISTING OR HEREAFTER ARISING, AND WHETHER SOUNDING IN CONTRACT, TORT OR OTHERWISE. THE PARTIES AGREE THAT ANY OF THEM MAY FILE A COPY OF THIS PARAGRAPH WITH ANY COURT AS WRITTEN EVIDENCE OF THE KNOWING, VOLUNTARY AND BARGAINED-FOR AGREEMENT AMONG THE PARTIES TO IRREVOCABLY WAIVE TRIAL BY JURY, AND THAT ANY PROCEEDING WHATSOEVER BETWEEN THEM RELATING TO THIS AGREEMENT SHALL INSTEAD BE TRIED IN A COURT OF COMPETENT JURISDICTION BY A JUDGE SITTING WITHOUT A JURY.</w:t>
      </w:r>
    </w:p>
    <w:p>
      <w:pPr>
        <w:spacing w:after="0" w:line="175" w:lineRule="exact"/>
        <w:rPr>
          <w:rFonts w:ascii="Arial" w:cs="Arial" w:eastAsia="Arial" w:hAnsi="Arial"/>
          <w:sz w:val="17"/>
          <w:szCs w:val="17"/>
          <w:color w:val="auto"/>
        </w:rPr>
      </w:pPr>
    </w:p>
    <w:p>
      <w:pPr>
        <w:ind w:right="120" w:firstLine="7"/>
        <w:spacing w:after="0" w:line="286" w:lineRule="auto"/>
        <w:tabs>
          <w:tab w:leader="none" w:pos="403"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Guarantee of Service Provider Status. THE PARTICIPANT ACKNOWLEDGES AND AGREES THAT THE VESTING OF RSUs PURSUANT TO THE VESTING SCHEDULE HEREOF IS EARNED ONLY BY CONTINUOUS SERVICE AS A SERVICE PROVIDER AND AT THE WILL OF THE COMPANY (NOT THROUGH THE ACT OF BEING HIRED, BEING GRANTED RSUs OR ACQUIRING COMMON STOCK HEREUNDER).</w:t>
      </w:r>
    </w:p>
    <w:p>
      <w:pPr>
        <w:spacing w:after="0" w:line="1" w:lineRule="exact"/>
        <w:rPr>
          <w:rFonts w:ascii="Arial" w:cs="Arial" w:eastAsia="Arial" w:hAnsi="Arial"/>
          <w:sz w:val="16"/>
          <w:szCs w:val="16"/>
          <w:color w:val="auto"/>
        </w:rPr>
      </w:pPr>
    </w:p>
    <w:p>
      <w:pPr>
        <w:spacing w:after="0" w:line="251" w:lineRule="auto"/>
        <w:rPr>
          <w:rFonts w:ascii="Arial" w:cs="Arial" w:eastAsia="Arial" w:hAnsi="Arial"/>
          <w:sz w:val="16"/>
          <w:szCs w:val="16"/>
          <w:color w:val="auto"/>
        </w:rPr>
      </w:pPr>
      <w:r>
        <w:rPr>
          <w:rFonts w:ascii="Arial" w:cs="Arial" w:eastAsia="Arial" w:hAnsi="Arial"/>
          <w:sz w:val="18"/>
          <w:szCs w:val="18"/>
          <w:color w:val="auto"/>
        </w:rPr>
        <w:t>THE PARTICIPANT FURTHER ACKNOWLEDGES AND AGREES THAT THIS AWARD AGREEMENT, THE RIGHT GRANTED HEREUNDER, THE TRANSACTIONS CONTEMPLATED HEREUNDER AND THE VESTING SCHEDULE SET FORTH IN THIS AWARD AGREEMENT DO NOT CONSTITUTE AN EXPRESS OR IMPLIED PROMISE OF CONTINUED ENGAGEMENT AS A SERVICE PROVIDER FOR THE VESTING PERIOD, FOR ANY PERIOD, OR AT ALL, AND SHALL NOT INTERFERE IN ANY WAY WITH THE PARTICIPANT'S RIGHT OR THE COMPANY'S/AFFILIATE'S RIGHT TO TERMINATE THE PARTICIPANT'S RELATIONSHIP AS A SERVICE PROVIDER AT ANY TIME, WITH OR WITHOUT CAUSE.</w:t>
      </w:r>
    </w:p>
    <w:p>
      <w:pPr>
        <w:spacing w:after="0" w:line="191" w:lineRule="exact"/>
        <w:rPr>
          <w:rFonts w:ascii="Arial" w:cs="Arial" w:eastAsia="Arial" w:hAnsi="Arial"/>
          <w:sz w:val="16"/>
          <w:szCs w:val="16"/>
          <w:color w:val="auto"/>
        </w:rPr>
      </w:pPr>
    </w:p>
    <w:p>
      <w:pPr>
        <w:ind w:left="400" w:hanging="393"/>
        <w:spacing w:after="0"/>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Waiver. Failure to insist upon strict compliance with any of the terms, covenants, or conditions hereof will not be deemed a waiver of such term,</w:t>
      </w:r>
    </w:p>
    <w:p>
      <w:pPr>
        <w:spacing w:after="0" w:line="34" w:lineRule="exact"/>
        <w:rPr>
          <w:rFonts w:ascii="Arial" w:cs="Arial" w:eastAsia="Arial" w:hAnsi="Arial"/>
          <w:sz w:val="17"/>
          <w:szCs w:val="17"/>
          <w:color w:val="auto"/>
        </w:rPr>
      </w:pPr>
    </w:p>
    <w:p>
      <w:pPr>
        <w:ind w:right="40"/>
        <w:spacing w:after="0" w:line="262" w:lineRule="auto"/>
        <w:rPr>
          <w:rFonts w:ascii="Arial" w:cs="Arial" w:eastAsia="Arial" w:hAnsi="Arial"/>
          <w:sz w:val="17"/>
          <w:szCs w:val="17"/>
          <w:color w:val="auto"/>
        </w:rPr>
      </w:pPr>
      <w:r>
        <w:rPr>
          <w:rFonts w:ascii="Arial" w:cs="Arial" w:eastAsia="Arial" w:hAnsi="Arial"/>
          <w:sz w:val="17"/>
          <w:szCs w:val="17"/>
          <w:color w:val="auto"/>
        </w:rPr>
        <w:t>covenant, or condition, nor will any waiver or relinquishment of, or failure to insist upon strict compliance with, any right or power hereunder at any one or more times be deemed a waiver or relinquishment of such right or power at any other time or times. Any waiver of the terms or conditions hereof shall be made only by a written instrument executed and delivered by the party waiving compliance. Any waiver granted by the Company shall be effective only if executed and delivered by a duly authorized executive officer of the Company other than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-2887980</wp:posOffset>
            </wp:positionV>
            <wp:extent cx="10299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102997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-1932305</wp:posOffset>
            </wp:positionV>
            <wp:extent cx="19672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196723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-567055</wp:posOffset>
            </wp:positionV>
            <wp:extent cx="4368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582" w:right="37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10.4.2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PERFORMANCE RESTRICTED STOCK UNIT AWARD</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the terms and conditions of this Notice of Performance Restricted Stock Unit Award (this "</w:t>
      </w:r>
      <w:r>
        <w:rPr>
          <w:rFonts w:ascii="Arial" w:cs="Arial" w:eastAsia="Arial" w:hAnsi="Arial"/>
          <w:sz w:val="18"/>
          <w:szCs w:val="18"/>
          <w:u w:val="single" w:color="auto"/>
          <w:color w:val="auto"/>
        </w:rPr>
        <w:t>Notice</w:t>
      </w:r>
      <w:r>
        <w:rPr>
          <w:rFonts w:ascii="Arial" w:cs="Arial" w:eastAsia="Arial" w:hAnsi="Arial"/>
          <w:sz w:val="18"/>
          <w:szCs w:val="18"/>
          <w:color w:val="auto"/>
        </w:rPr>
        <w:t>"), the Performance Restricted Stock Unit Award Agreement attached hereto (the "</w:t>
      </w:r>
      <w:r>
        <w:rPr>
          <w:rFonts w:ascii="Arial" w:cs="Arial" w:eastAsia="Arial" w:hAnsi="Arial"/>
          <w:sz w:val="18"/>
          <w:szCs w:val="18"/>
          <w:u w:val="single" w:color="auto"/>
          <w:color w:val="auto"/>
        </w:rPr>
        <w:t>Award Agreement</w:t>
      </w:r>
      <w:r>
        <w:rPr>
          <w:rFonts w:ascii="Arial" w:cs="Arial" w:eastAsia="Arial" w:hAnsi="Arial"/>
          <w:sz w:val="18"/>
          <w:szCs w:val="18"/>
          <w:color w:val="auto"/>
        </w:rPr>
        <w:t>"), and the Applied Optoelectronics, Inc. 2021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the below individual (the "</w:t>
      </w:r>
      <w:r>
        <w:rPr>
          <w:rFonts w:ascii="Arial" w:cs="Arial" w:eastAsia="Arial" w:hAnsi="Arial"/>
          <w:sz w:val="18"/>
          <w:szCs w:val="18"/>
          <w:u w:val="single" w:color="auto"/>
          <w:color w:val="auto"/>
        </w:rPr>
        <w:t>Participant</w:t>
      </w:r>
      <w:r>
        <w:rPr>
          <w:rFonts w:ascii="Arial" w:cs="Arial" w:eastAsia="Arial" w:hAnsi="Arial"/>
          <w:sz w:val="18"/>
          <w:szCs w:val="18"/>
          <w:color w:val="auto"/>
        </w:rPr>
        <w:t>") is hereby granted the below number of Performance Restricted Stock Units (the "</w:t>
      </w:r>
      <w:r>
        <w:rPr>
          <w:rFonts w:ascii="Arial" w:cs="Arial" w:eastAsia="Arial" w:hAnsi="Arial"/>
          <w:sz w:val="18"/>
          <w:szCs w:val="18"/>
          <w:u w:val="single" w:color="auto"/>
          <w:color w:val="auto"/>
        </w:rPr>
        <w:t>PSUs</w:t>
      </w:r>
      <w:r>
        <w:rPr>
          <w:rFonts w:ascii="Arial" w:cs="Arial" w:eastAsia="Arial" w:hAnsi="Arial"/>
          <w:sz w:val="18"/>
          <w:szCs w:val="18"/>
          <w:color w:val="auto"/>
        </w:rPr>
        <w:t>") in the Common Stock of Applied Optoelectronics, Inc. (the "</w:t>
      </w:r>
      <w:r>
        <w:rPr>
          <w:rFonts w:ascii="Arial" w:cs="Arial" w:eastAsia="Arial" w:hAnsi="Arial"/>
          <w:sz w:val="18"/>
          <w:szCs w:val="18"/>
          <w:u w:val="single" w:color="auto"/>
          <w:color w:val="auto"/>
        </w:rPr>
        <w:t>Company</w:t>
      </w:r>
      <w:r>
        <w:rPr>
          <w:rFonts w:ascii="Arial" w:cs="Arial" w:eastAsia="Arial" w:hAnsi="Arial"/>
          <w:sz w:val="18"/>
          <w:szCs w:val="18"/>
          <w:color w:val="auto"/>
        </w:rPr>
        <w:t>"). Unless otherwise specifically indicated, all terms used in this Notice shall have the meaning as set forth in the Award Agreement or the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Identifying Information:</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Participant Name:</w:t>
      </w:r>
    </w:p>
    <w:p>
      <w:pPr>
        <w:spacing w:after="0" w:line="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and Address:</w:t>
      </w:r>
    </w:p>
    <w:p>
      <w:pPr>
        <w:spacing w:after="0" w:line="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Employee ID / Participant Code:</w:t>
      </w:r>
    </w:p>
    <w:p>
      <w:pPr>
        <w:spacing w:after="0" w:line="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Grant Number:</w:t>
      </w:r>
    </w:p>
    <w:p>
      <w:pPr>
        <w:spacing w:after="0" w:line="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Target Number of PSUs:</w:t>
      </w:r>
    </w:p>
    <w:p>
      <w:pPr>
        <w:spacing w:after="0" w:line="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Date of Grant: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p>
    <w:p>
      <w:pPr>
        <w:spacing w:after="0" w:line="27"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 xml:space="preserve">The Award will vest and become payable based on the determination by the Administrator regarding achievement performance goals for the Performance Period as described on </w:t>
      </w:r>
      <w:r>
        <w:rPr>
          <w:rFonts w:ascii="Arial" w:cs="Arial" w:eastAsia="Arial" w:hAnsi="Arial"/>
          <w:sz w:val="18"/>
          <w:szCs w:val="18"/>
          <w:b w:val="1"/>
          <w:bCs w:val="1"/>
          <w:color w:val="auto"/>
        </w:rPr>
        <w:t>Appendix A</w:t>
      </w:r>
      <w:r>
        <w:rPr>
          <w:rFonts w:ascii="Arial" w:cs="Arial" w:eastAsia="Arial" w:hAnsi="Arial"/>
          <w:sz w:val="18"/>
          <w:szCs w:val="18"/>
          <w:color w:val="auto"/>
        </w:rPr>
        <w:t>, subject to the Participant's continuous status as a Service Provider through the applicable payment date, and the terms of the Plan and this Award Agreement. Achievement of the performance goals for the Performance Period and vesting of the Award will be determined by the Administrator following the end of the Performance Period and will be effective as of the date on which the Committee makes such determination.</w:t>
      </w:r>
    </w:p>
    <w:p>
      <w:pPr>
        <w:spacing w:after="0" w:line="193" w:lineRule="exact"/>
        <w:rPr>
          <w:sz w:val="20"/>
          <w:szCs w:val="20"/>
          <w:color w:val="auto"/>
        </w:rPr>
      </w:pPr>
    </w:p>
    <w:p>
      <w:pPr>
        <w:jc w:val="both"/>
        <w:ind w:left="660"/>
        <w:spacing w:after="0" w:line="305" w:lineRule="auto"/>
        <w:rPr>
          <w:sz w:val="20"/>
          <w:szCs w:val="20"/>
          <w:color w:val="auto"/>
        </w:rPr>
      </w:pPr>
      <w:r>
        <w:rPr>
          <w:rFonts w:ascii="Arial" w:cs="Arial" w:eastAsia="Arial" w:hAnsi="Arial"/>
          <w:sz w:val="17"/>
          <w:szCs w:val="17"/>
          <w:color w:val="auto"/>
        </w:rPr>
        <w:t xml:space="preserve">Notwithstanding the above, in the event of the Participant's Termination of Service due to Participant’s Retirement, Disability or death, or without Cause in connection with a Change of Control, the Award will vest and become payable as described on </w:t>
      </w:r>
      <w:r>
        <w:rPr>
          <w:rFonts w:ascii="Arial" w:cs="Arial" w:eastAsia="Arial" w:hAnsi="Arial"/>
          <w:sz w:val="17"/>
          <w:szCs w:val="17"/>
          <w:b w:val="1"/>
          <w:bCs w:val="1"/>
          <w:color w:val="auto"/>
        </w:rPr>
        <w:t>Appendix A</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461645</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right="200"/>
        <w:spacing w:after="0" w:line="275" w:lineRule="auto"/>
        <w:rPr>
          <w:sz w:val="20"/>
          <w:szCs w:val="20"/>
          <w:color w:val="auto"/>
        </w:rPr>
      </w:pPr>
      <w:r>
        <w:rPr>
          <w:rFonts w:ascii="Arial" w:cs="Arial" w:eastAsia="Arial" w:hAnsi="Arial"/>
          <w:sz w:val="18"/>
          <w:szCs w:val="18"/>
          <w:color w:val="auto"/>
        </w:rPr>
        <w:t>By your signature and the signature of the Company's representative below, the Participant and the Company agree that the PSUs granted are governed by the terms and conditions of this Notice, the Award Agreement and the Plan.</w:t>
      </w:r>
    </w:p>
    <w:p>
      <w:pPr>
        <w:spacing w:after="0" w:line="16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APPLIED OPTOELECTRONICS, INC.</w:t>
      </w:r>
    </w:p>
    <w:p>
      <w:pPr>
        <w:spacing w:after="0" w:line="200" w:lineRule="exact"/>
        <w:rPr>
          <w:sz w:val="20"/>
          <w:szCs w:val="20"/>
          <w:color w:val="auto"/>
        </w:rPr>
      </w:pPr>
    </w:p>
    <w:p>
      <w:pPr>
        <w:spacing w:after="0" w:line="2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PARTICIPANT ACKNOWLEDGMENT</w:t>
      </w:r>
    </w:p>
    <w:p>
      <w:pPr>
        <w:spacing w:after="0" w:line="227"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The Participant acknowledges receipt of a copy of this Notice, the Award Agreement and the Plan, and represents that he or she is familiar with the provisions thereof, and hereby accepts the PSUs subject to all of the terms and provisions hereof and thereof. The Participant has reviewed this Notice, the Award Agreement and the Plan in their entirety, has had an opportunity to obtain the advice of legal counsel prior to executing this Notice, the Award Agreement, and fully understands all provisions of this Notice, the Award Agreement and the Plan. The Participant hereby agrees that all questions of interpretation and administration relating to this Notice, the Award Agreement and the Plan shall be resolved by the Committee.</w:t>
      </w:r>
    </w:p>
    <w:p>
      <w:pPr>
        <w:spacing w:after="0" w:line="174"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The Participant hereby acknowledges that he or she has had the opportunity to review with his or her own tax advisors the tax consequences of receiving this Notice, the Award Agreement and the Plan, and the transactions contemplated thereby, including any U.S. federal, state and local tax laws, and any other applicable taxing jurisdiction, prior to executing this Notice. The Participant attests that he or she is relying solely on such advisors and not on any statements or representations of the Company or any of its agents or affiliates. Further, the Participant hereby acknowledges and understands that he or she (and not the Company) shall be solely responsible for his or her tax liability that may arise as a result of receiving this Notice and the Award Agreement.</w:t>
      </w:r>
    </w:p>
    <w:p>
      <w:pPr>
        <w:spacing w:after="0" w:line="15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PARTICIPANT:</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Signed:</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 Name:</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RESTRICTED STOCK UNIT AWARD AGREEMENT</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Subject to the terms and conditions of the Notice of Performance Restricted Stock Unit Award (the "</w:t>
      </w:r>
      <w:r>
        <w:rPr>
          <w:rFonts w:ascii="Arial" w:cs="Arial" w:eastAsia="Arial" w:hAnsi="Arial"/>
          <w:sz w:val="16"/>
          <w:szCs w:val="16"/>
          <w:u w:val="single" w:color="auto"/>
          <w:color w:val="auto"/>
        </w:rPr>
        <w:t>Notice</w:t>
      </w:r>
      <w:r>
        <w:rPr>
          <w:rFonts w:ascii="Arial" w:cs="Arial" w:eastAsia="Arial" w:hAnsi="Arial"/>
          <w:sz w:val="16"/>
          <w:szCs w:val="16"/>
          <w:color w:val="auto"/>
        </w:rPr>
        <w:t>"), this Performance Restricted Stock Unit Award Agreement (this "</w:t>
      </w:r>
      <w:r>
        <w:rPr>
          <w:rFonts w:ascii="Arial" w:cs="Arial" w:eastAsia="Arial" w:hAnsi="Arial"/>
          <w:sz w:val="16"/>
          <w:szCs w:val="16"/>
          <w:u w:val="single" w:color="auto"/>
          <w:color w:val="auto"/>
        </w:rPr>
        <w:t>Award Agreement</w:t>
      </w:r>
      <w:r>
        <w:rPr>
          <w:rFonts w:ascii="Arial" w:cs="Arial" w:eastAsia="Arial" w:hAnsi="Arial"/>
          <w:sz w:val="16"/>
          <w:szCs w:val="16"/>
          <w:color w:val="auto"/>
        </w:rPr>
        <w:t>"), and the Applied Optoelectronics, Inc. 2021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the individual set forth in the Notice (the "</w:t>
      </w:r>
      <w:r>
        <w:rPr>
          <w:rFonts w:ascii="Arial" w:cs="Arial" w:eastAsia="Arial" w:hAnsi="Arial"/>
          <w:sz w:val="16"/>
          <w:szCs w:val="16"/>
          <w:u w:val="single" w:color="auto"/>
          <w:color w:val="auto"/>
        </w:rPr>
        <w:t>Participant</w:t>
      </w:r>
      <w:r>
        <w:rPr>
          <w:rFonts w:ascii="Arial" w:cs="Arial" w:eastAsia="Arial" w:hAnsi="Arial"/>
          <w:sz w:val="16"/>
          <w:szCs w:val="16"/>
          <w:color w:val="auto"/>
        </w:rPr>
        <w:t>") is hereby granted Performance Restricted Stock Units (the "</w:t>
      </w:r>
      <w:r>
        <w:rPr>
          <w:rFonts w:ascii="Arial" w:cs="Arial" w:eastAsia="Arial" w:hAnsi="Arial"/>
          <w:sz w:val="16"/>
          <w:szCs w:val="16"/>
          <w:u w:val="single" w:color="auto"/>
          <w:color w:val="auto"/>
        </w:rPr>
        <w:t>PSUs</w:t>
      </w:r>
      <w:r>
        <w:rPr>
          <w:rFonts w:ascii="Arial" w:cs="Arial" w:eastAsia="Arial" w:hAnsi="Arial"/>
          <w:sz w:val="16"/>
          <w:szCs w:val="16"/>
          <w:color w:val="auto"/>
        </w:rPr>
        <w:t>") in the Common Stock of Applied Optoelectronics, Inc. (the "</w:t>
      </w:r>
      <w:r>
        <w:rPr>
          <w:rFonts w:ascii="Arial" w:cs="Arial" w:eastAsia="Arial" w:hAnsi="Arial"/>
          <w:sz w:val="16"/>
          <w:szCs w:val="16"/>
          <w:u w:val="single" w:color="auto"/>
          <w:color w:val="auto"/>
        </w:rPr>
        <w:t>Company</w:t>
      </w:r>
      <w:r>
        <w:rPr>
          <w:rFonts w:ascii="Arial" w:cs="Arial" w:eastAsia="Arial" w:hAnsi="Arial"/>
          <w:sz w:val="16"/>
          <w:szCs w:val="16"/>
          <w:color w:val="auto"/>
        </w:rPr>
        <w:t>"). Unless otherwise specifically indicated, all terms used in this Award Agreement shall have the meaning as set forth in the Notice or the Plan.</w:t>
      </w:r>
    </w:p>
    <w:p>
      <w:pPr>
        <w:spacing w:after="0" w:line="155"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Vesting Schedule and Risk of Forfeiture.</w:t>
      </w:r>
    </w:p>
    <w:p>
      <w:pPr>
        <w:spacing w:after="0" w:line="222" w:lineRule="exact"/>
        <w:rPr>
          <w:rFonts w:ascii="Arial" w:cs="Arial" w:eastAsia="Arial" w:hAnsi="Arial"/>
          <w:sz w:val="18"/>
          <w:szCs w:val="18"/>
          <w:color w:val="auto"/>
        </w:rPr>
      </w:pPr>
    </w:p>
    <w:p>
      <w:pPr>
        <w:ind w:right="20" w:firstLine="652"/>
        <w:spacing w:after="0" w:line="305" w:lineRule="auto"/>
        <w:tabs>
          <w:tab w:leader="none" w:pos="10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Vesting Schedule. Subject to the Participant's continuous service with the Company as a Service Provider and any other limitations set forth in the Notice, the Plan or this Award Agreement, the PSUs shall vest in accordance with the Vesting Schedule provided in the Notice.</w:t>
      </w:r>
    </w:p>
    <w:p>
      <w:pPr>
        <w:spacing w:after="0" w:line="148" w:lineRule="exact"/>
        <w:rPr>
          <w:rFonts w:ascii="Arial" w:cs="Arial" w:eastAsia="Arial" w:hAnsi="Arial"/>
          <w:sz w:val="17"/>
          <w:szCs w:val="17"/>
          <w:color w:val="auto"/>
        </w:rPr>
      </w:pPr>
    </w:p>
    <w:p>
      <w:pPr>
        <w:ind w:right="120" w:firstLine="652"/>
        <w:spacing w:after="0" w:line="253" w:lineRule="auto"/>
        <w:tabs>
          <w:tab w:leader="none" w:pos="1033"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Risk of Forfeiture. The PSUs shall be subject to a risk of forfeiture until such time that the risk of forfeiture lapses in accordance with the Vesting Schedule. All or any portion of the PSUs subject to a risk of forfeiture shall automatically be forfeited and immediately returned to the Company if the Participant's continuous status as a Service Provider is interrupted or terminated for any reason, except as described on </w:t>
      </w:r>
      <w:r>
        <w:rPr>
          <w:rFonts w:ascii="Arial" w:cs="Arial" w:eastAsia="Arial" w:hAnsi="Arial"/>
          <w:sz w:val="18"/>
          <w:szCs w:val="18"/>
          <w:b w:val="1"/>
          <w:bCs w:val="1"/>
          <w:color w:val="auto"/>
        </w:rPr>
        <w:t>Appendix A</w:t>
      </w:r>
      <w:r>
        <w:rPr>
          <w:rFonts w:ascii="Arial" w:cs="Arial" w:eastAsia="Arial" w:hAnsi="Arial"/>
          <w:sz w:val="18"/>
          <w:szCs w:val="18"/>
          <w:color w:val="auto"/>
        </w:rPr>
        <w:t>, unless otherwise provided by the Administrator. The Company shall implement any forfeiture under this Section 1 in a unilateral manner, without the Participant's consent, and with no payment to the Participant, cash or otherwise, for any unvested PSUs that are forfeited. Additionally, all of the PSUs subject to this Award Agreement shall immediately become forfeited if the Participant fails to fully satisfy Section 3(b) of this Award Agreement, as determined by the Committee.</w:t>
      </w:r>
    </w:p>
    <w:p>
      <w:pPr>
        <w:spacing w:after="0" w:line="192" w:lineRule="exact"/>
        <w:rPr>
          <w:rFonts w:ascii="Arial" w:cs="Arial" w:eastAsia="Arial" w:hAnsi="Arial"/>
          <w:sz w:val="18"/>
          <w:szCs w:val="18"/>
          <w:color w:val="auto"/>
        </w:rPr>
      </w:pPr>
    </w:p>
    <w:p>
      <w:pPr>
        <w:ind w:right="100" w:firstLine="7"/>
        <w:spacing w:after="0" w:line="300" w:lineRule="auto"/>
        <w:tabs>
          <w:tab w:leader="none" w:pos="313"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Settlement of PSUs into Shares. Subject to the terms of this Award Agreement, and only to the extent all or any portion of the PSUs become nonforfeitable pursuant to the Vesting Schedule, each PSU that becomes nonforfeitable shall be converted into one Share of the Company's Common Stock on the Vesting Date (as defined in the Vesting Schedule); and at such time the Shares shall be distributed to the Participant as soon as administratively possible after such event, but in no event later than two-and-one-half (2.5) months after the end of the year in which such event occurred.</w:t>
      </w:r>
    </w:p>
    <w:p>
      <w:pPr>
        <w:spacing w:after="0" w:line="155" w:lineRule="exact"/>
        <w:rPr>
          <w:rFonts w:ascii="Arial" w:cs="Arial" w:eastAsia="Arial" w:hAnsi="Arial"/>
          <w:sz w:val="16"/>
          <w:szCs w:val="16"/>
          <w:color w:val="auto"/>
        </w:rPr>
      </w:pPr>
    </w:p>
    <w:p>
      <w:pPr>
        <w:ind w:right="140" w:firstLine="7"/>
        <w:spacing w:after="0" w:line="275" w:lineRule="auto"/>
        <w:tabs>
          <w:tab w:leader="none" w:pos="3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Taxes. The Participant hereby acknowledges and understands that he or she may suffer adverse tax consequences as a result of the Participant's receipt of, vesting in, or disposition of, the PSUs.</w:t>
      </w:r>
    </w:p>
    <w:p>
      <w:pPr>
        <w:spacing w:after="0" w:line="170" w:lineRule="exact"/>
        <w:rPr>
          <w:rFonts w:ascii="Arial" w:cs="Arial" w:eastAsia="Arial" w:hAnsi="Arial"/>
          <w:sz w:val="18"/>
          <w:szCs w:val="18"/>
          <w:color w:val="auto"/>
        </w:rPr>
      </w:pPr>
    </w:p>
    <w:p>
      <w:pPr>
        <w:ind w:right="40" w:firstLine="652"/>
        <w:spacing w:after="0" w:line="255" w:lineRule="auto"/>
        <w:tabs>
          <w:tab w:leader="none" w:pos="1023"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Representations. The Participant has reviewed with his or her own tax advisors the tax consequences of this Award Agreement and the PSUs granted hereunder, including any U.S. federal, state and local tax laws, and any other applicable taxing jurisdiction. The Participant is relying solely on such advisors and not on any statements or representations of the Company or any of its agents. The Participant hereby acknowledges and understands that he or she (and not the Company) shall be responsible for his or her own tax liability that may arise as a result of his or her receiving this Award Agreement and the PSUs granted hereunder.</w:t>
      </w:r>
    </w:p>
    <w:p>
      <w:pPr>
        <w:spacing w:after="0" w:line="190" w:lineRule="exact"/>
        <w:rPr>
          <w:rFonts w:ascii="Arial" w:cs="Arial" w:eastAsia="Arial" w:hAnsi="Arial"/>
          <w:sz w:val="18"/>
          <w:szCs w:val="18"/>
          <w:color w:val="auto"/>
        </w:rPr>
      </w:pPr>
    </w:p>
    <w:p>
      <w:pPr>
        <w:ind w:right="220" w:firstLine="652"/>
        <w:spacing w:after="0" w:line="262" w:lineRule="auto"/>
        <w:tabs>
          <w:tab w:leader="none" w:pos="1033"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Payment of Withholding Taxes. The Participant shall make appropriate arrangements with the Company for the satisfaction of all U.S. federal, state, local and non-U.S. income and employment tax withholding requirements applicable to any PSUs that settle in Shares of Common Stock in accordance with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346710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-3995420</wp:posOffset>
            </wp:positionV>
            <wp:extent cx="19335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1933575" cy="825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-3722370</wp:posOffset>
            </wp:positionV>
            <wp:extent cx="897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897890" cy="825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-3313430</wp:posOffset>
            </wp:positionV>
            <wp:extent cx="9283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92837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-2221230</wp:posOffset>
            </wp:positionV>
            <wp:extent cx="15411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1541145"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-1538605</wp:posOffset>
            </wp:positionV>
            <wp:extent cx="3752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375285" cy="8255"/>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-1129030</wp:posOffset>
            </wp:positionV>
            <wp:extent cx="8401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-309880</wp:posOffset>
            </wp:positionV>
            <wp:extent cx="15252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152527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7" w:name="page48"/>
    <w:bookmarkEnd w:id="47"/>
    <w:p>
      <w:pPr>
        <w:jc w:val="both"/>
        <w:ind w:firstLine="1290"/>
        <w:spacing w:after="0" w:line="255" w:lineRule="auto"/>
        <w:rPr>
          <w:sz w:val="20"/>
          <w:szCs w:val="20"/>
          <w:color w:val="auto"/>
        </w:rPr>
      </w:pPr>
      <w:r>
        <w:rPr>
          <w:rFonts w:ascii="Arial" w:cs="Arial" w:eastAsia="Arial" w:hAnsi="Arial"/>
          <w:sz w:val="18"/>
          <w:szCs w:val="18"/>
          <w:color w:val="auto"/>
        </w:rPr>
        <w:t>The Company may satisfy its withholding obligation in its discretion by (i) withholding the balance of all applicable amounts legally payable by the Participant through wages or other cash compensation paid to the Participant by the Company and/or (ii) withholding in Shares, provided that the Company does not withhold an amount of Shares in excess of the amount necessary to satisfy the applicable withholding amount based on the maximum statutory tax rates in the Participant's applicable jurisdiction. The Participant hereby agrees that a breach of this Section 3(b) shall be deemed to be a material breach of this Award Agreement.</w:t>
      </w:r>
    </w:p>
    <w:p>
      <w:pPr>
        <w:spacing w:after="0" w:line="190"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The Participant hereby acknowledges his or her understanding that the Company's obligations under this Award Agreement are fully contingent on the Participant first satisfying this Section 3(b). Therefore, a failure of the Participant to reasonably satisfy this Section 3 in accordance with the Committee's sole and absolute discretion shall result in the automatic termination and expiration of this Award Agreement and the Company's obligations hereunder.</w:t>
      </w:r>
    </w:p>
    <w:p>
      <w:pPr>
        <w:spacing w:after="0" w:line="185"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No Application of Section 409A. The PSUs and this Award Agreement are intended to avoid the application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-10795</wp:posOffset>
            </wp:positionV>
            <wp:extent cx="15919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15919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409A</w:t>
      </w:r>
      <w:r>
        <w:rPr>
          <w:rFonts w:ascii="Arial" w:cs="Arial" w:eastAsia="Arial" w:hAnsi="Arial"/>
          <w:sz w:val="16"/>
          <w:szCs w:val="16"/>
          <w:color w:val="auto"/>
        </w:rPr>
        <w:t>") because either (i) there is no deferral arrangement or (ii) the Award Agreement satisfies an exemption available under Section 409A such</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as the short-term deferral rule. Notwithstanding any other provision in the Plan or this Award Agreement to the contrary, the Committee shall have the right,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 its sole discretion, to adopt such amendments to the Plan or this Award Agreement or take such other actions (including amendments and actions with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retroactive effect) as the Committee determines are necessary or appropriate for the PSUs to comply with Section 409A.</w:t>
      </w:r>
    </w:p>
    <w:p>
      <w:pPr>
        <w:spacing w:after="0" w:line="208" w:lineRule="exact"/>
        <w:rPr>
          <w:sz w:val="20"/>
          <w:szCs w:val="20"/>
          <w:color w:val="auto"/>
        </w:rPr>
      </w:pPr>
    </w:p>
    <w:p>
      <w:pPr>
        <w:ind w:right="80" w:firstLine="7"/>
        <w:spacing w:after="0" w:line="255" w:lineRule="auto"/>
        <w:tabs>
          <w:tab w:leader="none" w:pos="3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Transferability of PSUs. The PSUs may not be transferred in any manner other than by will or by the laws of descent and distribution. Any purported transfer of PSUs in breach of this Award Agreement shall be void and ineffective and shall not operate to transfer any interest or title in the purported transferee. Notwithstanding the foregoing, the Participant may designate one or more beneficiaries of the Participant's PSUs in the event of the Participant's death on a beneficiary designation form provided by the Committee. The terms of this Award Agreement shall be binding upon the executors, administrators, heirs, successors and transferees of the Participant.</w:t>
      </w:r>
    </w:p>
    <w:p>
      <w:pPr>
        <w:spacing w:after="0" w:line="190" w:lineRule="exact"/>
        <w:rPr>
          <w:rFonts w:ascii="Arial" w:cs="Arial" w:eastAsia="Arial" w:hAnsi="Arial"/>
          <w:sz w:val="18"/>
          <w:szCs w:val="18"/>
          <w:color w:val="auto"/>
        </w:rPr>
      </w:pPr>
    </w:p>
    <w:p>
      <w:pPr>
        <w:ind w:right="180" w:firstLine="7"/>
        <w:spacing w:after="0" w:line="339" w:lineRule="auto"/>
        <w:tabs>
          <w:tab w:leader="none" w:pos="313"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Rights as a Shareholder of the Company. The Participant's receipt of the grant of PSUs pursuant to this Award Agreement shall provide and confer no rights or status as a shareholder of the Company until such time the PSUs are converted in accordance with Section 2 of this Award Agreement.</w:t>
      </w:r>
    </w:p>
    <w:p>
      <w:pPr>
        <w:spacing w:after="0" w:line="125" w:lineRule="exact"/>
        <w:rPr>
          <w:rFonts w:ascii="Arial" w:cs="Arial" w:eastAsia="Arial" w:hAnsi="Arial"/>
          <w:sz w:val="16"/>
          <w:szCs w:val="16"/>
          <w:color w:val="auto"/>
        </w:rPr>
      </w:pPr>
    </w:p>
    <w:p>
      <w:pPr>
        <w:ind w:right="120" w:firstLine="7"/>
        <w:spacing w:after="0" w:line="255" w:lineRule="auto"/>
        <w:tabs>
          <w:tab w:leader="none" w:pos="3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Legality of Initial Issuance. No Shares shall be issued in accordance with Section 2 of this Award Agreement unless and until the Committee has determined that: (i) the Company and the Participant have taken all actions required to register the Shares of Common Stock under the Securities Act or to perfect an exemption from the registration requirements thereof, if applicable; (ii) all applicable listing requirements of any stock exchange or other securities market on which the Shares of Common Stock are listed has been satisfied; and (iii) any other applicable provision of state or U.S. federal law or other Applicable Law has been satisfied.</w:t>
      </w:r>
    </w:p>
    <w:p>
      <w:pPr>
        <w:spacing w:after="0" w:line="190" w:lineRule="exact"/>
        <w:rPr>
          <w:rFonts w:ascii="Arial" w:cs="Arial" w:eastAsia="Arial" w:hAnsi="Arial"/>
          <w:sz w:val="18"/>
          <w:szCs w:val="18"/>
          <w:color w:val="auto"/>
        </w:rPr>
      </w:pPr>
    </w:p>
    <w:p>
      <w:pPr>
        <w:jc w:val="both"/>
        <w:ind w:right="300" w:firstLine="7"/>
        <w:spacing w:after="0" w:line="284" w:lineRule="auto"/>
        <w:tabs>
          <w:tab w:leader="none" w:pos="313"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Notice. Any notice required by the terms of this Award Agreement shall be given in writing and shall be deemed effective upon personal delivery or upon deposit with the U.S. Postal Service, by registered or certified mail, with postage and fees prepaid. Notice shall be addressed to the Company at its principal executive office and to the Participant at the address that he or she most recently provided to the Company.</w:t>
      </w:r>
    </w:p>
    <w:p>
      <w:pPr>
        <w:spacing w:after="0" w:line="166" w:lineRule="exact"/>
        <w:rPr>
          <w:rFonts w:ascii="Arial" w:cs="Arial" w:eastAsia="Arial" w:hAnsi="Arial"/>
          <w:sz w:val="17"/>
          <w:szCs w:val="17"/>
          <w:color w:val="auto"/>
        </w:rPr>
      </w:pPr>
    </w:p>
    <w:p>
      <w:pPr>
        <w:ind w:right="20" w:firstLine="7"/>
        <w:spacing w:after="0" w:line="275" w:lineRule="auto"/>
        <w:tabs>
          <w:tab w:leader="none" w:pos="3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Successors and Assigns. Except as provided herein to the contrary, this Award Agreement shall be binding upon and inure to the benefit of the parties to this Award Agreement, their respective successors and permitted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-2774315</wp:posOffset>
            </wp:positionV>
            <wp:extent cx="11874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118745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-1955165</wp:posOffset>
            </wp:positionV>
            <wp:extent cx="19519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19519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-1545590</wp:posOffset>
            </wp:positionV>
            <wp:extent cx="13354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1335405"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-726440</wp:posOffset>
            </wp:positionV>
            <wp:extent cx="4165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41656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-180340</wp:posOffset>
            </wp:positionV>
            <wp:extent cx="11938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1193800" cy="825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8" w:name="page49"/>
    <w:bookmarkEnd w:id="48"/>
    <w:p>
      <w:pPr>
        <w:jc w:val="both"/>
        <w:ind w:left="-7" w:firstLine="7"/>
        <w:spacing w:after="0" w:line="258" w:lineRule="auto"/>
        <w:tabs>
          <w:tab w:leader="none" w:pos="3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Assignment. Except as otherwise provided in this Award Agreement, the Participant shall not assign any of his or her rights under the Notice or this Award Agreement without the prior written consent of the Company, which consent may be withheld in its sole discretion. The Company shall be permitted to assign its rights or obligations under the Notice or this Award Agreement, but no such assignment shall release the Company of its obligations pursuant to the Notice or this Award Agreement.</w:t>
      </w:r>
    </w:p>
    <w:p>
      <w:pPr>
        <w:spacing w:after="0" w:line="184" w:lineRule="exact"/>
        <w:rPr>
          <w:rFonts w:ascii="Arial" w:cs="Arial" w:eastAsia="Arial" w:hAnsi="Arial"/>
          <w:sz w:val="18"/>
          <w:szCs w:val="18"/>
          <w:color w:val="auto"/>
        </w:rPr>
      </w:pPr>
    </w:p>
    <w:p>
      <w:pPr>
        <w:ind w:left="-7" w:right="40" w:firstLine="7"/>
        <w:spacing w:after="0" w:line="255" w:lineRule="auto"/>
        <w:tabs>
          <w:tab w:leader="none" w:pos="3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Severability. It is the desire of the parties hereto that this Award Agreement be enforced to the maximum extent permitted by law, and should any provision contained herein be held unenforceable by a court of competent jurisdiction, the parties hereby agree and consent that such provision shall be reformed to create a valid and enforceable provision to the maximum extent permitted by law; provided, however, if such provision cannot be reformed, the validity, legality or enforceability of the remainder of this Award Agreement shall not be affected even if one or more of the provisions of this Award Agreement shall be held to be invalid, illegal or unenforceable in any respect.</w:t>
      </w:r>
    </w:p>
    <w:p>
      <w:pPr>
        <w:spacing w:after="0" w:line="190" w:lineRule="exact"/>
        <w:rPr>
          <w:rFonts w:ascii="Arial" w:cs="Arial" w:eastAsia="Arial" w:hAnsi="Arial"/>
          <w:sz w:val="18"/>
          <w:szCs w:val="18"/>
          <w:color w:val="auto"/>
        </w:rPr>
      </w:pPr>
    </w:p>
    <w:p>
      <w:pPr>
        <w:ind w:left="-7" w:right="40" w:firstLine="7"/>
        <w:spacing w:after="0" w:line="255" w:lineRule="auto"/>
        <w:tabs>
          <w:tab w:leader="none" w:pos="3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Amendment. Any provision of this Award Agreement may be amended and the observance thereof may be waived (either generally or in a particular instance and either retroactively or prospectively) only by a written instrument signed by the parties hereto. Notwithstanding the foregoing or any other provision in the Plan or this Award Agreement to the contrary, the Committee shall have the right, in its sole discretion, to unilaterally adopt amendments to this Award Agreement or the Plan to the minimum extent necessary or appropriate (as determined by the Committee in its sole discretion) for PSUs to comply with Section 409A.</w:t>
      </w:r>
    </w:p>
    <w:p>
      <w:pPr>
        <w:spacing w:after="0" w:line="190" w:lineRule="exact"/>
        <w:rPr>
          <w:rFonts w:ascii="Arial" w:cs="Arial" w:eastAsia="Arial" w:hAnsi="Arial"/>
          <w:sz w:val="18"/>
          <w:szCs w:val="18"/>
          <w:color w:val="auto"/>
        </w:rPr>
      </w:pPr>
    </w:p>
    <w:p>
      <w:pPr>
        <w:ind w:left="-7" w:right="80" w:firstLine="7"/>
        <w:spacing w:after="0" w:line="258" w:lineRule="auto"/>
        <w:tabs>
          <w:tab w:leader="none" w:pos="3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Administration and Interpretation. Any determination by the Committee in connection with any question or issue arising under the Notice, the Plan or this Award Agreement shall be final, conclusive and binding on the Participant, the Company and all other persons. Any question or dispute regarding the interpretation of this Award Agreement or the receipt of the PSUs hereunder shall be submitted by the Participant to the Committee. The resolution of such question or dispute by the Committee shall be final and binding on all parties.</w:t>
      </w:r>
    </w:p>
    <w:p>
      <w:pPr>
        <w:spacing w:after="0" w:line="184" w:lineRule="exact"/>
        <w:rPr>
          <w:rFonts w:ascii="Arial" w:cs="Arial" w:eastAsia="Arial" w:hAnsi="Arial"/>
          <w:sz w:val="18"/>
          <w:szCs w:val="18"/>
          <w:color w:val="auto"/>
        </w:rPr>
      </w:pPr>
    </w:p>
    <w:p>
      <w:pPr>
        <w:ind w:left="-7" w:right="360" w:firstLine="7"/>
        <w:spacing w:after="0" w:line="275" w:lineRule="auto"/>
        <w:tabs>
          <w:tab w:leader="none" w:pos="3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Headings. The section headings in this Award Agreement are inserted only as a matter of convenience, and in no way define, limit or interpret the scope of this Award Agreement or of any particular section.</w:t>
      </w:r>
    </w:p>
    <w:p>
      <w:pPr>
        <w:spacing w:after="0" w:line="170" w:lineRule="exact"/>
        <w:rPr>
          <w:rFonts w:ascii="Arial" w:cs="Arial" w:eastAsia="Arial" w:hAnsi="Arial"/>
          <w:sz w:val="18"/>
          <w:szCs w:val="18"/>
          <w:color w:val="auto"/>
        </w:rPr>
      </w:pPr>
    </w:p>
    <w:p>
      <w:pPr>
        <w:ind w:left="-7" w:right="140" w:firstLine="7"/>
        <w:spacing w:after="0" w:line="258" w:lineRule="auto"/>
        <w:tabs>
          <w:tab w:leader="none" w:pos="3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Counterparts. This Award Agreement may be executed in any number of counterparts, any of which may be executed and transmitted by facsimile, electronic or digital means, and each of which shall be deemed to be an original, but all of which together shall be deemed to be one and the same instrument. Any counterpart or other signature delivered by facsimile shall be deemed for all purposes as being a good and valid execution and delivery of this Award Agreement by that party.</w:t>
      </w:r>
    </w:p>
    <w:p>
      <w:pPr>
        <w:spacing w:after="0" w:line="184" w:lineRule="exact"/>
        <w:rPr>
          <w:rFonts w:ascii="Arial" w:cs="Arial" w:eastAsia="Arial" w:hAnsi="Arial"/>
          <w:sz w:val="18"/>
          <w:szCs w:val="18"/>
          <w:color w:val="auto"/>
        </w:rPr>
      </w:pPr>
    </w:p>
    <w:p>
      <w:pPr>
        <w:jc w:val="both"/>
        <w:ind w:left="-7" w:right="140" w:firstLine="7"/>
        <w:spacing w:after="0" w:line="277" w:lineRule="auto"/>
        <w:tabs>
          <w:tab w:leader="none" w:pos="3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Entire Agreement. The provisions of the Plan and the Notice are incorporated herein by reference. Except as otherwise provided herein, the Plan, the Notice and this Award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w:t>
      </w:r>
    </w:p>
    <w:p>
      <w:pPr>
        <w:spacing w:after="0" w:line="172" w:lineRule="exact"/>
        <w:rPr>
          <w:rFonts w:ascii="Arial" w:cs="Arial" w:eastAsia="Arial" w:hAnsi="Arial"/>
          <w:sz w:val="17"/>
          <w:szCs w:val="17"/>
          <w:color w:val="auto"/>
        </w:rPr>
      </w:pPr>
    </w:p>
    <w:p>
      <w:pPr>
        <w:ind w:left="-7" w:right="100" w:firstLine="7"/>
        <w:spacing w:after="0" w:line="253" w:lineRule="auto"/>
        <w:tabs>
          <w:tab w:leader="none" w:pos="3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Choice of Law and Forum. This Award Agreement shall be governed by, and construed and interpreted in accordance with, the laws of the State of Texas as applicable to contracts executed in and performed in Texas, except to the extent preempted by controlling federal law, but without regard to the principles of conflict of laws under Texas law that might direct the application of the law of another forum. Any action to enforce the provisions of this Award Agreement, or any Dispute relating to this Agreement, must be brought in any federal or state court of competent jurisdiction in Harris or Fort Bend County, Texas, and the Parties hereby waive any objection to such exclusive venue including, without limitation, that it is inconvenient. For all purposes of this Agreement, the term "Dispute" means any dispute, disagreement, controversy, claim, or cause of action arising in connection with, or relating to,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-5627370</wp:posOffset>
            </wp:positionV>
            <wp:extent cx="8242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82423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-4944745</wp:posOffset>
            </wp:positionV>
            <wp:extent cx="6629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662940" cy="825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-4125595</wp:posOffset>
            </wp:positionV>
            <wp:extent cx="669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6692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-3306445</wp:posOffset>
            </wp:positionV>
            <wp:extent cx="16357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163576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-2623820</wp:posOffset>
            </wp:positionV>
            <wp:extent cx="5429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54292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-2214245</wp:posOffset>
            </wp:positionV>
            <wp:extent cx="7010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0104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-1531620</wp:posOffset>
            </wp:positionV>
            <wp:extent cx="9251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92519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-848995</wp:posOffset>
            </wp:positionV>
            <wp:extent cx="13138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65"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13"/>
          </w:cols>
          <w:pgMar w:left="327" w:top="582" w:right="359" w:bottom="1440" w:gutter="0" w:footer="0" w:header="0"/>
        </w:sectPr>
      </w:pPr>
    </w:p>
    <w:bookmarkStart w:id="49" w:name="page50"/>
    <w:bookmarkEnd w:id="49"/>
    <w:p>
      <w:pPr>
        <w:ind w:right="160" w:firstLine="7"/>
        <w:spacing w:after="0" w:line="272" w:lineRule="auto"/>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Waiver of Jury Trial. THE PARTIES HERETO WAIVE ANY RIGHT TO TRIAL BY JURY IN ANY PROCEEDING ARISING OUT OF OR RELATING TO THIS AGREEMENT, WHETHER NOW EXISTING OR HEREAFTER ARISING, AND WHETHER SOUNDING IN CONTRACT, TORT OR OTHERWISE. THE PARTIES AGREE THAT ANY OF THEM MAY FILE A COPY OF THIS PARAGRAPH WITH ANY COURT AS WRITTEN EVIDENCE OF THE KNOWING, VOLUNTARY AND BARGAINED-FOR AGREEMENT AMONG THE PARTIES TO IRREVOCABLY WAIVE TRIAL BY JURY, AND THAT ANY PROCEEDING WHATSOEVER BETWEEN THEM RELATING TO THIS AGREEMENT SHALL INSTEAD BE TRIED IN A COURT OF COMPETENT JURISDICTION BY A JUDGE SITTING WITHOUT A JURY.</w:t>
      </w:r>
    </w:p>
    <w:p>
      <w:pPr>
        <w:spacing w:after="0" w:line="175" w:lineRule="exact"/>
        <w:rPr>
          <w:rFonts w:ascii="Arial" w:cs="Arial" w:eastAsia="Arial" w:hAnsi="Arial"/>
          <w:sz w:val="17"/>
          <w:szCs w:val="17"/>
          <w:color w:val="auto"/>
        </w:rPr>
      </w:pPr>
    </w:p>
    <w:p>
      <w:pPr>
        <w:ind w:right="140" w:firstLine="7"/>
        <w:spacing w:after="0" w:line="286" w:lineRule="auto"/>
        <w:tabs>
          <w:tab w:leader="none" w:pos="403"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Guarantee of Service Provider Status. THE PARTICIPANT ACKNOWLEDGES AND AGREES THAT THE VESTING OF PSUs PURSUANT TO THE VESTING SCHEDULE HEREOF IS EARNED ONLY BY CONTINUOUS SERVICE AS A SERVICE PROVIDER AND AT THE WILL OF THE COMPANY (NOT THROUGH THE ACT OF BEING HIRED, BEING GRANTED PSUs OR ACQUIRING COMMON STOCK HEREUNDER).</w:t>
      </w:r>
    </w:p>
    <w:p>
      <w:pPr>
        <w:spacing w:after="0" w:line="1" w:lineRule="exact"/>
        <w:rPr>
          <w:rFonts w:ascii="Arial" w:cs="Arial" w:eastAsia="Arial" w:hAnsi="Arial"/>
          <w:sz w:val="16"/>
          <w:szCs w:val="16"/>
          <w:color w:val="auto"/>
        </w:rPr>
      </w:pPr>
    </w:p>
    <w:p>
      <w:pPr>
        <w:spacing w:after="0" w:line="251" w:lineRule="auto"/>
        <w:rPr>
          <w:rFonts w:ascii="Arial" w:cs="Arial" w:eastAsia="Arial" w:hAnsi="Arial"/>
          <w:sz w:val="16"/>
          <w:szCs w:val="16"/>
          <w:color w:val="auto"/>
        </w:rPr>
      </w:pPr>
      <w:r>
        <w:rPr>
          <w:rFonts w:ascii="Arial" w:cs="Arial" w:eastAsia="Arial" w:hAnsi="Arial"/>
          <w:sz w:val="18"/>
          <w:szCs w:val="18"/>
          <w:color w:val="auto"/>
        </w:rPr>
        <w:t>THE PARTICIPANT FURTHER ACKNOWLEDGES AND AGREES THAT THIS AWARD AGREEMENT, THE RIGHT GRANTED HEREUNDER, THE TRANSACTIONS CONTEMPLATED HEREUNDER AND THE VESTING SCHEDULE SET FORTH IN THIS AWARD AGREEMENT DO NOT CONSTITUTE AN EXPRESS OR IMPLIED PROMISE OF CONTINUED ENGAGEMENT AS A SERVICE PROVIDER FOR THE VESTING PERIOD, FOR ANY PERIOD, OR AT ALL, AND SHALL NOT INTERFERE IN ANY WAY WITH THE PARTICIPANT'S RIGHT OR THE COMPANY'S/AFFILIATE'S RIGHT TO TERMINATE THE PARTICIPANT'S RELATIONSHIP AS A SERVICE PROVIDER AT ANY TIME, WITH OR WITHOUT CAUSE.</w:t>
      </w:r>
    </w:p>
    <w:p>
      <w:pPr>
        <w:spacing w:after="0" w:line="191" w:lineRule="exact"/>
        <w:rPr>
          <w:rFonts w:ascii="Arial" w:cs="Arial" w:eastAsia="Arial" w:hAnsi="Arial"/>
          <w:sz w:val="16"/>
          <w:szCs w:val="16"/>
          <w:color w:val="auto"/>
        </w:rPr>
      </w:pPr>
    </w:p>
    <w:p>
      <w:pPr>
        <w:ind w:left="400" w:hanging="393"/>
        <w:spacing w:after="0"/>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Waiver. Failure to insist upon strict compliance with any of the terms, covenants, or conditions hereof will not be deemed a waiver of such term,</w:t>
      </w:r>
    </w:p>
    <w:p>
      <w:pPr>
        <w:spacing w:after="0" w:line="34" w:lineRule="exact"/>
        <w:rPr>
          <w:rFonts w:ascii="Arial" w:cs="Arial" w:eastAsia="Arial" w:hAnsi="Arial"/>
          <w:sz w:val="17"/>
          <w:szCs w:val="17"/>
          <w:color w:val="auto"/>
        </w:rPr>
      </w:pPr>
    </w:p>
    <w:p>
      <w:pPr>
        <w:ind w:right="40"/>
        <w:spacing w:after="0" w:line="271" w:lineRule="auto"/>
        <w:rPr>
          <w:rFonts w:ascii="Arial" w:cs="Arial" w:eastAsia="Arial" w:hAnsi="Arial"/>
          <w:sz w:val="17"/>
          <w:szCs w:val="17"/>
          <w:color w:val="auto"/>
        </w:rPr>
      </w:pPr>
      <w:r>
        <w:rPr>
          <w:rFonts w:ascii="Arial" w:cs="Arial" w:eastAsia="Arial" w:hAnsi="Arial"/>
          <w:sz w:val="17"/>
          <w:szCs w:val="17"/>
          <w:color w:val="auto"/>
        </w:rPr>
        <w:t>covenant, or condition, nor will any waiver or relinquishment of, or failure to insist upon strict compliance with, any right or power hereunder at any one or more times be deemed a waiver or relinquishment of such right or power at any other time or times. Any waiver of the terms or conditions hereof shall be made only by a written instrument executed and delivered by the party waiving compliance. Any waiver granted by the Company shall be effective only if executed and delivered by a duly authorized executive officer of the Company other than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-2906395</wp:posOffset>
            </wp:positionV>
            <wp:extent cx="10299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102997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-1950720</wp:posOffset>
            </wp:positionV>
            <wp:extent cx="19672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196723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-585470</wp:posOffset>
            </wp:positionV>
            <wp:extent cx="4368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582" w:right="37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RESTRICTED STOCK UNIT AWARD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 SCHEDULE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Period: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on Termination of Service: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354"/>
        </w:trPr>
        <w:tc>
          <w:tcPr>
            <w:tcW w:w="20" w:type="dxa"/>
            <w:vAlign w:val="bottom"/>
          </w:tcPr>
          <w:p>
            <w:pPr>
              <w:spacing w:after="0"/>
              <w:rPr>
                <w:sz w:val="24"/>
                <w:szCs w:val="24"/>
                <w:color w:val="auto"/>
              </w:rPr>
            </w:pPr>
          </w:p>
        </w:tc>
        <w:tc>
          <w:tcPr>
            <w:tcW w:w="17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6"/>
              </w:rPr>
              <w:t>Termination Event</w:t>
            </w:r>
          </w:p>
        </w:tc>
        <w:tc>
          <w:tcPr>
            <w:tcW w:w="36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Relative TSR Goal</w:t>
            </w:r>
          </w:p>
        </w:tc>
        <w:tc>
          <w:tcPr>
            <w:tcW w:w="3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 xml:space="preserve">Stock Price Hurdle Goal </w:t>
            </w:r>
            <w:r>
              <w:rPr>
                <w:rFonts w:ascii="Arial" w:cs="Arial" w:eastAsia="Arial" w:hAnsi="Arial"/>
                <w:sz w:val="29"/>
                <w:szCs w:val="29"/>
                <w:b w:val="1"/>
                <w:bCs w:val="1"/>
                <w:color w:val="auto"/>
                <w:vertAlign w:val="superscript"/>
              </w:rPr>
              <w:t>(1)</w:t>
            </w:r>
          </w:p>
        </w:tc>
      </w:tr>
      <w:tr>
        <w:trPr>
          <w:trHeight w:val="197"/>
        </w:trPr>
        <w:tc>
          <w:tcPr>
            <w:tcW w:w="20" w:type="dxa"/>
            <w:vAlign w:val="bottom"/>
          </w:tcPr>
          <w:p>
            <w:pPr>
              <w:spacing w:after="0"/>
              <w:rPr>
                <w:sz w:val="17"/>
                <w:szCs w:val="17"/>
                <w:color w:val="auto"/>
              </w:rPr>
            </w:pPr>
          </w:p>
        </w:tc>
        <w:tc>
          <w:tcPr>
            <w:tcW w:w="1720" w:type="dxa"/>
            <w:vAlign w:val="bottom"/>
          </w:tcPr>
          <w:p>
            <w:pPr>
              <w:spacing w:after="0" w:line="197" w:lineRule="exact"/>
              <w:rPr>
                <w:sz w:val="20"/>
                <w:szCs w:val="20"/>
                <w:color w:val="auto"/>
              </w:rPr>
            </w:pPr>
            <w:r>
              <w:rPr>
                <w:rFonts w:ascii="Arial" w:cs="Arial" w:eastAsia="Arial" w:hAnsi="Arial"/>
                <w:sz w:val="18"/>
                <w:szCs w:val="18"/>
                <w:b w:val="1"/>
                <w:bCs w:val="1"/>
                <w:color w:val="auto"/>
              </w:rPr>
              <w:t>Termination in</w:t>
            </w:r>
          </w:p>
        </w:tc>
        <w:tc>
          <w:tcPr>
            <w:tcW w:w="360" w:type="dxa"/>
            <w:vAlign w:val="bottom"/>
          </w:tcPr>
          <w:p>
            <w:pPr>
              <w:ind w:left="140"/>
              <w:spacing w:after="0" w:line="197" w:lineRule="exact"/>
              <w:rPr>
                <w:sz w:val="20"/>
                <w:szCs w:val="20"/>
                <w:color w:val="auto"/>
              </w:rPr>
            </w:pPr>
            <w:r>
              <w:rPr>
                <w:rFonts w:ascii="Arial" w:cs="Arial" w:eastAsia="Arial" w:hAnsi="Arial"/>
                <w:sz w:val="18"/>
                <w:szCs w:val="18"/>
                <w:color w:val="auto"/>
              </w:rPr>
              <w:t>●</w:t>
            </w:r>
          </w:p>
        </w:tc>
        <w:tc>
          <w:tcPr>
            <w:tcW w:w="3280" w:type="dxa"/>
            <w:vAlign w:val="bottom"/>
          </w:tcPr>
          <w:p>
            <w:pPr>
              <w:ind w:left="300"/>
              <w:spacing w:after="0" w:line="197" w:lineRule="exact"/>
              <w:rPr>
                <w:sz w:val="20"/>
                <w:szCs w:val="20"/>
                <w:color w:val="auto"/>
              </w:rPr>
            </w:pPr>
            <w:r>
              <w:rPr>
                <w:rFonts w:ascii="Arial" w:cs="Arial" w:eastAsia="Arial" w:hAnsi="Arial"/>
                <w:sz w:val="18"/>
                <w:szCs w:val="18"/>
                <w:color w:val="auto"/>
                <w:w w:val="96"/>
              </w:rPr>
              <w:t>Payable at the end of the Performance</w:t>
            </w:r>
          </w:p>
        </w:tc>
        <w:tc>
          <w:tcPr>
            <w:tcW w:w="280" w:type="dxa"/>
            <w:vAlign w:val="bottom"/>
          </w:tcPr>
          <w:p>
            <w:pPr>
              <w:ind w:left="60"/>
              <w:spacing w:after="0" w:line="197" w:lineRule="exact"/>
              <w:rPr>
                <w:sz w:val="20"/>
                <w:szCs w:val="20"/>
                <w:color w:val="auto"/>
              </w:rPr>
            </w:pPr>
            <w:r>
              <w:rPr>
                <w:rFonts w:ascii="Arial" w:cs="Arial" w:eastAsia="Arial" w:hAnsi="Arial"/>
                <w:sz w:val="18"/>
                <w:szCs w:val="18"/>
                <w:color w:val="auto"/>
              </w:rPr>
              <w:t>●</w:t>
            </w:r>
          </w:p>
        </w:tc>
        <w:tc>
          <w:tcPr>
            <w:tcW w:w="2780" w:type="dxa"/>
            <w:vAlign w:val="bottom"/>
          </w:tcPr>
          <w:p>
            <w:pPr>
              <w:ind w:left="300"/>
              <w:spacing w:after="0" w:line="197" w:lineRule="exact"/>
              <w:rPr>
                <w:sz w:val="20"/>
                <w:szCs w:val="20"/>
                <w:color w:val="auto"/>
              </w:rPr>
            </w:pPr>
            <w:r>
              <w:rPr>
                <w:rFonts w:ascii="Arial" w:cs="Arial" w:eastAsia="Arial" w:hAnsi="Arial"/>
                <w:sz w:val="18"/>
                <w:szCs w:val="18"/>
                <w:color w:val="auto"/>
                <w:w w:val="97"/>
              </w:rPr>
              <w:t>Earned Awards: PSUs vest and</w:t>
            </w:r>
          </w:p>
        </w:tc>
      </w:tr>
      <w:tr>
        <w:trPr>
          <w:trHeight w:val="215"/>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Connection with a</w:t>
            </w:r>
          </w:p>
        </w:tc>
        <w:tc>
          <w:tcPr>
            <w:tcW w:w="360" w:type="dxa"/>
            <w:vAlign w:val="bottom"/>
          </w:tcPr>
          <w:p>
            <w:pPr>
              <w:spacing w:after="0"/>
              <w:rPr>
                <w:sz w:val="18"/>
                <w:szCs w:val="18"/>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w w:val="93"/>
              </w:rPr>
              <w:t>Period with respect to the greater of PSUs</w:t>
            </w:r>
          </w:p>
        </w:tc>
        <w:tc>
          <w:tcPr>
            <w:tcW w:w="28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become payable immediately</w:t>
            </w:r>
          </w:p>
        </w:tc>
      </w:tr>
      <w:tr>
        <w:trPr>
          <w:trHeight w:val="219"/>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Change in Control</w:t>
            </w:r>
          </w:p>
        </w:tc>
        <w:tc>
          <w:tcPr>
            <w:tcW w:w="360" w:type="dxa"/>
            <w:vAlign w:val="bottom"/>
          </w:tcPr>
          <w:p>
            <w:pPr>
              <w:spacing w:after="0"/>
              <w:rPr>
                <w:sz w:val="19"/>
                <w:szCs w:val="19"/>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w w:val="95"/>
              </w:rPr>
              <w:t>earned based on actual performance and</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2780" w:type="dxa"/>
            <w:vAlign w:val="bottom"/>
          </w:tcPr>
          <w:p>
            <w:pPr>
              <w:ind w:left="320"/>
              <w:spacing w:after="0"/>
              <w:rPr>
                <w:sz w:val="20"/>
                <w:szCs w:val="20"/>
                <w:color w:val="auto"/>
              </w:rPr>
            </w:pPr>
            <w:r>
              <w:rPr>
                <w:rFonts w:ascii="Arial" w:cs="Arial" w:eastAsia="Arial" w:hAnsi="Arial"/>
                <w:sz w:val="18"/>
                <w:szCs w:val="18"/>
                <w:color w:val="auto"/>
              </w:rPr>
              <w:t>Unearned Awards: Vest and</w:t>
            </w:r>
          </w:p>
        </w:tc>
      </w:tr>
      <w:tr>
        <w:trPr>
          <w:trHeight w:val="215"/>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Target PSUs</w:t>
            </w:r>
          </w:p>
        </w:tc>
        <w:tc>
          <w:tcPr>
            <w:tcW w:w="280" w:type="dxa"/>
            <w:vAlign w:val="bottom"/>
          </w:tcPr>
          <w:p>
            <w:pPr>
              <w:spacing w:after="0"/>
              <w:rPr>
                <w:sz w:val="18"/>
                <w:szCs w:val="18"/>
                <w:color w:val="auto"/>
              </w:rPr>
            </w:pPr>
          </w:p>
        </w:tc>
        <w:tc>
          <w:tcPr>
            <w:tcW w:w="2780" w:type="dxa"/>
            <w:vAlign w:val="bottom"/>
          </w:tcPr>
          <w:p>
            <w:pPr>
              <w:ind w:left="120"/>
              <w:spacing w:after="0"/>
              <w:rPr>
                <w:sz w:val="20"/>
                <w:szCs w:val="20"/>
                <w:color w:val="auto"/>
              </w:rPr>
            </w:pPr>
            <w:r>
              <w:rPr>
                <w:rFonts w:ascii="Arial" w:cs="Arial" w:eastAsia="Arial" w:hAnsi="Arial"/>
                <w:sz w:val="18"/>
                <w:szCs w:val="18"/>
                <w:color w:val="auto"/>
                <w:w w:val="98"/>
              </w:rPr>
              <w:t>become payable at the end of the</w:t>
            </w:r>
          </w:p>
        </w:tc>
      </w:tr>
      <w:tr>
        <w:trPr>
          <w:trHeight w:val="215"/>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3280" w:type="dxa"/>
            <w:vAlign w:val="bottom"/>
          </w:tcPr>
          <w:p>
            <w:pPr>
              <w:ind w:left="280"/>
              <w:spacing w:after="0"/>
              <w:rPr>
                <w:sz w:val="20"/>
                <w:szCs w:val="20"/>
                <w:color w:val="auto"/>
              </w:rPr>
            </w:pPr>
            <w:r>
              <w:rPr>
                <w:rFonts w:ascii="Arial" w:cs="Arial" w:eastAsia="Arial" w:hAnsi="Arial"/>
                <w:sz w:val="18"/>
                <w:szCs w:val="18"/>
                <w:color w:val="auto"/>
                <w:w w:val="90"/>
              </w:rPr>
              <w:t>Actual performance determined based on</w:t>
            </w:r>
          </w:p>
        </w:tc>
        <w:tc>
          <w:tcPr>
            <w:tcW w:w="280" w:type="dxa"/>
            <w:vAlign w:val="bottom"/>
          </w:tcPr>
          <w:p>
            <w:pPr>
              <w:spacing w:after="0"/>
              <w:rPr>
                <w:sz w:val="18"/>
                <w:szCs w:val="18"/>
                <w:color w:val="auto"/>
              </w:rPr>
            </w:pPr>
          </w:p>
        </w:tc>
        <w:tc>
          <w:tcPr>
            <w:tcW w:w="2780" w:type="dxa"/>
            <w:vAlign w:val="bottom"/>
          </w:tcPr>
          <w:p>
            <w:pPr>
              <w:ind w:left="120"/>
              <w:spacing w:after="0"/>
              <w:rPr>
                <w:sz w:val="20"/>
                <w:szCs w:val="20"/>
                <w:color w:val="auto"/>
              </w:rPr>
            </w:pPr>
            <w:r>
              <w:rPr>
                <w:rFonts w:ascii="Arial" w:cs="Arial" w:eastAsia="Arial" w:hAnsi="Arial"/>
                <w:sz w:val="18"/>
                <w:szCs w:val="18"/>
                <w:color w:val="auto"/>
                <w:w w:val="93"/>
              </w:rPr>
              <w:t>Performance Period with respect to</w:t>
            </w:r>
          </w:p>
        </w:tc>
      </w:tr>
      <w:tr>
        <w:trPr>
          <w:trHeight w:val="215"/>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unreduced performance goals</w:t>
            </w:r>
          </w:p>
        </w:tc>
        <w:tc>
          <w:tcPr>
            <w:tcW w:w="280" w:type="dxa"/>
            <w:vAlign w:val="bottom"/>
          </w:tcPr>
          <w:p>
            <w:pPr>
              <w:spacing w:after="0"/>
              <w:rPr>
                <w:sz w:val="18"/>
                <w:szCs w:val="18"/>
                <w:color w:val="auto"/>
              </w:rPr>
            </w:pPr>
          </w:p>
        </w:tc>
        <w:tc>
          <w:tcPr>
            <w:tcW w:w="2780" w:type="dxa"/>
            <w:vAlign w:val="bottom"/>
          </w:tcPr>
          <w:p>
            <w:pPr>
              <w:ind w:left="120"/>
              <w:spacing w:after="0"/>
              <w:rPr>
                <w:sz w:val="20"/>
                <w:szCs w:val="20"/>
                <w:color w:val="auto"/>
              </w:rPr>
            </w:pPr>
            <w:r>
              <w:rPr>
                <w:rFonts w:ascii="Arial" w:cs="Arial" w:eastAsia="Arial" w:hAnsi="Arial"/>
                <w:sz w:val="18"/>
                <w:szCs w:val="18"/>
                <w:color w:val="auto"/>
              </w:rPr>
              <w:t>PSUs earned based on actual</w:t>
            </w:r>
          </w:p>
        </w:tc>
      </w:tr>
      <w:tr>
        <w:trPr>
          <w:trHeight w:val="229"/>
        </w:trPr>
        <w:tc>
          <w:tcPr>
            <w:tcW w:w="2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performance</w:t>
            </w:r>
          </w:p>
        </w:tc>
      </w:tr>
      <w:tr>
        <w:trPr>
          <w:trHeight w:val="194"/>
        </w:trPr>
        <w:tc>
          <w:tcPr>
            <w:tcW w:w="20" w:type="dxa"/>
            <w:vAlign w:val="bottom"/>
          </w:tcPr>
          <w:p>
            <w:pPr>
              <w:spacing w:after="0"/>
              <w:rPr>
                <w:sz w:val="16"/>
                <w:szCs w:val="16"/>
                <w:color w:val="auto"/>
              </w:rPr>
            </w:pPr>
          </w:p>
        </w:tc>
        <w:tc>
          <w:tcPr>
            <w:tcW w:w="1720" w:type="dxa"/>
            <w:vAlign w:val="bottom"/>
          </w:tcPr>
          <w:p>
            <w:pPr>
              <w:spacing w:after="0" w:line="195" w:lineRule="exact"/>
              <w:rPr>
                <w:sz w:val="20"/>
                <w:szCs w:val="20"/>
                <w:color w:val="auto"/>
              </w:rPr>
            </w:pPr>
            <w:r>
              <w:rPr>
                <w:rFonts w:ascii="Arial" w:cs="Arial" w:eastAsia="Arial" w:hAnsi="Arial"/>
                <w:sz w:val="18"/>
                <w:szCs w:val="18"/>
                <w:b w:val="1"/>
                <w:bCs w:val="1"/>
                <w:color w:val="auto"/>
                <w:w w:val="98"/>
              </w:rPr>
              <w:t>Death and Disability</w:t>
            </w:r>
          </w:p>
        </w:tc>
        <w:tc>
          <w:tcPr>
            <w:tcW w:w="360" w:type="dxa"/>
            <w:vAlign w:val="bottom"/>
          </w:tcPr>
          <w:p>
            <w:pPr>
              <w:ind w:left="140"/>
              <w:spacing w:after="0" w:line="195" w:lineRule="exact"/>
              <w:rPr>
                <w:sz w:val="20"/>
                <w:szCs w:val="20"/>
                <w:color w:val="auto"/>
              </w:rPr>
            </w:pPr>
            <w:r>
              <w:rPr>
                <w:rFonts w:ascii="Arial" w:cs="Arial" w:eastAsia="Arial" w:hAnsi="Arial"/>
                <w:sz w:val="18"/>
                <w:szCs w:val="18"/>
                <w:color w:val="auto"/>
              </w:rPr>
              <w:t>●</w:t>
            </w:r>
          </w:p>
        </w:tc>
        <w:tc>
          <w:tcPr>
            <w:tcW w:w="3280" w:type="dxa"/>
            <w:vAlign w:val="bottom"/>
          </w:tcPr>
          <w:p>
            <w:pPr>
              <w:ind w:left="280"/>
              <w:spacing w:after="0" w:line="195" w:lineRule="exact"/>
              <w:rPr>
                <w:sz w:val="20"/>
                <w:szCs w:val="20"/>
                <w:color w:val="auto"/>
              </w:rPr>
            </w:pPr>
            <w:r>
              <w:rPr>
                <w:rFonts w:ascii="Arial" w:cs="Arial" w:eastAsia="Arial" w:hAnsi="Arial"/>
                <w:sz w:val="18"/>
                <w:szCs w:val="18"/>
                <w:color w:val="auto"/>
              </w:rPr>
              <w:t>Target PSUs vest effective as of</w:t>
            </w:r>
          </w:p>
        </w:tc>
        <w:tc>
          <w:tcPr>
            <w:tcW w:w="28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2780" w:type="dxa"/>
            <w:vAlign w:val="bottom"/>
          </w:tcPr>
          <w:p>
            <w:pPr>
              <w:ind w:left="300"/>
              <w:spacing w:after="0" w:line="195" w:lineRule="exact"/>
              <w:rPr>
                <w:sz w:val="20"/>
                <w:szCs w:val="20"/>
                <w:color w:val="auto"/>
              </w:rPr>
            </w:pPr>
            <w:r>
              <w:rPr>
                <w:rFonts w:ascii="Arial" w:cs="Arial" w:eastAsia="Arial" w:hAnsi="Arial"/>
                <w:sz w:val="18"/>
                <w:szCs w:val="18"/>
                <w:color w:val="auto"/>
                <w:w w:val="97"/>
              </w:rPr>
              <w:t>Earned Awards: PSUs vest and</w:t>
            </w:r>
          </w:p>
        </w:tc>
      </w:tr>
      <w:tr>
        <w:trPr>
          <w:trHeight w:val="215"/>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termination date</w:t>
            </w:r>
          </w:p>
        </w:tc>
        <w:tc>
          <w:tcPr>
            <w:tcW w:w="28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become payable immediately</w:t>
            </w:r>
          </w:p>
        </w:tc>
      </w:tr>
      <w:tr>
        <w:trPr>
          <w:trHeight w:val="229"/>
        </w:trPr>
        <w:tc>
          <w:tcPr>
            <w:tcW w:w="2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Unearned: Forfeited</w:t>
            </w:r>
          </w:p>
        </w:tc>
      </w:tr>
      <w:tr>
        <w:trPr>
          <w:trHeight w:val="190"/>
        </w:trPr>
        <w:tc>
          <w:tcPr>
            <w:tcW w:w="20" w:type="dxa"/>
            <w:vAlign w:val="bottom"/>
          </w:tcPr>
          <w:p>
            <w:pPr>
              <w:spacing w:after="0"/>
              <w:rPr>
                <w:sz w:val="16"/>
                <w:szCs w:val="16"/>
                <w:color w:val="auto"/>
              </w:rPr>
            </w:pPr>
          </w:p>
        </w:tc>
        <w:tc>
          <w:tcPr>
            <w:tcW w:w="1720" w:type="dxa"/>
            <w:vAlign w:val="bottom"/>
          </w:tcPr>
          <w:p>
            <w:pPr>
              <w:spacing w:after="0" w:line="190" w:lineRule="exact"/>
              <w:rPr>
                <w:sz w:val="20"/>
                <w:szCs w:val="20"/>
                <w:color w:val="auto"/>
              </w:rPr>
            </w:pPr>
            <w:r>
              <w:rPr>
                <w:rFonts w:ascii="Arial" w:cs="Arial" w:eastAsia="Arial" w:hAnsi="Arial"/>
                <w:sz w:val="18"/>
                <w:szCs w:val="18"/>
                <w:b w:val="1"/>
                <w:bCs w:val="1"/>
                <w:color w:val="auto"/>
              </w:rPr>
              <w:t>Not for Cause</w:t>
            </w:r>
          </w:p>
        </w:tc>
        <w:tc>
          <w:tcPr>
            <w:tcW w:w="360" w:type="dxa"/>
            <w:vAlign w:val="bottom"/>
          </w:tcPr>
          <w:p>
            <w:pPr>
              <w:ind w:left="140"/>
              <w:spacing w:after="0" w:line="190" w:lineRule="exact"/>
              <w:rPr>
                <w:sz w:val="20"/>
                <w:szCs w:val="20"/>
                <w:color w:val="auto"/>
              </w:rPr>
            </w:pPr>
            <w:r>
              <w:rPr>
                <w:rFonts w:ascii="Arial" w:cs="Arial" w:eastAsia="Arial" w:hAnsi="Arial"/>
                <w:sz w:val="18"/>
                <w:szCs w:val="18"/>
                <w:color w:val="auto"/>
              </w:rPr>
              <w:t>●</w:t>
            </w:r>
          </w:p>
        </w:tc>
        <w:tc>
          <w:tcPr>
            <w:tcW w:w="3280" w:type="dxa"/>
            <w:vAlign w:val="bottom"/>
          </w:tcPr>
          <w:p>
            <w:pPr>
              <w:ind w:left="300"/>
              <w:spacing w:after="0" w:line="190" w:lineRule="exact"/>
              <w:rPr>
                <w:sz w:val="20"/>
                <w:szCs w:val="20"/>
                <w:color w:val="auto"/>
              </w:rPr>
            </w:pPr>
            <w:r>
              <w:rPr>
                <w:rFonts w:ascii="Arial" w:cs="Arial" w:eastAsia="Arial" w:hAnsi="Arial"/>
                <w:sz w:val="18"/>
                <w:szCs w:val="18"/>
                <w:color w:val="auto"/>
              </w:rPr>
              <w:t>Unvested Awards forfeited</w:t>
            </w:r>
          </w:p>
        </w:tc>
        <w:tc>
          <w:tcPr>
            <w:tcW w:w="280" w:type="dxa"/>
            <w:vAlign w:val="bottom"/>
          </w:tcPr>
          <w:p>
            <w:pPr>
              <w:ind w:left="40"/>
              <w:spacing w:after="0" w:line="190" w:lineRule="exact"/>
              <w:rPr>
                <w:sz w:val="20"/>
                <w:szCs w:val="20"/>
                <w:color w:val="auto"/>
              </w:rPr>
            </w:pPr>
            <w:r>
              <w:rPr>
                <w:rFonts w:ascii="Arial" w:cs="Arial" w:eastAsia="Arial" w:hAnsi="Arial"/>
                <w:sz w:val="18"/>
                <w:szCs w:val="18"/>
                <w:color w:val="auto"/>
              </w:rPr>
              <w:t>●</w:t>
            </w:r>
          </w:p>
        </w:tc>
        <w:tc>
          <w:tcPr>
            <w:tcW w:w="2780" w:type="dxa"/>
            <w:vAlign w:val="bottom"/>
          </w:tcPr>
          <w:p>
            <w:pPr>
              <w:ind w:left="280"/>
              <w:spacing w:after="0" w:line="190" w:lineRule="exact"/>
              <w:rPr>
                <w:sz w:val="20"/>
                <w:szCs w:val="20"/>
                <w:color w:val="auto"/>
              </w:rPr>
            </w:pPr>
            <w:r>
              <w:rPr>
                <w:rFonts w:ascii="Arial" w:cs="Arial" w:eastAsia="Arial" w:hAnsi="Arial"/>
                <w:sz w:val="18"/>
                <w:szCs w:val="18"/>
                <w:color w:val="auto"/>
              </w:rPr>
              <w:t>Earned and Unearned Awards:</w:t>
            </w:r>
          </w:p>
        </w:tc>
      </w:tr>
      <w:tr>
        <w:trPr>
          <w:trHeight w:val="215"/>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Termination (No</w:t>
            </w:r>
          </w:p>
        </w:tc>
        <w:tc>
          <w:tcPr>
            <w:tcW w:w="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Awards forfeited</w:t>
            </w:r>
          </w:p>
        </w:tc>
      </w:tr>
      <w:tr>
        <w:trPr>
          <w:trHeight w:val="233"/>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Change in Control)</w:t>
            </w:r>
          </w:p>
        </w:tc>
        <w:tc>
          <w:tcPr>
            <w:tcW w:w="3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r>
      <w:tr>
        <w:trPr>
          <w:trHeight w:val="194"/>
        </w:trPr>
        <w:tc>
          <w:tcPr>
            <w:tcW w:w="17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Retirement</w:t>
            </w:r>
          </w:p>
        </w:tc>
        <w:tc>
          <w:tcPr>
            <w:tcW w:w="360" w:type="dxa"/>
            <w:vAlign w:val="bottom"/>
          </w:tcPr>
          <w:p>
            <w:pPr>
              <w:ind w:left="140"/>
              <w:spacing w:after="0" w:line="195" w:lineRule="exact"/>
              <w:rPr>
                <w:sz w:val="20"/>
                <w:szCs w:val="20"/>
                <w:color w:val="auto"/>
              </w:rPr>
            </w:pPr>
            <w:r>
              <w:rPr>
                <w:rFonts w:ascii="Arial" w:cs="Arial" w:eastAsia="Arial" w:hAnsi="Arial"/>
                <w:sz w:val="18"/>
                <w:szCs w:val="18"/>
                <w:color w:val="auto"/>
              </w:rPr>
              <w:t>●</w:t>
            </w:r>
          </w:p>
        </w:tc>
        <w:tc>
          <w:tcPr>
            <w:tcW w:w="3280" w:type="dxa"/>
            <w:vAlign w:val="bottom"/>
          </w:tcPr>
          <w:p>
            <w:pPr>
              <w:ind w:left="300"/>
              <w:spacing w:after="0" w:line="195" w:lineRule="exact"/>
              <w:rPr>
                <w:sz w:val="20"/>
                <w:szCs w:val="20"/>
                <w:color w:val="auto"/>
              </w:rPr>
            </w:pPr>
            <w:r>
              <w:rPr>
                <w:rFonts w:ascii="Arial" w:cs="Arial" w:eastAsia="Arial" w:hAnsi="Arial"/>
                <w:sz w:val="18"/>
                <w:szCs w:val="18"/>
                <w:color w:val="auto"/>
                <w:w w:val="92"/>
              </w:rPr>
              <w:t>Pro-rated PSUs vested at the end of the</w:t>
            </w:r>
          </w:p>
        </w:tc>
        <w:tc>
          <w:tcPr>
            <w:tcW w:w="280" w:type="dxa"/>
            <w:vAlign w:val="bottom"/>
          </w:tcPr>
          <w:p>
            <w:pPr>
              <w:ind w:left="40"/>
              <w:spacing w:after="0" w:line="195" w:lineRule="exact"/>
              <w:rPr>
                <w:sz w:val="20"/>
                <w:szCs w:val="20"/>
                <w:color w:val="auto"/>
              </w:rPr>
            </w:pPr>
            <w:r>
              <w:rPr>
                <w:rFonts w:ascii="Arial" w:cs="Arial" w:eastAsia="Arial" w:hAnsi="Arial"/>
                <w:sz w:val="18"/>
                <w:szCs w:val="18"/>
                <w:color w:val="auto"/>
              </w:rPr>
              <w:t>●</w:t>
            </w:r>
          </w:p>
        </w:tc>
        <w:tc>
          <w:tcPr>
            <w:tcW w:w="2780" w:type="dxa"/>
            <w:vAlign w:val="bottom"/>
          </w:tcPr>
          <w:p>
            <w:pPr>
              <w:ind w:left="280"/>
              <w:spacing w:after="0" w:line="195" w:lineRule="exact"/>
              <w:rPr>
                <w:sz w:val="20"/>
                <w:szCs w:val="20"/>
                <w:color w:val="auto"/>
              </w:rPr>
            </w:pPr>
            <w:r>
              <w:rPr>
                <w:rFonts w:ascii="Arial" w:cs="Arial" w:eastAsia="Arial" w:hAnsi="Arial"/>
                <w:sz w:val="18"/>
                <w:szCs w:val="18"/>
                <w:color w:val="auto"/>
                <w:w w:val="93"/>
              </w:rPr>
              <w:t>Earned Awards: Awards vest and</w:t>
            </w:r>
          </w:p>
        </w:tc>
      </w:tr>
      <w:tr>
        <w:trPr>
          <w:trHeight w:val="215"/>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performance period based on actual</w:t>
            </w:r>
          </w:p>
        </w:tc>
        <w:tc>
          <w:tcPr>
            <w:tcW w:w="28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become payable at the end of the</w:t>
            </w:r>
          </w:p>
        </w:tc>
      </w:tr>
      <w:tr>
        <w:trPr>
          <w:trHeight w:val="230"/>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performance</w:t>
            </w:r>
          </w:p>
        </w:tc>
        <w:tc>
          <w:tcPr>
            <w:tcW w:w="28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performance period</w:t>
            </w:r>
          </w:p>
        </w:tc>
      </w:tr>
    </w:tbl>
    <w:p>
      <w:pPr>
        <w:ind w:left="5940" w:hanging="513"/>
        <w:spacing w:after="0"/>
        <w:tabs>
          <w:tab w:leader="none" w:pos="59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Unearned Awards: Forfeited</w:t>
      </w:r>
    </w:p>
    <w:p>
      <w:pPr>
        <w:spacing w:after="0" w:line="8" w:lineRule="exact"/>
        <w:rPr>
          <w:rFonts w:ascii="Arial" w:cs="Arial" w:eastAsia="Arial" w:hAnsi="Arial"/>
          <w:sz w:val="18"/>
          <w:szCs w:val="18"/>
          <w:color w:val="auto"/>
        </w:rPr>
      </w:pPr>
    </w:p>
    <w:p>
      <w:pPr>
        <w:ind w:right="160" w:firstLine="7"/>
        <w:spacing w:after="0" w:line="237" w:lineRule="auto"/>
        <w:tabs>
          <w:tab w:leader="none" w:pos="219"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Earned Awards represent PSUs where the Administrator determines that stock price hurdle goal has been achieved as of the termination date; Unearned Awards represent PSUs where the stock price hurdle goal has not yet been attained as of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53581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535813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3" w:lineRule="exact"/>
        <w:rPr>
          <w:sz w:val="20"/>
          <w:szCs w:val="20"/>
          <w:color w:val="auto"/>
        </w:rPr>
      </w:pPr>
    </w:p>
    <w:p>
      <w:pPr>
        <w:ind w:left="660" w:hanging="65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2" w:lineRule="exact"/>
        <w:rPr>
          <w:rFonts w:ascii="Arial" w:cs="Arial" w:eastAsia="Arial" w:hAnsi="Arial"/>
          <w:sz w:val="18"/>
          <w:szCs w:val="18"/>
          <w:color w:val="auto"/>
        </w:rPr>
      </w:pPr>
    </w:p>
    <w:p>
      <w:pPr>
        <w:jc w:val="both"/>
        <w:ind w:left="660" w:right="120" w:hanging="653"/>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660" w:right="100" w:hanging="653"/>
        <w:spacing w:after="0" w:line="30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48" w:lineRule="exact"/>
        <w:rPr>
          <w:rFonts w:ascii="Arial" w:cs="Arial" w:eastAsia="Arial" w:hAnsi="Arial"/>
          <w:sz w:val="17"/>
          <w:szCs w:val="17"/>
          <w:color w:val="auto"/>
        </w:rPr>
      </w:pPr>
    </w:p>
    <w:p>
      <w:pPr>
        <w:ind w:left="660" w:right="120" w:hanging="653"/>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300" w:right="140" w:hanging="648"/>
        <w:spacing w:after="0" w:line="262"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300" w:right="60" w:hanging="648"/>
        <w:spacing w:after="0" w:line="262"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300" w:right="220" w:hanging="648"/>
        <w:spacing w:after="0" w:line="339"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1300" w:right="220" w:hanging="648"/>
        <w:spacing w:after="0" w:line="262"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660" w:right="20" w:hanging="653"/>
        <w:spacing w:after="0" w:line="30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7"/>
          <w:szCs w:val="17"/>
          <w:color w:val="auto"/>
        </w:rPr>
      </w:pPr>
    </w:p>
    <w:p>
      <w:pPr>
        <w:ind w:left="1300" w:right="460" w:hanging="648"/>
        <w:spacing w:after="0" w:line="339"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300" w:right="160" w:hanging="648"/>
        <w:spacing w:after="0" w:line="275"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35667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00"/>
          </w:cols>
          <w:pgMar w:left="320" w:top="121" w:right="3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3" w:lineRule="exact"/>
        <w:rPr>
          <w:sz w:val="20"/>
          <w:szCs w:val="20"/>
          <w:color w:val="auto"/>
        </w:rPr>
      </w:pPr>
    </w:p>
    <w:p>
      <w:pPr>
        <w:ind w:left="660" w:hanging="65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2" w:lineRule="exact"/>
        <w:rPr>
          <w:rFonts w:ascii="Arial" w:cs="Arial" w:eastAsia="Arial" w:hAnsi="Arial"/>
          <w:sz w:val="18"/>
          <w:szCs w:val="18"/>
          <w:color w:val="auto"/>
        </w:rPr>
      </w:pPr>
    </w:p>
    <w:p>
      <w:pPr>
        <w:jc w:val="both"/>
        <w:ind w:left="660" w:right="120" w:hanging="653"/>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660" w:right="100" w:hanging="653"/>
        <w:spacing w:after="0" w:line="30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48" w:lineRule="exact"/>
        <w:rPr>
          <w:rFonts w:ascii="Arial" w:cs="Arial" w:eastAsia="Arial" w:hAnsi="Arial"/>
          <w:sz w:val="17"/>
          <w:szCs w:val="17"/>
          <w:color w:val="auto"/>
        </w:rPr>
      </w:pPr>
    </w:p>
    <w:p>
      <w:pPr>
        <w:ind w:left="660" w:right="120" w:hanging="653"/>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300" w:right="140" w:hanging="648"/>
        <w:spacing w:after="0" w:line="262"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300" w:right="60" w:hanging="648"/>
        <w:spacing w:after="0" w:line="262"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300" w:right="220" w:hanging="648"/>
        <w:spacing w:after="0" w:line="339"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1300" w:right="220" w:hanging="648"/>
        <w:spacing w:after="0" w:line="262"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660" w:right="20" w:hanging="653"/>
        <w:spacing w:after="0" w:line="30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7"/>
          <w:szCs w:val="17"/>
          <w:color w:val="auto"/>
        </w:rPr>
      </w:pPr>
    </w:p>
    <w:p>
      <w:pPr>
        <w:ind w:left="1300" w:right="460" w:hanging="648"/>
        <w:spacing w:after="0" w:line="339"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300" w:right="160" w:hanging="648"/>
        <w:spacing w:after="0" w:line="275"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35667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21" w:right="379" w:bottom="1440" w:gutter="0" w:footer="0" w:header="0"/>
        </w:sectPr>
      </w:pPr>
    </w:p>
    <w:bookmarkStart w:id="53" w:name="page54"/>
    <w:bookmarkEnd w:id="53"/>
    <w:p>
      <w:pPr>
        <w:ind w:left="10280"/>
        <w:spacing w:after="0"/>
        <w:rPr>
          <w:sz w:val="20"/>
          <w:szCs w:val="20"/>
          <w:color w:val="auto"/>
        </w:rPr>
      </w:pPr>
      <w:r>
        <w:rPr>
          <w:rFonts w:ascii="Arial" w:cs="Arial" w:eastAsia="Arial" w:hAnsi="Arial"/>
          <w:sz w:val="17"/>
          <w:szCs w:val="17"/>
          <w:b w:val="1"/>
          <w:bCs w:val="1"/>
          <w:color w:val="auto"/>
        </w:rPr>
        <w:t>Exhibit 32.1</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7" w:lineRule="exact"/>
        <w:rPr>
          <w:sz w:val="20"/>
          <w:szCs w:val="20"/>
          <w:color w:val="auto"/>
        </w:rPr>
      </w:pPr>
    </w:p>
    <w:p>
      <w:pPr>
        <w:ind w:right="180" w:firstLine="645"/>
        <w:spacing w:after="0" w:line="258"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85" w:lineRule="exact"/>
        <w:rPr>
          <w:sz w:val="20"/>
          <w:szCs w:val="20"/>
          <w:color w:val="auto"/>
        </w:rPr>
      </w:pPr>
    </w:p>
    <w:p>
      <w:pPr>
        <w:ind w:left="660" w:hanging="330"/>
        <w:spacing w:after="0" w:line="27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2021, to which this Certification is attached as Exhibit 32.1 (the “Quarterly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left="660" w:right="20" w:hanging="330"/>
        <w:spacing w:after="0" w:line="27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5th day of August, 2021.</w:t>
      </w:r>
    </w:p>
    <w:p>
      <w:pPr>
        <w:sectPr>
          <w:pgSz w:w="11900" w:h="16838" w:orient="portrait"/>
          <w:cols w:equalWidth="0" w:num="1">
            <w:col w:w="11240"/>
          </w:cols>
          <w:pgMar w:left="320" w:top="121" w:right="33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4728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347281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34556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345567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ectPr>
          <w:pgSz w:w="11900" w:h="16838" w:orient="portrait"/>
          <w:cols w:equalWidth="0" w:num="2">
            <w:col w:w="5080" w:space="720"/>
            <w:col w:w="5440"/>
          </w:cols>
          <w:pgMar w:left="320" w:top="121" w:right="339" w:bottom="1440" w:gutter="0" w:footer="0" w:header="0"/>
          <w:type w:val="continuous"/>
        </w:sectPr>
      </w:pPr>
    </w:p>
    <w:p>
      <w:pPr>
        <w:spacing w:after="0" w:line="23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8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lvl w:ilvl="1">
      <w:lvlJc w:val="left"/>
      <w:lvlText w:val="*"/>
      <w:numFmt w:val="bullet"/>
      <w:start w:val="1"/>
    </w:lvl>
  </w:abstractNum>
  <w:abstractNum w:abstractNumId="6">
    <w:nsid w:val="140E0F76"/>
    <w:multiLevelType w:val="hybridMultilevel"/>
    <w:lvl w:ilvl="0">
      <w:lvlJc w:val="left"/>
      <w:lvlText w:val="%1."/>
      <w:numFmt w:val="decimal"/>
      <w:start w:val="1"/>
    </w:lvl>
    <w:lvl w:ilvl="1">
      <w:lvlJc w:val="left"/>
      <w:lvlText w:val="(%2)"/>
      <w:numFmt w:val="lowerLetter"/>
      <w:start w:val="1"/>
    </w:lvl>
  </w:abstractNum>
  <w:abstractNum w:abstractNumId="7">
    <w:nsid w:val="3352255A"/>
    <w:multiLevelType w:val="hybridMultilevel"/>
    <w:lvl w:ilvl="0">
      <w:lvlJc w:val="left"/>
      <w:lvlText w:val="%1."/>
      <w:numFmt w:val="decimal"/>
      <w:start w:val="4"/>
    </w:lvl>
  </w:abstractNum>
  <w:abstractNum w:abstractNumId="8">
    <w:nsid w:val="109CF92E"/>
    <w:multiLevelType w:val="hybridMultilevel"/>
    <w:lvl w:ilvl="0">
      <w:lvlJc w:val="left"/>
      <w:lvlText w:val="%1."/>
      <w:numFmt w:val="decimal"/>
      <w:start w:val="9"/>
    </w:lvl>
  </w:abstractNum>
  <w:abstractNum w:abstractNumId="9">
    <w:nsid w:val="DED7263"/>
    <w:multiLevelType w:val="hybridMultilevel"/>
    <w:lvl w:ilvl="0">
      <w:lvlJc w:val="left"/>
      <w:lvlText w:val="%1."/>
      <w:numFmt w:val="decimal"/>
      <w:start w:val="17"/>
    </w:lvl>
  </w:abstractNum>
  <w:abstractNum w:abstractNumId="10">
    <w:nsid w:val="7FDCC233"/>
    <w:multiLevelType w:val="hybridMultilevel"/>
    <w:lvl w:ilvl="0">
      <w:lvlJc w:val="left"/>
      <w:lvlText w:val="%1."/>
      <w:numFmt w:val="decimal"/>
      <w:start w:val="1"/>
    </w:lvl>
    <w:lvl w:ilvl="1">
      <w:lvlJc w:val="left"/>
      <w:lvlText w:val="(%2)"/>
      <w:numFmt w:val="lowerLetter"/>
      <w:start w:val="1"/>
    </w:lvl>
  </w:abstractNum>
  <w:abstractNum w:abstractNumId="11">
    <w:nsid w:val="1BEFD79F"/>
    <w:multiLevelType w:val="hybridMultilevel"/>
    <w:lvl w:ilvl="0">
      <w:lvlJc w:val="left"/>
      <w:lvlText w:val="%1."/>
      <w:numFmt w:val="decimal"/>
      <w:start w:val="4"/>
    </w:lvl>
  </w:abstractNum>
  <w:abstractNum w:abstractNumId="12">
    <w:nsid w:val="41A7C4C9"/>
    <w:multiLevelType w:val="hybridMultilevel"/>
    <w:lvl w:ilvl="0">
      <w:lvlJc w:val="left"/>
      <w:lvlText w:val="%1."/>
      <w:numFmt w:val="decimal"/>
      <w:start w:val="9"/>
    </w:lvl>
  </w:abstractNum>
  <w:abstractNum w:abstractNumId="13">
    <w:nsid w:val="6B68079A"/>
    <w:multiLevelType w:val="hybridMultilevel"/>
    <w:lvl w:ilvl="0">
      <w:lvlJc w:val="left"/>
      <w:lvlText w:val="%1."/>
      <w:numFmt w:val="decimal"/>
      <w:start w:val="17"/>
    </w:lvl>
  </w:abstractNum>
  <w:abstractNum w:abstractNumId="14">
    <w:nsid w:val="4E6AFB66"/>
    <w:multiLevelType w:val="hybridMultilevel"/>
    <w:lvl w:ilvl="0">
      <w:lvlJc w:val="left"/>
      <w:lvlText w:val="(%1)"/>
      <w:numFmt w:val="decimal"/>
    </w:lvl>
    <w:lvl w:ilvl="1">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40" Type="http://schemas.openxmlformats.org/officeDocument/2006/relationships/hyperlink" Target="http://www.sec.gov/Archives/edgar/data/1158114/000101968713004306/aaoi_10q-ex0301.htm" TargetMode="External"/><Relationship Id="rId41" Type="http://schemas.openxmlformats.org/officeDocument/2006/relationships/hyperlink" Target="http://www.sec.gov/Archives/edgar/data/1158114/000101968713004306/aaoi_10q-ex0302.htm" TargetMode="External"/><Relationship Id="rId42" Type="http://schemas.openxmlformats.org/officeDocument/2006/relationships/hyperlink" Target="http://www.sec.gov/Archives/edgar/data/1158114/000110465915051289/a15-15715_1ex4d1.htm" TargetMode="External"/><Relationship Id="rId43" Type="http://schemas.openxmlformats.org/officeDocument/2006/relationships/hyperlink" Target="http://www.sec.gov/Archives/edgar/data/1158114/000110465919012900/a19-4821_4ex4d1.htm" TargetMode="External"/><Relationship Id="rId44" Type="http://schemas.openxmlformats.org/officeDocument/2006/relationships/hyperlink" Target="http://www.sec.gov/Archives/edgar/data/0001158114/000168316821001304/appliedopto_ex1001.htm" TargetMode="External"/><Relationship Id="rId45" Type="http://schemas.openxmlformats.org/officeDocument/2006/relationships/hyperlink" Target="http://www.sec.gov/Archives/edgar/data/0001158114/000168316821001304/appliedopto_ex1002.htm" TargetMode="External"/><Relationship Id="rId46" Type="http://schemas.openxmlformats.org/officeDocument/2006/relationships/hyperlink" Target="http://www.sec.gov/Archives/edgar/data/0001158114/000168316821001304/appliedopto_ex1003.htm" TargetMode="External"/><Relationship Id="rId47" Type="http://schemas.openxmlformats.org/officeDocument/2006/relationships/hyperlink" Target="http://www.sec.gov/Archives/edgar/data/0001158114/000168316821002352/aaoi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2021-08-05T17:30:45Z</dcterms:created>
  <dcterms:modified xsi:type="dcterms:W3CDTF">2021-08-05T17:30:45Z</dcterms:modified>
</cp:coreProperties>
</file>