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3880" w:right="1880" w:hanging="3872"/>
        <w:spacing w:after="0" w:line="490" w:lineRule="auto"/>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20" w:right="1860" w:hanging="341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__________ to </w:t>
      </w:r>
      <w:r>
        <w:rPr>
          <w:rFonts w:ascii="Times New Roman" w:cs="Times New Roman" w:eastAsia="Times New Roman" w:hAnsi="Times New Roman"/>
          <w:sz w:val="18"/>
          <w:szCs w:val="18"/>
          <w:color w:val="auto"/>
        </w:rPr>
        <w:t>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20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715"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200" w:lineRule="exact"/>
        <w:rPr>
          <w:sz w:val="24"/>
          <w:szCs w:val="24"/>
          <w:color w:val="auto"/>
        </w:rPr>
      </w:pPr>
    </w:p>
    <w:p>
      <w:pPr>
        <w:spacing w:after="0" w:line="22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Trading Name of each exchange on which registered</w:t>
            </w:r>
          </w:p>
        </w:tc>
      </w:tr>
      <w:tr>
        <w:trPr>
          <w:trHeight w:val="228"/>
        </w:trPr>
        <w:tc>
          <w:tcPr>
            <w:tcW w:w="2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3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AAOI</w:t>
            </w:r>
          </w:p>
        </w:tc>
        <w:tc>
          <w:tcPr>
            <w:tcW w:w="60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79" w:lineRule="exact"/>
        <w:rPr>
          <w:sz w:val="24"/>
          <w:szCs w:val="24"/>
          <w:color w:val="auto"/>
        </w:rPr>
      </w:pPr>
    </w:p>
    <w:p>
      <w:pPr>
        <w:jc w:val="both"/>
        <w:ind w:left="280" w:right="280"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280" w:right="280"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280" w:right="260" w:firstLine="4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p>
      <w:pPr>
        <w:spacing w:after="0" w:line="22" w:lineRule="exact"/>
        <w:rPr>
          <w:sz w:val="24"/>
          <w:szCs w:val="24"/>
          <w:color w:val="auto"/>
        </w:rPr>
      </w:pPr>
    </w:p>
    <w:p>
      <w:pPr>
        <w:ind w:left="280"/>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As of August 1, 2022 there were 27,882,758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6"/>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8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8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8440" w:type="dxa"/>
            <w:vAlign w:val="bottom"/>
            <w:gridSpan w:val="12"/>
            <w:vMerge w:val="restart"/>
          </w:tcPr>
          <w:p>
            <w:pPr>
              <w:spacing w:after="0"/>
              <w:rPr>
                <w:sz w:val="24"/>
                <w:szCs w:val="24"/>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440" w:type="dxa"/>
            <w:vAlign w:val="bottom"/>
            <w:gridSpan w:val="1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480" w:type="dxa"/>
            <w:vAlign w:val="bottom"/>
            <w:gridSpan w:val="9"/>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2022 and 2021 (Unaudited)</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and Six Months ended June 30, 2022 and 2021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4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2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Six Months ended June 30, 2022 and 2021 (Unaudited)</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 (Unaudited)</w:t>
            </w:r>
          </w:p>
        </w:tc>
        <w:tc>
          <w:tcPr>
            <w:tcW w:w="144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480" w:type="dxa"/>
            <w:vAlign w:val="bottom"/>
            <w:gridSpan w:val="4"/>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33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24"/>
                <w:szCs w:val="24"/>
                <w:color w:val="auto"/>
              </w:rPr>
            </w:pPr>
          </w:p>
        </w:tc>
        <w:tc>
          <w:tcPr>
            <w:tcW w:w="842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9140" w:type="dxa"/>
            <w:vAlign w:val="bottom"/>
            <w:gridSpan w:val="17"/>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98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4940" w:type="dxa"/>
            <w:vAlign w:val="bottom"/>
            <w:gridSpan w:val="12"/>
          </w:tcPr>
          <w:p>
            <w:pPr>
              <w:jc w:val="center"/>
              <w:ind w:left="4290"/>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 of allowance of $26 and $30, respectively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47,944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92,516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194,079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243,035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right of use asset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434,755</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454,459</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49,689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34,402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liability - operating</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lease liability - financing</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108,957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78,680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lease liability - operating</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lease liability - financing</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 at $0.001 par value; 27,658 and 27,323 shares issued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381,143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(142,671)</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434,755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454,459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88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2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2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4"/>
                <w:szCs w:val="24"/>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52,299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103,890</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43,671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43,411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82,393</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21,497</w:t>
            </w:r>
          </w:p>
        </w:tc>
      </w:tr>
      <w:tr>
        <w:trPr>
          <w:trHeight w:val="209"/>
        </w:trPr>
        <w:tc>
          <w:tcPr>
            <w:tcW w:w="2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21,842</w:t>
            </w:r>
          </w:p>
        </w:tc>
      </w:tr>
      <w:tr>
        <w:trPr>
          <w:trHeight w:val="21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w:t>
            </w: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11,035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21,550</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21,527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24,427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44,790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49,184</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(27,687)</w:t>
            </w:r>
          </w:p>
        </w:tc>
      </w:tr>
      <w:tr>
        <w:trPr>
          <w:trHeight w:val="210"/>
        </w:trPr>
        <w:tc>
          <w:tcPr>
            <w:tcW w:w="2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(2,798)</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3,862</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(23,825)</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(23,825)</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1280" w:type="dxa"/>
            <w:vAlign w:val="bottom"/>
          </w:tcPr>
          <w:p>
            <w:pPr>
              <w:spacing w:after="0"/>
              <w:rPr>
                <w:sz w:val="18"/>
                <w:szCs w:val="18"/>
                <w:color w:val="auto"/>
              </w:rPr>
            </w:pPr>
          </w:p>
        </w:tc>
        <w:tc>
          <w:tcPr>
            <w:tcW w:w="4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27,612,315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26,850,032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27,537,048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26,636,755</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27,612,315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26,850,032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27,537,048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26,636,755</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320" w:type="dxa"/>
            <w:vAlign w:val="bottom"/>
            <w:gridSpan w:val="6"/>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4"/>
                <w:szCs w:val="24"/>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(23,825)</w:t>
            </w: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foreign currency translation adjustment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3,630</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w:t>
            </w:r>
          </w:p>
        </w:tc>
      </w:tr>
      <w:tr>
        <w:trPr>
          <w:trHeight w:val="20"/>
        </w:trPr>
        <w:tc>
          <w:tcPr>
            <w:tcW w:w="1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(22,039)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(21,229)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STOCKHOLDERS’ EQUITY Three and Six Months ended June 30, 2022 and 2021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6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2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27,530</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28</w:t>
            </w: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383,474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(158,735)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239,576</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(7,583)</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(14,456)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(14,456)</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June 30, 2022</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28</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385,531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(173,191)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219,594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6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jc w:val="right"/>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26,787</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371,920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(104,131)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278,472</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3,274</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3,630</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(8,203)</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(8,203)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375,312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(112,334)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277,291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860" w:type="dxa"/>
            <w:vAlign w:val="bottom"/>
            <w:gridSpan w:val="3"/>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2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2022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27,323</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27</w:t>
            </w: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381,143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16,071</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(142,671)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254,570</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4,616</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(8,847)</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(30,518)</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(30,518)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28</w:t>
            </w:r>
          </w:p>
        </w:tc>
        <w:tc>
          <w:tcPr>
            <w:tcW w:w="1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385,531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(173,191)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219,594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5"/>
                <w:szCs w:val="15"/>
                <w:color w:val="auto"/>
              </w:rPr>
            </w:pPr>
          </w:p>
        </w:tc>
        <w:tc>
          <w:tcPr>
            <w:tcW w:w="1120" w:type="dxa"/>
            <w:vAlign w:val="bottom"/>
            <w:gridSpan w:val="3"/>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5"/>
                <w:szCs w:val="15"/>
                <w:color w:val="auto"/>
              </w:rPr>
            </w:pPr>
          </w:p>
        </w:tc>
        <w:tc>
          <w:tcPr>
            <w:tcW w:w="980" w:type="dxa"/>
            <w:vAlign w:val="bottom"/>
            <w:gridSpan w:val="3"/>
          </w:tcPr>
          <w:p>
            <w:pPr>
              <w:jc w:val="right"/>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06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2021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25,110</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354,685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11,690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(88,509)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277,891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15,228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15,230</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 net of shares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5,793</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2,596</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(23,825)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(23,825)</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June 30, 2021</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26,919</w:t>
            </w:r>
          </w:p>
        </w:tc>
        <w:tc>
          <w:tcPr>
            <w:tcW w:w="120" w:type="dxa"/>
            <w:vAlign w:val="bottom"/>
          </w:tcPr>
          <w:p>
            <w:pPr>
              <w:spacing w:after="0"/>
              <w:rPr>
                <w:sz w:val="17"/>
                <w:szCs w:val="17"/>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375,312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14,286</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(112,334)</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277,291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(30,518)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Lower of cost or market reserve adjustment to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for extinguishment of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Extinguishment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income tax</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(11,530)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(14,882)</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for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(3,932)</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 borrowings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76,903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66,742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(69,988)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(17,292)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(20,206)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of financing lease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on behalf of employees related to 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offering, net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40,650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50,499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Extinguishment of Debt and interest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accounts payable related to property and equipment additions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(2,341)</w:t>
            </w: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 deposits and prepaid for equipment related to property and equipment additions</w:t>
            </w: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(“AOI” or the “Company”) is a Delaware corporation. The Company is a leading, vertically integrated provider of fiber-optic networking products, primarily for four networking end-markets: cable television ("CATV"), internet data center,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0"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The unaudited condensed consolidated financial statements of the Company as of June 30, 2022 and December 31, 2021 and for the three and six months ended June 30, 2022 and June 30, 2021,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2021. The results of operations for the three and six months ended June 30, 2022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and six months ended June 30, 2022, as compared to the significant accounting policies described in its 2021 Annual Report, except as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Yet to be Adopted</w:t>
      </w:r>
    </w:p>
    <w:p>
      <w:pPr>
        <w:spacing w:after="0" w:line="227"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To date, there have been no recent accounting pronouncement not yet effective that have significance, or potential significance, to our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classified based on the location where the product is manufactured. For additional information on the disaggregated revenues by geographical region, see Note 17, "Geographic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CATV</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Center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54,189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CATV</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48,694</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Center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42,911</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104,540</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103,890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74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100" w:type="dxa"/>
            <w:vAlign w:val="bottom"/>
            <w:gridSpan w:val="2"/>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lef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expense</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8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tcBorders>
              <w:lef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10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412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5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9"/>
              </w:rPr>
              <w:t>Maturities of lease liabilities are as follows for the future one-year periods ending</w:t>
            </w:r>
          </w:p>
        </w:tc>
        <w:tc>
          <w:tcPr>
            <w:tcW w:w="24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 2022 (in thousands):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6"/>
              </w:rPr>
              <w:t>Operating</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8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8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8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18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20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0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4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operating leases</w:t>
            </w:r>
          </w:p>
        </w:tc>
        <w:tc>
          <w:tcPr>
            <w:tcW w:w="17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6.67</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financing leases</w:t>
            </w:r>
          </w:p>
        </w:tc>
        <w:tc>
          <w:tcPr>
            <w:tcW w:w="17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1.33</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7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3.22%</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4"/>
              </w:rPr>
              <w:t>3.23%</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financing leases</w:t>
            </w:r>
          </w:p>
        </w:tc>
        <w:tc>
          <w:tcPr>
            <w:tcW w:w="17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5.00%</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4"/>
              </w:rPr>
              <w:t>5.00%</w:t>
            </w:r>
          </w:p>
        </w:tc>
      </w:tr>
    </w:tbl>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622</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financing lease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financing lease</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33,667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34,656</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6,983</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6,480</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41,136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Restricted cash includes guarantee deposits for customs duties, China government subsidy fund, and compensating balances required for certain credit facilities. As of June 30, 2022 and December 31, 2021, there was $4.8 million and $3.0 million of restricted cash required for bank acceptance notes issued to vendors, respectively. In addition, there was $0.3 million and $2.4 million certificate of deposit associated with credit facilities with a bank in China as of June 30, 2022 and December 31, 2021, respectively. There was $1.8 million and $1.0 million guarantee deposits for customs duties as of June 30, 2022 and December 31, 2021,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Earnings (Loss) Per Share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(23,825)</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(0.89)</w:t>
            </w: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diluted net loss per share as their effect would have been antidilutive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7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__</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__</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convertible senior notes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4,609</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69"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net of inventory write-downs, consist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29,469</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 and sub-assemblies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50,446</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41,528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21,519</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98,181</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92,516</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The lower of cost or market adjustment expensed for inventory for the three months ended June 30, 2022 and 2021 was $0.4 million and $1.3 million, respectively. The lower of cost or market adjustment expensed for inventory for the six months ended June 30, 2022 and 2021 was $2.4 million and $2.2 million, respectively.</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the direct inventory write-offs related to scrap, discontinued products, and damaged inventories were $1.8 million and $4.8 million, respectively. For the six months ended June 30, 2022 and 2021, the direct inventory write-offs related to scrap, discontinued products, and damaged inventories were $2.7 million and $10.8 million,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89,698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256,414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266,386</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5,658</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12,144</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12,727</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376,001</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(171,735)</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(167,772)</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190,941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208,229</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32,307</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33,705</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1,101</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224,349</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243,035</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and 2021, the depreciation expense of property, plant and equipment was $5.7 million and $6.3 million, respectively. For the six months ended June 30, 2022 and 2021, the depreciation expense of property, plant and equipment was $11.7 million and</w:t>
      </w:r>
    </w:p>
    <w:p>
      <w:pPr>
        <w:spacing w:after="0" w:line="260" w:lineRule="auto"/>
        <w:rPr>
          <w:sz w:val="20"/>
          <w:szCs w:val="20"/>
          <w:color w:val="auto"/>
        </w:rPr>
      </w:pPr>
      <w:r>
        <w:rPr>
          <w:rFonts w:ascii="Times New Roman" w:cs="Times New Roman" w:eastAsia="Times New Roman" w:hAnsi="Times New Roman"/>
          <w:sz w:val="18"/>
          <w:szCs w:val="18"/>
          <w:color w:val="auto"/>
        </w:rPr>
        <w:t>$12.6 million, respectively. For the three months ended June 30, 2022 and 2021, the capitalized interest was $0.1 million and $0.2 million, respectively. For the six months ended June 30, 2022 and 2021, the capitalized interest was $0.2 million and $0.3 million, respectively.</w:t>
      </w:r>
    </w:p>
    <w:p>
      <w:pPr>
        <w:spacing w:after="0" w:line="179"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As of June 30,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concluded that its continued loss history constitutes a triggering event as described in ASC </w:t>
      </w:r>
      <w:r>
        <w:rPr>
          <w:rFonts w:ascii="Times New Roman" w:cs="Times New Roman" w:eastAsia="Times New Roman" w:hAnsi="Times New Roman"/>
          <w:sz w:val="18"/>
          <w:szCs w:val="18"/>
          <w:i w:val="1"/>
          <w:iCs w:val="1"/>
          <w:color w:val="auto"/>
        </w:rPr>
        <w:t>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21,Property, Plant, and Equipment</w:t>
      </w:r>
      <w:r>
        <w:rPr>
          <w:rFonts w:ascii="Times New Roman" w:cs="Times New Roman" w:eastAsia="Times New Roman" w:hAnsi="Times New Roman"/>
          <w:sz w:val="18"/>
          <w:szCs w:val="18"/>
          <w:color w:val="auto"/>
        </w:rPr>
        <w:t>. The Company performed a recoverability test and concluded that future undiscounted cash flows exceed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5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6"/>
                <w:szCs w:val="16"/>
                <w:color w:val="auto"/>
              </w:rPr>
            </w:pPr>
          </w:p>
        </w:tc>
        <w:tc>
          <w:tcPr>
            <w:tcW w:w="130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5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6"/>
                <w:szCs w:val="16"/>
                <w:color w:val="auto"/>
              </w:rPr>
            </w:pPr>
          </w:p>
        </w:tc>
        <w:tc>
          <w:tcPr>
            <w:tcW w:w="130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amortization expense for intangible assets, included in general and administrative expenses on the income statement, was each $0.2 million. For the six months ended June 30, 2022 and 2021, the amortization expense for intangible assets, was each $0.3 million. The remaining weighted average amortization period for intangible assets is approximately 6 years.</w:t>
      </w:r>
    </w:p>
    <w:p>
      <w:pPr>
        <w:sectPr>
          <w:pgSz w:w="11900" w:h="16838" w:orient="portrait"/>
          <w:cols w:equalWidth="0" w:num="1">
            <w:col w:w="11220"/>
          </w:cols>
          <w:pgMar w:left="320" w:top="121" w:right="359" w:bottom="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2022, future amortization expense for intangible assets for future one year periods is estimated to be (in thousands):</w:t>
      </w:r>
    </w:p>
    <w:p>
      <w:pPr>
        <w:spacing w:after="0" w:line="24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92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of Financial Instruments​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summary of the Company’s financial instruments measured at fair value on a recurring basis for the periods indicated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33,667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34,656</w:t>
            </w: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8,148</w:t>
            </w: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49,284</w:t>
            </w:r>
          </w:p>
        </w:tc>
      </w:tr>
      <w:tr>
        <w:trPr>
          <w:trHeight w:val="197"/>
        </w:trPr>
        <w:tc>
          <w:tcPr>
            <w:tcW w:w="23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r>
        <w:trPr>
          <w:trHeight w:val="216"/>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68,667</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68,667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67,588</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67,588</w:t>
            </w: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75,786</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line of credit with a U.S. bank up to $20,000 with interest at 2.56% , maturing April 15,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14,373</w:t>
            </w: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Notes payable to a finance company due in monthly installments with 3.1% interest, matured January 21,</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$25,449 with interest from 2.8% to 4.57%, maturing May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24, 2024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 with a China bank up to $29,800 with interest of 2.6%~4.8%, maturing June 6, 2027</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with a China bank up to $7,167 with interest of 5.7%, matured June 27, 2022</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54,711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Grand total</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(49,689)</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8,198</w:t>
            </w:r>
          </w:p>
        </w:tc>
      </w:tr>
    </w:tbl>
    <w:p>
      <w:pPr>
        <w:spacing w:after="0" w:line="179"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June 30, 2022.</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future one-year periods ending June 30, (in thousands):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53,565</w:t>
            </w: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Beyond one year</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53,565</w:t>
            </w: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The Company’s obligations under the Credit Facility are secured by the Company’s accounts receivable, inventory, intellectual property, and all business assets with the exception of real estate and equipment.</w:t>
      </w:r>
    </w:p>
    <w:p>
      <w:pPr>
        <w:spacing w:after="0" w:line="17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December 29,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executed a Sixth Amendment to the Loan Agreement (the "Sixth Amendment") and a Fifth Amendment to Security Agreement, a Note Modification Agreement, and an Addendum to Promissory Note (together the "Sixth Amended Credit Facility") with Truist Bank. The Sixth Amended Credit Facility extends the $20 million line of credit, originally entered into on September 28, 2017, until April 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Borrowings will bear interest at a rate equal to the Secured Overnight Financing Rate (SOFR) plus 1.56%, with a SOFR floor of 0.75%. As of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2022, the Company had $17 million of outstanding borrowings and was in compliance with all covenants under the Sixth Amended Credit Facility.</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2020, Prime World entered into an Amendment to the Finance Lease Agreements dated November 29, 2018 and January 21, 2019 (the “Amendment”) with Chailease Finance Co., Ltd. (“Chailease”). The Amendment amends the Finance Lease Agreements, dated November 29, 2018 and January 21, 2019 (hereafter collectively referred to as the “Original Finance Agreements”). Pursuant to the Amendment, Prime World agrees to pay Chailease NT$22,311,381, or approximately $0.8 million for certain leased equipment listed in the Amendment (the “Leased Equipment”). This payment includes all outstanding lease payments, costs and expenses; simultaneously, Chailease agrees to transfer title of such Leased Equipment back to Prime World. Regarding all other equipment contemplated in the Original Finance Agreements but not listed in the Amendment, pursuant to the terms and conditions made under the Original Finance Agreements, Prime World is obligated to pay Chailease monthly lease payments which total NT$159,027,448, or approximately $5.5 million (the “Lease Payments”). The Lease Payments began on September 21, 2020 with the last Lease Payment due on January 21, 2022, title of all other equipment contemplated under the Original Finance Agreements but not listed in the Amendment transferred to Prime World upon completion of the Lease Payments and expiration of the Original Finance Agreements. As of June 30, 2022, the Company has fully repaid the Original Finance Agreements and Amendment.</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May 24, 2019, the Company’s China subsidiary, Global, entered into a five-year revolving credit line agreement, totaling 180,000,000 RMB (the “SPD Credit Line”), or approximately $25.4 million, and a mortgage security agreement (the “Security Agreement”), with Shanghai Pudong Development Bank Co., Ltd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June 30, 2022, $19.7 million was outstanding under the SPD Credit Line and the outstanding balance of bank acceptance notes issued to vendors was $4.2 million.</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On January 6, 2021, the ¥100M Credit Facility with CZB was extended for three (3 ) years until January 5, 2024. Global may draw upon the ¥100M Credit Facility from June 21, 2019 until January 5, 2024 (the “¥100M Credit Period”). The Company repaid and replaced this loan agreement on June 7, 2022.</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June 7, 2022, the Company's China Subsidiary, Global, entered a security agreement with China Zheshang Bank in Ningbo City, China ("CZB") for a five-year credit line agreement, totaling 200,000,000 RMB (the "¥200M Credit Facility"), or approximately $29.9 million. Global may draw upon the ¥200M Credit Facility between June 7, 2022 and June 6, 2027 (" ¥200M Credit Period"). During the ¥200M Credit Period, Global may request to draw upon the ¥200M Credit Facility on an as-needed basi s; however, draws under the ¥200M Credit Facility may 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the Bank's commercial banking interest rate effective on the day of the applicable draw. Global’s obligations under the ¥200M Credit Facility will be secured by real property owned by Global and mortgaged to CZB under the terms of the Real Estate Security Agreement. As of June 30, 2022, $16.9 million was outstanding under the ¥200M Credit Facility and the outstanding balance of bank acceptance notes issued to vendors was $6.1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21, 2019, the Company’s China subsidiary, Global, entered into a three-year credit facility totaling 50,000,000 RMB (the “¥50M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or approximately $7.1 million, with CZB. Borrowing under the ¥50M Credit Facility will be used by Global for general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Global may draw upon the ¥50M Credit Facility from June 21, 2019 until June 20, 2022 (the “¥50M Credit Period”). During the ¥50M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Global may request to draw upon the ¥50M Credit Facility on an as-needed basis; however, draws under the ¥50M Credit Facility may become due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repayable to CZB at CZB’s discretion due to changes in Chinese government regulations and/or changes in Global’s financial and operational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Each draw will bear interest equal to CZB’s commercial banking interest rate effective on the day of the applicable draw. Global’s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¥50M Credit Facility will be secured by machinery and equipment owned by Global and mortgaged to CZB under the terms of the Machinery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Security Agreement. As of June 30, 2022, the Company has fully repaid the ¥50M Credit Facility.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$14.8 million and $7.4 million of unused borrowing capacity respectively</w:t>
      </w:r>
    </w:p>
    <w:p>
      <w:pPr>
        <w:spacing w:after="0" w:line="22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there was $5.1 million and $5.4 million of restricted cash, investments or security deposits associated with the loan facilities, respectively.</w:t>
      </w:r>
    </w:p>
    <w:p>
      <w:pPr>
        <w:sectPr>
          <w:pgSz w:w="11900" w:h="16838" w:orient="portrait"/>
          <w:cols w:equalWidth="0" w:num="1">
            <w:col w:w="11180"/>
          </w:cols>
          <w:pgMar w:left="320" w:top="121" w:right="399" w:bottom="0" w:gutter="0" w:footer="0" w:header="0"/>
        </w:sectPr>
      </w:pP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20" w:top="121" w:right="399" w:bottom="0" w:gutter="0" w:footer="0" w:header="0"/>
          <w:type w:val="continuous"/>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Convertible Senior Notes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 of the Notes for the periods indicated (in thousands):</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p>
    <w:tbl>
      <w:tblPr>
        <w:tblLayout w:type="fixed"/>
        <w:tblInd w:w="84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40"/>
              <w:spacing w:after="0" w:line="203"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7"/>
                <w:szCs w:val="17"/>
                <w:color w:val="auto"/>
              </w:rPr>
            </w:pPr>
          </w:p>
        </w:tc>
        <w:tc>
          <w:tcPr>
            <w:tcW w:w="1440" w:type="dxa"/>
            <w:vAlign w:val="bottom"/>
            <w:gridSpan w:val="2"/>
          </w:tcPr>
          <w:p>
            <w:pPr>
              <w:jc w:val="center"/>
              <w:ind w:right="240"/>
              <w:spacing w:after="0" w:line="203"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80,500</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(1,410)</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(1,820)</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79,090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78,680</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are convertible at the option of holders of the Notes at any time until the close of business on the scheduled trading day immediately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the maturity date. Upon conversion, holders of the Notes will receive shares of the Company’s common stock, together, if applicable, with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lieu of any fractional share, at the then-applicable conversion rate. The initial conversion rate is 56.9801 shares of the Company’s common stock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Notes (representing an initial conversion price of approximately $17.55 per share of common stock, which represents an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premium of approximately 30% above the closing price of $13.50 per share of the Company’s common stock on February 28, 2019),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adjustments. If a make-whole fundamental change (as defined in the Indenture) occurs, and in connection with certain other conversions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2022, the Company will in certain circumstances increase the conversion rate for a specified period of time.</w:t>
      </w:r>
    </w:p>
    <w:p>
      <w:pPr>
        <w:spacing w:after="0" w:line="20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guidance in ASC 815-40, Contracts in Entity’s Own Equity,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Debt with Conversion and Other Options. The Company determined that notes should be accounted for in their entirety as a liability.</w:t>
      </w:r>
    </w:p>
    <w:p>
      <w:pPr>
        <w:sectPr>
          <w:pgSz w:w="11900" w:h="16838" w:orient="portrait"/>
          <w:cols w:equalWidth="0" w:num="1">
            <w:col w:w="11220"/>
          </w:cols>
          <w:pgMar w:left="320" w:top="121" w:right="359"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interest expense information related to the Notes (in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4"/>
                <w:szCs w:val="24"/>
                <w:color w:val="auto"/>
              </w:rPr>
            </w:pPr>
          </w:p>
        </w:tc>
        <w:tc>
          <w:tcPr>
            <w:tcW w:w="262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spacing w:after="0"/>
              <w:rPr>
                <w:sz w:val="18"/>
                <w:szCs w:val="18"/>
                <w:color w:val="auto"/>
              </w:rPr>
            </w:pPr>
          </w:p>
        </w:tc>
        <w:tc>
          <w:tcPr>
            <w:tcW w:w="12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6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Accrued Liabilities​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54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8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6,516</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1,475</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 expenses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1,003</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product warranty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shipping and tariff expenses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capital expenditure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84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15,587</w:t>
            </w: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52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Pr>
          <w:p>
            <w:pPr>
              <w:spacing w:after="0"/>
              <w:rPr>
                <w:sz w:val="20"/>
                <w:szCs w:val="20"/>
                <w:color w:val="auto"/>
              </w:rPr>
            </w:pPr>
          </w:p>
        </w:tc>
      </w:tr>
      <w:tr>
        <w:trPr>
          <w:trHeight w:val="210"/>
        </w:trPr>
        <w:tc>
          <w:tcPr>
            <w:tcW w:w="43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gain (loss)</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gain</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Loan forgiveness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3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other income (expenses) , net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Incentive Plan (“2021 Plan”)</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third-party valuation specialists.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 Price</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on Date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24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3"/>
              </w:rPr>
              <w:t>except price data)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10.40</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June 30, 2022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10.40</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10.40</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there was no unrecognized stock option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Incentive Plan</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June 2021, the Company approved to grant restricted performance stock units (“PSUs”) to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third anniversary of their grant, assuming achievement of the applicable performance criteria. We estimated the fair value of the PSUs using a Monte Carlo simulation model on the date of grant. Compensation expense is recognized ratably over the explicit service period. The Company recognized PSU expenses of $0.7 million for six months ended on June 30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RSU/RSA activity, inclusive of performance based incentive plan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5,193</w:t>
            </w: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5,193</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there was $18.6 million of unrecognized compensation expense related to these RSUs and RSAs. This expense is expected to be recognized over 2.3 years.</w:t>
      </w:r>
    </w:p>
    <w:p>
      <w:pPr>
        <w:sectPr>
          <w:pgSz w:w="11900" w:h="16838" w:orient="portrait"/>
          <w:cols w:equalWidth="0" w:num="1">
            <w:col w:w="11240"/>
          </w:cols>
          <w:pgMar w:left="320" w:top="121" w:right="339" w:bottom="164"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64"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2,048</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3,273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180"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2022 and 2021 was 0%. For the three months ended June 30, 2022 and 2021, the effective tax rate varied from the federal statutory rate of 21% primarily due to the change of the valuation allowance on federal, state,</w:t>
      </w:r>
    </w:p>
    <w:p>
      <w:pPr>
        <w:spacing w:after="0"/>
        <w:rPr>
          <w:sz w:val="20"/>
          <w:szCs w:val="20"/>
          <w:color w:val="auto"/>
        </w:rPr>
      </w:pPr>
      <w:r>
        <w:rPr>
          <w:rFonts w:ascii="Times New Roman" w:cs="Times New Roman" w:eastAsia="Times New Roman" w:hAnsi="Times New Roman"/>
          <w:sz w:val="18"/>
          <w:szCs w:val="18"/>
          <w:color w:val="auto"/>
        </w:rPr>
        <w:t>Taiwan, and China deferred tax assets ("DTA").</w:t>
      </w:r>
    </w:p>
    <w:p>
      <w:pPr>
        <w:spacing w:after="0" w:line="207" w:lineRule="exact"/>
        <w:rPr>
          <w:sz w:val="20"/>
          <w:szCs w:val="20"/>
          <w:color w:val="auto"/>
        </w:rPr>
      </w:pPr>
    </w:p>
    <w:p>
      <w:pPr>
        <w:ind w:left="20" w:right="100" w:firstLine="81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2022 and 2021 was 0%. For the six months ended June 30, 2022 and 2021, the effective tax rate varied from the federal statutory rate of 21% primarily due to the change of the valuation allowance on federal, state, Taiwan and China DTA.</w:t>
      </w:r>
    </w:p>
    <w:p>
      <w:pPr>
        <w:spacing w:after="0" w:line="176" w:lineRule="exact"/>
        <w:rPr>
          <w:sz w:val="20"/>
          <w:szCs w:val="20"/>
          <w:color w:val="auto"/>
        </w:rPr>
      </w:pPr>
    </w:p>
    <w:p>
      <w:pPr>
        <w:ind w:left="20" w:firstLine="810"/>
        <w:spacing w:after="0" w:line="256" w:lineRule="auto"/>
        <w:rPr>
          <w:sz w:val="20"/>
          <w:szCs w:val="20"/>
          <w:color w:val="auto"/>
        </w:rPr>
      </w:pPr>
      <w:r>
        <w:rPr>
          <w:rFonts w:ascii="Times New Roman" w:cs="Times New Roman" w:eastAsia="Times New Roman" w:hAnsi="Times New Roman"/>
          <w:sz w:val="18"/>
          <w:szCs w:val="18"/>
          <w:color w:val="auto"/>
        </w:rPr>
        <w:t>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June 30, 2022 was appropriate.</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17. Geographic Information</w:t>
      </w:r>
    </w:p>
    <w:p>
      <w:pPr>
        <w:spacing w:after="0" w:line="229" w:lineRule="exact"/>
        <w:rPr>
          <w:sz w:val="20"/>
          <w:szCs w:val="20"/>
          <w:color w:val="auto"/>
        </w:rPr>
      </w:pPr>
    </w:p>
    <w:p>
      <w:pPr>
        <w:jc w:val="both"/>
        <w:ind w:left="20"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jc w:val="both"/>
        <w:ind w:left="20" w:right="140"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1,147</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6,737</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37,205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64,984</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55,888</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13,947</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41,265</w:t>
            </w:r>
          </w:p>
        </w:tc>
      </w:tr>
      <w:tr>
        <w:trPr>
          <w:trHeight w:val="20"/>
        </w:trPr>
        <w:tc>
          <w:tcPr>
            <w:tcW w:w="3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52,299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54,189</w:t>
            </w:r>
          </w:p>
        </w:tc>
        <w:tc>
          <w:tcPr>
            <w:tcW w:w="32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104,540</w:t>
            </w:r>
          </w:p>
        </w:tc>
        <w:tc>
          <w:tcPr>
            <w:tcW w:w="38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103,890</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 the period ended</w:t>
            </w: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r>
      <w:tr>
        <w:trPr>
          <w:trHeight w:val="20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83,750</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87,709</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56,174</w:t>
            </w: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63,644</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99,894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108,509</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239,818</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259,862</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00" w:top="121" w:right="379" w:bottom="1440" w:gutter="0" w:footer="0" w:header="0"/>
        </w:sect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August 9, 2021, the Company has received a Taxes Notification of Audit Result (“Notice”) from the Texas Comptroller’s Office (the “Comptroller”), for fiscal years between 2016 and 2019, informing the Company that the Comptroller believes the Company did not qualify for certain sales and use tax exemptions on various Research and Development purchases and accordingly the Company is liable for Sale and Use Tax in the amount of approximately $1.0 million including interest charges. The Company paid $0.4 million for the tax notice but challenged the remaining tax assessments and vigorously defended its position. The Comptroller’s office has not made final assessments after the Company’s defenses. However, the management estimated the additional tax assessment will be in the range of $0.2 million to $0.4 million including interest charges.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repaid its revolving bank line of credit with Truist Bank in the amount of $17million on July 5, 2022.</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2022 and the audited consolidated financial statements and notes thereto and management’s discussion and analysis of financial condition and results of operations for the fiscal year ended December 31, 2021 included in our Annual Report. References to “Applied Optoelectronics,” “we,” “our” and “us” are to Applied Optoelectronics, Inc. and its subsidiaries unless otherwise specified or the context otherwise requires.</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2021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four networking end-markets: CATV, internet data centers,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internet data center,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100 Gbps and above, as well as the movement to open internet data center architectures and the increasing use of in-house equipment design among leading internet companies.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13139 Jess Pirtle Blvd., Sugar Land, TX 77478, and our telephone number is (281) 295-1800.</w:t>
      </w:r>
    </w:p>
    <w:p>
      <w:pPr>
        <w:sectPr>
          <w:pgSz w:w="11900" w:h="16838" w:orient="portrait"/>
          <w:cols w:equalWidth="0" w:num="1">
            <w:col w:w="11220"/>
          </w:cols>
          <w:pgMar w:left="320" w:top="121" w:right="359"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risks and uncertainties as a result of the COVID-19 pandemic. The extent of the impact of the COVID-19 pandemic on our business is highly uncertain and difficult to predict as coronavirus continues to spread around the world. In March 2020, we instituted travel restrictions and implemented sanitation and disinfection procedures to safeguard the health and safety of our employees which continue today. Recently, we began allowing certain employee travel, but continue strict sanitation procedures in our facilities. With increased vaccinations and the potential significant reduction of infections, we have implemented procedures for a safe return to the office environment for all of our employees.</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spread of COVID-19 has impacted our supply chain operations through restrictions, reduced capacity and shutdown of business activities by suppliers whom we rely on for sourcing components and materials and third-party partners whom we rely on for manufacturing, warehousing and logistics services. Currently, the suppliers who were responsible for most of our supply-chain constraints in 2021 have begun returning to normal operations and have expressed optimism that their deliveries in 2022 will return to normal. However, late in the first quarter of 2022, certain areas of China began to experience severe restrictions due to COVID-19 outbreaks. Also, certain of our suppliers for semiconductor components have recently notified us of lengthy delays in shipments of certain integrated circuits used in some of our products. Currently, it is not possible to estimate the impact (if any) of these restrictions because it is not clear how long the restrictions will be in place or the extent to which the restrictions will curtail production by our suppliers in the affected areas. In order to minimize the impact of these and any similar disruptions, we have added additional suppliers for many key components, where it is practical to do so. Also, where it is possible, we have in many cases begun to utilize alternative components in place of the originally-specified components when the original components have experienced supply disruption. We believe that these additional suppliers and alternative parts will be able to augment our supply of needed components, although in some cases these alternative materials are more expensive than the original ones so a switch to these alternate materials has had a negative impact on gross margins and profitability. Due to a mix of old and new parts used in production, it is difficult to estimate the amount of margin reduction associated with these alternatives. Due to the changing supply environment, it is also difficult to estimate the future impact, if any, of these additional supply-chain related costs.</w:t>
      </w:r>
    </w:p>
    <w:p>
      <w:pPr>
        <w:spacing w:after="0" w:line="197"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Although demand for many of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therefore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21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210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18"/>
                <w:szCs w:val="18"/>
                <w:color w:val="auto"/>
              </w:rPr>
            </w:pPr>
          </w:p>
        </w:tc>
        <w:tc>
          <w:tcPr>
            <w:tcW w:w="20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52,299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54,189</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104,540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103,890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43,671</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43,411</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86,888</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82,393</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10,778</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21,497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r>
      <w:tr>
        <w:trPr>
          <w:trHeight w:val="210"/>
        </w:trPr>
        <w:tc>
          <w:tcPr>
            <w:tcW w:w="2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10,914</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2,832</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4,722</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5,792</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11,035</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10,681</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22,254</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21,550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21,527</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24,427</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44,790</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49,184</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(12,899)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(13,649)</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(27,138)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(27,687)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0"/>
        </w:trPr>
        <w:tc>
          <w:tcPr>
            <w:tcW w:w="2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(2,810)</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(2,798)</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6,797</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191"/>
        </w:trPr>
        <w:tc>
          <w:tcPr>
            <w:tcW w:w="208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Total other income</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(1,557)</w:t>
            </w:r>
          </w:p>
        </w:tc>
        <w:tc>
          <w:tcPr>
            <w:tcW w:w="3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5,446</w:t>
            </w:r>
          </w:p>
        </w:tc>
        <w:tc>
          <w:tcPr>
            <w:tcW w:w="3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(3,380)</w:t>
            </w:r>
          </w:p>
        </w:tc>
        <w:tc>
          <w:tcPr>
            <w:tcW w:w="3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3,862</w:t>
            </w: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(14,456)</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(8,203)</w:t>
            </w: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(23,825)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(14,456)</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(8,203)</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(23,825)</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8"/>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Financial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CATV, internet data center,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2022 and 2021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27,599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54,188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48,694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46,238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42,911</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48,331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104,540</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103,890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Revenue decreased by $1.9 million, or 3.5%, for the three months ended June 30, 2022 as compared to June 30, 2021, primarily due to decrease in CATV product sales arising from supply chain constraints during the pandemic lockdown in Shanghai, China. The decrease was offset by the increase of Telecom sales. Revenue for the six months ended June 30, 2022 slightly increased compared to June 30, 2021 due to more sales of CATV and Telecom products partially offset by decreases in datacenter and FTTH sales.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Although sales of CATV products in the three months ended June 30, 2022 were lower than in the same period in the prior year due to supply chain constraints, demand for CATV products has been elevated compared to the prior year. Based on customer forecasts and order backlog we believe that this elevated CATV demand will likely continue into 2023.</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begun to see increased orders for our 400G datacenter products from several large customers. Based on forecasts from our customers, we expect increased demand for these products through the end of 2022.</w:t>
      </w:r>
    </w:p>
    <w:p>
      <w:pPr>
        <w:spacing w:after="0" w:line="16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and 2021, our top ten customers represented 87.1% and 86.8%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43,671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43,411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8,628</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10,778</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(2,150)</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86,888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82,393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17,652</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21,497</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(3,845)</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increased by $0.2 million, or 0.6%, for the three months ended June 30, 2022 as compared to the three months ended June 30, 2021, primarily due to 3.5% sales decrease offset by higher cost of certain raw materials due to global supply chain disruption. Cost of goods sold increased by $4.5 million, or 5.5%, for the six months ended June 30, 2022, primarily due to higher cost of certain raw materials due to global supply chain disruptions.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Gross margin decreased $2.2 million, or 19.9% and $3.8 million, or 17.9%, respectively, for the three and six months ended June 30, 2022 as compared to the three and six months ended June 30, 2021, primarily as a result of changes in the mix of our CATV and datacenter products. In addition, we experienced higher costs of certain raw materials and global supply chain disruptions due to COVID-19 closures of ports and factories in Asia (see the section above on the COVID-19 pandemic for more details of these challenges).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10,914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10,681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24,427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21,842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5,792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21,550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49,184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decreased by $2.6 million, or 23.7% for the three months ended June 30, 2022 as compared to the three months ended June 30, 2021. Research and development expense decreased by $4 million, or 18.4%, for the six months ended June 30, 2022 as compared to the six months ended June 30, 2021.Research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These decreases were primarily due to a decrease in personnel-related costs, share-based compensation expense, and less materials and supplies used in R&amp;D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decreased by $0.7 million, or 23.6% for the three months ended June 30, 2022 as compared to the three months ended June 30, 2021. Sales and marketing expense decreased by $1.1 million, or 18.5%, for the six months ended June 30, 2022 as compared to the three months ended June 30, 2021.These decreases were primarily due to a decrease in personnel-related costs, duties and freight. These decreases were partially offset by an increase in trade show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slightly by $0.4 million, or 3.3% for the three months ended June 30, 2022 compared to the three months ended June 30, 2021. General and administrative expense increase by $0.7 million, or 3.3%, for the six months ended June 30, 2022 compared to the six months ended June 30, 2021. These increases were primarily due to an increase in depreciation expense and performance based incentive expenses. These increases were partially offset by a decrease in personnel-related costs and professional service fees.</w:t>
      </w:r>
    </w:p>
    <w:p>
      <w:pPr>
        <w:sectPr>
          <w:pgSz w:w="11900" w:h="16838" w:orient="portrait"/>
          <w:cols w:equalWidth="0" w:num="1">
            <w:col w:w="11240"/>
          </w:cols>
          <w:pgMar w:left="320" w:top="108" w:right="339" w:bottom="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5"/>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6,797</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5,446</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(7,002)</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5"/>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(2,798)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6,628</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3,862</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(7,241)</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increased slightly for the three and six months ended June 30, 2022 compared to the three and six months ended June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are similar to expected rates of fluctuation with the interest rates and cash balances.</w:t>
      </w:r>
    </w:p>
    <w:p>
      <w:pPr>
        <w:spacing w:after="0" w:line="20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increased slightly for the three and six months ended June 30, 2022 compared to the three and six months ended June 30, 2021. This increase was due to higher average debt interest rate during the period.</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Other income, net decreased by $7 million, or 102.6%, for the three months ended June 30, 2022 as compared to the three months ended June 30, 2021. Other income, net decreased by $7.3 million, or 109.5%, for the six months ended June 30, 2022 as compared to the six months ended June 30,</w:t>
      </w: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2022. This decrease was mainly due to the other income received in the second quarter of 2021 from the forgiveness by the SBA of the Company's PPP Loan forgiveness application for the entire PPP Loan balance of $6.23 million and foreign currency loss arising from unfavorable exchange rate change.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0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10"/>
        </w:trPr>
        <w:tc>
          <w:tcPr>
            <w:tcW w:w="5060" w:type="dxa"/>
            <w:vAlign w:val="bottom"/>
          </w:tcPr>
          <w:p>
            <w:pPr>
              <w:spacing w:after="0"/>
              <w:rPr>
                <w:sz w:val="18"/>
                <w:szCs w:val="18"/>
                <w:color w:val="auto"/>
              </w:rPr>
            </w:pP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6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0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09"/>
        </w:trPr>
        <w:tc>
          <w:tcPr>
            <w:tcW w:w="5060" w:type="dxa"/>
            <w:vAlign w:val="bottom"/>
          </w:tcPr>
          <w:p>
            <w:pPr>
              <w:spacing w:after="0"/>
              <w:rPr>
                <w:sz w:val="18"/>
                <w:szCs w:val="18"/>
                <w:color w:val="auto"/>
              </w:rPr>
            </w:pP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16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60" w:firstLine="648"/>
        <w:spacing w:after="0" w:line="257" w:lineRule="auto"/>
        <w:rPr>
          <w:sz w:val="20"/>
          <w:szCs w:val="20"/>
          <w:color w:val="auto"/>
        </w:rPr>
      </w:pPr>
      <w:r>
        <w:rPr>
          <w:rFonts w:ascii="Times New Roman" w:cs="Times New Roman" w:eastAsia="Times New Roman" w:hAnsi="Times New Roman"/>
          <w:sz w:val="18"/>
          <w:szCs w:val="18"/>
          <w:color w:val="auto"/>
        </w:rPr>
        <w:t>The Company’s effective tax rate for the three months and six months ended June 30, 2022 and 2021 was 0%. For the three months and six months ended June 30, 2022 and 2021, the effective tax rate varied from the federal statutory rate of 21% primarily due to the change of the valuation allowance on federal, state, Taiwan, and China deferred tax assets ("DTA").</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Gain (Loss) on foreign currency translation adjustment</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Gain (Loss) on foreign currency translation adjustment</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(8,203)</w:t>
            </w:r>
          </w:p>
        </w:tc>
        <w:tc>
          <w:tcPr>
            <w:tcW w:w="1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(6,253)</w:t>
            </w:r>
          </w:p>
        </w:tc>
        <w:tc>
          <w:tcPr>
            <w:tcW w:w="3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3,630</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(11,213)</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(22,309)</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387.8%</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(30,518)</w:t>
            </w:r>
          </w:p>
        </w:tc>
        <w:tc>
          <w:tcPr>
            <w:tcW w:w="1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(23,825)</w:t>
            </w:r>
          </w:p>
        </w:tc>
        <w:tc>
          <w:tcPr>
            <w:tcW w:w="1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(6,693)</w:t>
            </w:r>
          </w:p>
        </w:tc>
        <w:tc>
          <w:tcPr>
            <w:tcW w:w="3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(8,845)</w:t>
            </w: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2,596</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(11,441)</w:t>
            </w:r>
          </w:p>
        </w:tc>
        <w:tc>
          <w:tcPr>
            <w:tcW w:w="3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(39,363)</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-1997075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-1585595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-574040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-162560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580"/>
            <w:col w:w="8080"/>
          </w:cols>
          <w:pgMar w:left="320" w:top="121" w:right="339" w:bottom="1440" w:gutter="0" w:footer="0" w:header="0"/>
        </w:sectPr>
      </w:pP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Comprehensive loss increased by $17.7 million, or 387.8%, for the three months ended June 30, 2022 as compared to the three months ended June 30, 2021, primarily due to increase of $11.2 million loss of foreign currency translation adjustments for non-U.S. dollar functional currency operations. 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Comprehensive loss increased by $18.1 million, or 85.4%, for the six months ended June 30, 2022, as compared to the six months ended June 30, 2021, primarily due to increase of $11.4 million loss of foreign currency translation adjustments for non-U.S. dollar functional currency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we had $14.8 million of unused borrowing capacity from all of our loan agreements. As of June 30, 2022, our cash, cash equivalents and restricted cash totaled $40.7 million. Cash and cash equivalents are held for working capital purposes and are invested primarily in money market or time deposit funds. We do not enter into investments for trading or speculative purposes.</w:t>
      </w:r>
    </w:p>
    <w:p>
      <w:pPr>
        <w:spacing w:after="0" w:line="176" w:lineRule="exact"/>
        <w:rPr>
          <w:sz w:val="20"/>
          <w:szCs w:val="20"/>
          <w:color w:val="auto"/>
        </w:rPr>
      </w:pPr>
    </w:p>
    <w:p>
      <w:pPr>
        <w:ind w:right="480" w:firstLine="693"/>
        <w:spacing w:after="0" w:line="266" w:lineRule="auto"/>
        <w:rPr>
          <w:sz w:val="20"/>
          <w:szCs w:val="20"/>
          <w:color w:val="auto"/>
        </w:rPr>
      </w:pPr>
      <w:r>
        <w:rPr>
          <w:rFonts w:ascii="Times New Roman" w:cs="Times New Roman" w:eastAsia="Times New Roman" w:hAnsi="Times New Roman"/>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February 26, 2021, we entered into another Equity Distribution Agreement (the “Agreement”) with the Sales Agent pursuant to which the Company may issue and sell shares of the Company’s common stock, par value $0.001 per share (the “Shares”) having an aggregate offering price of up to $35 million (the “Second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ectPr>
          <w:pgSz w:w="11900" w:h="16838" w:orient="portrait"/>
          <w:cols w:equalWidth="0" w:num="1">
            <w:col w:w="11240"/>
          </w:cols>
          <w:pgMar w:left="320" w:top="121" w:right="339"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provides that the Sales Agent will be entitled to compensation of up to 2% of the gross sales price of the Shares sold through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Agent from time to time. The Company has also agreed to reimburse the Sales Agent for certain specified expenses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of Shares under state blue sky laws and any filing with, and clearance of the offering by, the Financial Industry Regulatory Authority Inc.,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exceed $10,000 in the aggregate, and any associated application fees incurred. Additionally, if the Agreement is terminated under certain circumstances,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fails to sell a minimum amount of the Shares as set forth in the Agreement, then the Company has agreed to reimburse the Sales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reasonable out-of-pocket expenses, including the reasonable fees and disbursements of counsel incurred by the Sales Agent, up to a maximum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in the aggregate. The Company agreed to indemnify the Sales Agent against certain liabilities, including liabilities under the Securities Act,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payments that the Sales Agent may be required to make because of any of those liabilities.</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March 2021, we commenced sales of common stock through the Second ATM Offering. As of June 30, 2022, the total gross sales were $1.0 million and thus remaining amount of common stock we have available to sell under the ATM Offering is $34.0 million.</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60604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0604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860" w:right="1600"/>
        <w:spacing w:after="0" w:line="356" w:lineRule="auto"/>
        <w:rPr>
          <w:sz w:val="20"/>
          <w:szCs w:val="20"/>
          <w:color w:val="auto"/>
        </w:rPr>
      </w:pPr>
      <w:r>
        <w:rPr>
          <w:rFonts w:ascii="Times New Roman" w:cs="Times New Roman" w:eastAsia="Times New Roman" w:hAnsi="Times New Roman"/>
          <w:sz w:val="17"/>
          <w:szCs w:val="17"/>
          <w:color w:val="auto"/>
        </w:rPr>
        <w:t>Effect of exchange rates on cash and cash equivalents 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-221615</wp:posOffset>
            </wp:positionV>
            <wp:extent cx="606044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(14,882)</w:t>
            </w:r>
          </w:p>
        </w:tc>
        <w:tc>
          <w:tcPr>
            <w:tcW w:w="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(2,010)</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19,845</w:t>
            </w:r>
          </w:p>
        </w:tc>
      </w:tr>
      <w:tr>
        <w:trPr>
          <w:trHeight w:val="234"/>
        </w:trPr>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0"/>
        </w:trPr>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18"/>
                <w:szCs w:val="18"/>
                <w:color w:val="auto"/>
              </w:rPr>
            </w:pP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320" w:space="720"/>
            <w:col w:w="4140"/>
          </w:cols>
          <w:pgMar w:left="320" w:top="121" w:right="399" w:bottom="1440" w:gutter="0" w:footer="0" w:header="0"/>
          <w:type w:val="continuous"/>
        </w:sectPr>
      </w:pPr>
    </w:p>
    <w:p>
      <w:pPr>
        <w:spacing w:after="0" w:line="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$1.3 million. Net cash used in operating activities consisted of our net loss of $30.5 million after exclusion of non-cash items of $20.8 million. Cash decreased due to an increase in inventory of $11.5 million, a decrease in accrued liabilities of $2.7 million, offset with an increase in accounts payable of $11 million and a decrease in accounts receivable and trade receivables from our customers of $5.9 million and $7.9 million, respectively.</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2021, net cash used in operating activities was $14.9 million. Net cash used in operating activities consisted of our net loss of $23.8 million after exclusion of non-cash items of $21.9 million. Cash decreased due to an increase in accounts receivable and trade receivables from our customers of $5.4 million and $3.4 million, respectively, a decrease in accrued liabilities of $3.1 million, a decrease in accounts payable to our vendors of $3.9 million, offset by a decrease in inventory of $8.9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$2 million, mainly from the purchase of additional plant, machinery and equipment.</w:t>
      </w:r>
    </w:p>
    <w:p>
      <w:pPr>
        <w:spacing w:after="0" w:line="162" w:lineRule="exact"/>
        <w:rPr>
          <w:sz w:val="20"/>
          <w:szCs w:val="20"/>
          <w:color w:val="auto"/>
        </w:rPr>
      </w:pPr>
    </w:p>
    <w:p>
      <w:pPr>
        <w:ind w:left="160" w:right="440" w:firstLine="48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net cash used in investing activities was $3.9 million, mainly from the purchase of additional plant, machinery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our financing activities provided $2 million in cash. This increase in cash was due to $6.9 million net proceeds from lines of credit and $2.7 million net proceeds from bank acceptances, offset by repayment of loan of $7.3 million.</w:t>
      </w:r>
    </w:p>
    <w:p>
      <w:pPr>
        <w:spacing w:after="0" w:line="162" w:lineRule="exact"/>
        <w:rPr>
          <w:sz w:val="20"/>
          <w:szCs w:val="20"/>
          <w:color w:val="auto"/>
        </w:rPr>
      </w:pPr>
    </w:p>
    <w:p>
      <w:pPr>
        <w:jc w:val="both"/>
        <w:ind w:left="160" w:right="60" w:firstLine="486"/>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our financing activities provided $19.8 million in cash. This increase in cash was due to $15.3 million of net proceeds from our At The Market (ATM) Offerings, $16.6 million proceeds from line of credit, offset by repayment of loan and bank acceptance of $2.2 million and $9.5 million, respectively.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 the US, we have a revolving line of credit with Truist Bank. The line of credit contains financial covenants that may limit the amount and types of debt that we may incur. As of June 30, 2022, we were in compliance with these covenants.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we had $14.8 million of unused borrowing capacity.</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March 5, 2019, we issued $80.5 million of 5% convertible senior notes due 2024. The Notes will mature on March 15, 2024, unless earlier repurchased, redeemed or converted in accordance with their terms.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factory construction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8, 2018, we entered into a construction contract with Zhejiang Xinyu Construction Group Co., Ltd. for the construction of a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factory and other facilities at our Ningbo, China location. Construction costs for these facilities under this contract are estimated to total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 million. As of September 30, 2020, construction of the building is complete, and approximately $27.4 million of this total cost has been paid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portion will be paid in yearly installments for three years after final inspection. We anticipate additional expenses for building improvements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factory and we are in the process of evaluating the timing of these expenditures and obtaining bids for any such work. Based on forecasts, we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factory will be placed in service in early 2023, and at this time the factory property will be transferred from construction in progress to building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refer to Item 7 "Management's Discussion and Analysis of Financial Condition and Results of Operations" in the Company's Annual Report on Form 10-K for the fiscal year ended December 31, 2021 for a complete discussion of its contractual obligations and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annual inflation rate in the US and Taiwan accelerated more than 7% in 2021 and in the US increased to 9.1% in 2022. Cost inflation included increases in shipping costs, labor rates, and in costs of some raw materials. We currently believe these increases are related to the COVID-19 pandemic (see the section above on the COVID-19 pandemic for more details of these challenges), however we cannot be sure when or if prices will return to pre-pandemic levels. There is no guarantee that we can increase selling prices or reduce costs to fully mitigate the effect of inflation on our costs, which may adversely impact our sales margins and profitability. Compared to other major economies in the world, China has a stable level of inflation, which has not had a significant impact on our sales 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our Annual Report for the year ended December 31, 2021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the Company, see Item 7A – Quantitative and Qualitative Disclosures about Market Risk in our Annual Report for the fiscal year ended December 31, 2021. We do not believe the Company’s exposure to market risk has changed materially since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2022. Based upon that evaluation, our Chief Executive Officer and Chief Financial Officer concluded that, as of the end of the period covered by this report,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can be found in Note 18 to the Condensed Consolidated Financial Statements contained in Part 1,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Investing in our common stock involves a high degree of risk. See Part I, Item 1A, Risk Factors, of our Annual Report on Form 10-K for the year ended December 31, 2020 for a detailed discussion of the risk factors affecting our Company. As of June 30, 2022, there have been no material changes to those risk factors.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auto"/>
            </w:tcBorders>
            <w:gridSpan w:val="19"/>
          </w:tcPr>
          <w:p>
            <w:pPr>
              <w:spacing w:after="0" w:line="169"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Certificate of Incorporation, as currently in effect (filed as Exhibit 3.1 to the Registrant’s Quarterly Report</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on Form 10-Q filed with the Securities and Exchange Commission on November 14, 2013).</w:t>
              </w:r>
            </w:hyperlink>
          </w:p>
        </w:tc>
        <w:tc>
          <w:tcPr>
            <w:tcW w:w="2740" w:type="dxa"/>
            <w:vAlign w:val="bottom"/>
            <w:tcBorders>
              <w:top w:val="single" w:sz="8" w:color="0000EE"/>
            </w:tcBorders>
            <w:gridSpan w:val="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24"/>
                <w:szCs w:val="24"/>
                <w:color w:val="auto"/>
              </w:rPr>
            </w:pPr>
          </w:p>
        </w:tc>
        <w:tc>
          <w:tcPr>
            <w:tcW w:w="94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Amended and Restated Bylaws, as currently in effect (filed as Exhibit 3.2 to the Registrant’s Quarterly Report on Form 10-Q filed</w:t>
              </w:r>
            </w:hyperlink>
          </w:p>
        </w:tc>
        <w:tc>
          <w:tcPr>
            <w:tcW w:w="18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with the Securities and Exchange Commission on November 14, 2013).</w:t>
              </w:r>
            </w:hyperlink>
          </w:p>
        </w:tc>
        <w:tc>
          <w:tcPr>
            <w:tcW w:w="4400" w:type="dxa"/>
            <w:vAlign w:val="bottom"/>
            <w:gridSpan w:val="12"/>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24"/>
                <w:szCs w:val="24"/>
                <w:color w:val="auto"/>
              </w:rPr>
            </w:pPr>
          </w:p>
        </w:tc>
        <w:tc>
          <w:tcPr>
            <w:tcW w:w="89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Common Stock Specimen (filed as Exhibit 4.1 to the Registrant’s Current Report on Form 8-K filed with the Securities and</w:t>
              </w:r>
            </w:hyperlink>
          </w:p>
        </w:tc>
        <w:tc>
          <w:tcPr>
            <w:tcW w:w="680" w:type="dxa"/>
            <w:vAlign w:val="bottom"/>
            <w:gridSpan w:val="10"/>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Exchange Commission on July 15, 2015).</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4"/>
                <w:szCs w:val="24"/>
                <w:color w:val="auto"/>
              </w:rPr>
            </w:pPr>
          </w:p>
        </w:tc>
        <w:tc>
          <w:tcPr>
            <w:tcW w:w="95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Indenture, dated as of March 5, 2019 between Applied Optoelectronics, Inc. and Wells Fargo Bank, National Association, as trustee,</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paying agent, and conversion agent (filed as Exhibit 4.1 to the Registrant’s Current Report on Form 8-K filed with the Securities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Exchange Commission on March 5, 2019).</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of Note representing the Company’s 5.00% Convertible Senior Notes due 2024 (included as Exhibit A to the Indenture filed as</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Exhibit 4.1 to the Registrant’s Current Report on Form 8-K filed with the Securities and Exchange Commission on March 5, 2019).</w:t>
              </w:r>
            </w:hyperlink>
          </w:p>
        </w:tc>
        <w:tc>
          <w:tcPr>
            <w:tcW w:w="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62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9580" w:type="dxa"/>
            <w:vAlign w:val="bottom"/>
            <w:gridSpan w:val="20"/>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Translation of the Maximum Loan Contract, between Global Technology, Inc. and China Zheshang Bank Co., Ltd, dated June 7,</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36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2022. (filed as Exhibit 10.1 to the Registrant's Current Report on Form 8-K filed with the Securities and Exchange Commission on</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June 3, 2022).</w:t>
              </w:r>
            </w:hyperlink>
          </w:p>
        </w:tc>
        <w:tc>
          <w:tcPr>
            <w:tcW w:w="160" w:type="dxa"/>
            <w:vAlign w:val="bottom"/>
            <w:gridSpan w:val="4"/>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Translation of the Maximum Mortgage Contract, between Global Technology, Inc. and China Zheshang Bank Co., Ltd, dated June 7,</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2022. (filed as Exhibit 10.2 to the Registrant's Current Report on Form 8-K filed with the Securities and Exchange Commission on</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June 3, 2022).</w:t>
              </w:r>
            </w:hyperlink>
          </w:p>
        </w:tc>
        <w:tc>
          <w:tcPr>
            <w:tcW w:w="160" w:type="dxa"/>
            <w:vAlign w:val="bottom"/>
            <w:gridSpan w:val="4"/>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9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Exchange Act Rule, 13a-14(a) and 15d-14(a), as adopted pursuant to Section</w:t>
            </w:r>
          </w:p>
        </w:tc>
        <w:tc>
          <w:tcPr>
            <w:tcW w:w="260" w:type="dxa"/>
            <w:vAlign w:val="bottom"/>
            <w:gridSpan w:val="8"/>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Exchange Act Rule, 13a-14(a) and 15d-14(a), as adopted pursuant to Section 302</w:t>
            </w: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adopted pursuant to Section 906 of the Sarbanes-Oxley Act of 2002, by Chief Executive</w:t>
            </w:r>
          </w:p>
        </w:tc>
        <w:tc>
          <w:tcPr>
            <w:tcW w:w="20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Officer and Chief Financial Officer.</w:t>
            </w:r>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7000" w:type="dxa"/>
            <w:vAlign w:val="bottom"/>
            <w:gridSpan w:val="16"/>
          </w:tcPr>
          <w:p>
            <w:pPr>
              <w:spacing w:after="0" w:line="20" w:lineRule="exact"/>
              <w:rPr>
                <w:sz w:val="1"/>
                <w:szCs w:val="1"/>
                <w:color w:val="auto"/>
              </w:rPr>
            </w:pPr>
          </w:p>
        </w:tc>
      </w:tr>
      <w:tr>
        <w:trPr>
          <w:trHeight w:val="4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w:t>
            </w:r>
          </w:p>
        </w:tc>
      </w:tr>
      <w:tr>
        <w:trPr>
          <w:trHeight w:val="234"/>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83" w:lineRule="exact"/>
        <w:rPr>
          <w:sz w:val="20"/>
          <w:szCs w:val="20"/>
          <w:color w:val="auto"/>
        </w:rPr>
      </w:pPr>
    </w:p>
    <w:p>
      <w:pPr>
        <w:ind w:right="6700" w:firstLine="8"/>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 ** Filed herewith.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STEFAN J. MURRY</w:t>
            </w:r>
          </w:p>
        </w:tc>
      </w:tr>
      <w:tr>
        <w:trPr>
          <w:trHeight w:val="191"/>
        </w:trPr>
        <w:tc>
          <w:tcPr>
            <w:tcW w:w="3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14"/>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0"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4th day of August 2022.</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3454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17" w:right="339" w:bottom="1440" w:gutter="0" w:footer="0" w:header="0"/>
          <w:type w:val="continuous"/>
        </w:sectPr>
      </w:pP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8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41" Type="http://schemas.openxmlformats.org/officeDocument/2006/relationships/hyperlink" Target="http://www.sec.gov/Archives/edgar/data/1158114/000101968713004306/aaoi_10q-ex0301.htm" TargetMode="External"/><Relationship Id="rId42" Type="http://schemas.openxmlformats.org/officeDocument/2006/relationships/hyperlink" Target="http://www.sec.gov/Archives/edgar/data/1158114/000101968713004306/aaoi_10q-ex0302.htm" TargetMode="External"/><Relationship Id="rId43" Type="http://schemas.openxmlformats.org/officeDocument/2006/relationships/hyperlink" Target="http://www.sec.gov/Archives/edgar/data/1158114/000110465915051289/a15-15715_1ex4d1.htm" TargetMode="External"/><Relationship Id="rId44" Type="http://schemas.openxmlformats.org/officeDocument/2006/relationships/hyperlink" Target="http://www.sec.gov/Archives/edgar/data/1158114/000110465919012900/a19-4821_4ex4d1.htm" TargetMode="External"/><Relationship Id="rId45" Type="http://schemas.openxmlformats.org/officeDocument/2006/relationships/hyperlink" Target="http://www.sec.gov/Archives/edgar/data/1158114/000168316822004284/applied_ex1001.htm" TargetMode="External"/><Relationship Id="rId46" Type="http://schemas.openxmlformats.org/officeDocument/2006/relationships/hyperlink" Target="http://www.sec.gov/Archives/edgar/data/1158114/000168316822004284/applied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2022-08-04T16:36:51Z</dcterms:created>
  <dcterms:modified xsi:type="dcterms:W3CDTF">2022-08-04T16:36:51Z</dcterms:modified>
</cp:coreProperties>
</file>