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Washington, D.C. 20549</w:t>
      </w:r>
    </w:p>
    <w:p>
      <w:pPr>
        <w:spacing w:after="0" w:line="92"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FORM 10-K</w:t>
      </w:r>
    </w:p>
    <w:p>
      <w:pPr>
        <w:spacing w:after="0" w:line="26" w:lineRule="exact"/>
        <w:rPr>
          <w:sz w:val="24"/>
          <w:szCs w:val="24"/>
          <w:color w:val="auto"/>
        </w:rPr>
      </w:pPr>
    </w:p>
    <w:p>
      <w:pPr>
        <w:ind w:left="9"/>
        <w:spacing w:after="0"/>
        <w:rPr>
          <w:sz w:val="20"/>
          <w:szCs w:val="20"/>
          <w:color w:val="auto"/>
        </w:rPr>
      </w:pPr>
      <w:r>
        <w:rPr>
          <w:rFonts w:ascii="Arial" w:cs="Arial" w:eastAsia="Arial" w:hAnsi="Arial"/>
          <w:sz w:val="16"/>
          <w:szCs w:val="16"/>
          <w:color w:val="auto"/>
        </w:rPr>
        <w:t>(Mark One)</w:t>
      </w:r>
    </w:p>
    <w:p>
      <w:pPr>
        <w:spacing w:after="0" w:line="24" w:lineRule="exact"/>
        <w:rPr>
          <w:sz w:val="24"/>
          <w:szCs w:val="24"/>
          <w:color w:val="auto"/>
        </w:rPr>
      </w:pPr>
    </w:p>
    <w:p>
      <w:pPr>
        <w:ind w:left="3669" w:right="2160" w:hanging="3669"/>
        <w:spacing w:after="0" w:line="365"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ind w:left="5089"/>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29" w:hanging="329"/>
        <w:spacing w:after="0"/>
        <w:tabs>
          <w:tab w:leader="none" w:pos="32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9"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40" w:type="dxa"/>
            <w:vAlign w:val="bottom"/>
            <w:gridSpan w:val="3"/>
          </w:tcPr>
          <w:p>
            <w:pPr>
              <w:ind w:left="320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w w:val="92"/>
              </w:rPr>
              <w:t>to</w:t>
            </w:r>
          </w:p>
        </w:tc>
        <w:tc>
          <w:tcPr>
            <w:tcW w:w="780" w:type="dxa"/>
            <w:vAlign w:val="bottom"/>
            <w:tcBorders>
              <w:bottom w:val="single" w:sz="8" w:color="auto"/>
            </w:tcBorders>
          </w:tcPr>
          <w:p>
            <w:pPr>
              <w:spacing w:after="0"/>
              <w:rPr>
                <w:sz w:val="16"/>
                <w:szCs w:val="16"/>
                <w:color w:val="auto"/>
              </w:rPr>
            </w:pPr>
          </w:p>
        </w:tc>
        <w:tc>
          <w:tcPr>
            <w:tcW w:w="3240" w:type="dxa"/>
            <w:vAlign w:val="bottom"/>
          </w:tcPr>
          <w:p>
            <w:pPr>
              <w:spacing w:after="0"/>
              <w:rPr>
                <w:sz w:val="16"/>
                <w:szCs w:val="16"/>
                <w:color w:val="auto"/>
              </w:rPr>
            </w:pPr>
          </w:p>
        </w:tc>
      </w:tr>
      <w:tr>
        <w:trPr>
          <w:trHeight w:val="298"/>
        </w:trPr>
        <w:tc>
          <w:tcPr>
            <w:tcW w:w="20" w:type="dxa"/>
            <w:vAlign w:val="bottom"/>
          </w:tcPr>
          <w:p>
            <w:pPr>
              <w:spacing w:after="0"/>
              <w:rPr>
                <w:sz w:val="24"/>
                <w:szCs w:val="24"/>
                <w:color w:val="auto"/>
              </w:rPr>
            </w:pPr>
          </w:p>
        </w:tc>
        <w:tc>
          <w:tcPr>
            <w:tcW w:w="1038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2"/>
              </w:rPr>
              <w:t>Commission File Number: 001-36083</w:t>
            </w:r>
          </w:p>
        </w:tc>
      </w:tr>
      <w:tr>
        <w:trPr>
          <w:trHeight w:val="276"/>
        </w:trPr>
        <w:tc>
          <w:tcPr>
            <w:tcW w:w="20" w:type="dxa"/>
            <w:vAlign w:val="bottom"/>
          </w:tcPr>
          <w:p>
            <w:pPr>
              <w:spacing w:after="0"/>
              <w:rPr>
                <w:sz w:val="23"/>
                <w:szCs w:val="23"/>
                <w:color w:val="auto"/>
              </w:rPr>
            </w:pPr>
          </w:p>
        </w:tc>
        <w:tc>
          <w:tcPr>
            <w:tcW w:w="6180" w:type="dxa"/>
            <w:vAlign w:val="bottom"/>
            <w:gridSpan w:val="5"/>
          </w:tcPr>
          <w:p>
            <w:pPr>
              <w:jc w:val="center"/>
              <w:ind w:left="4079"/>
              <w:spacing w:after="0"/>
              <w:rPr>
                <w:sz w:val="20"/>
                <w:szCs w:val="20"/>
                <w:color w:val="auto"/>
              </w:rPr>
            </w:pPr>
            <w:r>
              <w:rPr>
                <w:rFonts w:ascii="Arial" w:cs="Arial" w:eastAsia="Arial" w:hAnsi="Arial"/>
                <w:sz w:val="16"/>
                <w:szCs w:val="16"/>
                <w:b w:val="1"/>
                <w:bCs w:val="1"/>
                <w:color w:val="auto"/>
                <w:w w:val="91"/>
              </w:rPr>
              <w:t>Applied Optoelectronics, Inc.</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1038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76"/>
        </w:trPr>
        <w:tc>
          <w:tcPr>
            <w:tcW w:w="20" w:type="dxa"/>
            <w:vAlign w:val="bottom"/>
          </w:tcPr>
          <w:p>
            <w:pPr>
              <w:spacing w:after="0"/>
              <w:rPr>
                <w:sz w:val="23"/>
                <w:szCs w:val="23"/>
                <w:color w:val="auto"/>
              </w:rPr>
            </w:pPr>
          </w:p>
        </w:tc>
        <w:tc>
          <w:tcPr>
            <w:tcW w:w="6180" w:type="dxa"/>
            <w:vAlign w:val="bottom"/>
            <w:gridSpan w:val="5"/>
          </w:tcPr>
          <w:p>
            <w:pPr>
              <w:jc w:val="center"/>
              <w:ind w:right="1040"/>
              <w:spacing w:after="0"/>
              <w:rPr>
                <w:sz w:val="20"/>
                <w:szCs w:val="20"/>
                <w:color w:val="auto"/>
              </w:rPr>
            </w:pPr>
            <w:r>
              <w:rPr>
                <w:rFonts w:ascii="Arial" w:cs="Arial" w:eastAsia="Arial" w:hAnsi="Arial"/>
                <w:sz w:val="16"/>
                <w:szCs w:val="16"/>
                <w:b w:val="1"/>
                <w:bCs w:val="1"/>
                <w:color w:val="auto"/>
                <w:w w:val="93"/>
              </w:rPr>
              <w:t>Delaware</w:t>
            </w:r>
          </w:p>
        </w:tc>
        <w:tc>
          <w:tcPr>
            <w:tcW w:w="4200" w:type="dxa"/>
            <w:vAlign w:val="bottom"/>
            <w:gridSpan w:val="3"/>
          </w:tcPr>
          <w:p>
            <w:pPr>
              <w:jc w:val="right"/>
              <w:ind w:right="2220"/>
              <w:spacing w:after="0"/>
              <w:rPr>
                <w:sz w:val="20"/>
                <w:szCs w:val="20"/>
                <w:color w:val="auto"/>
              </w:rPr>
            </w:pPr>
            <w:r>
              <w:rPr>
                <w:rFonts w:ascii="Arial" w:cs="Arial" w:eastAsia="Arial" w:hAnsi="Arial"/>
                <w:sz w:val="16"/>
                <w:szCs w:val="16"/>
                <w:b w:val="1"/>
                <w:bCs w:val="1"/>
                <w:color w:val="auto"/>
              </w:rPr>
              <w:t>76-0533927</w:t>
            </w:r>
          </w:p>
        </w:tc>
      </w:tr>
      <w:tr>
        <w:trPr>
          <w:trHeight w:val="210"/>
        </w:trPr>
        <w:tc>
          <w:tcPr>
            <w:tcW w:w="20" w:type="dxa"/>
            <w:vAlign w:val="bottom"/>
          </w:tcPr>
          <w:p>
            <w:pPr>
              <w:spacing w:after="0"/>
              <w:rPr>
                <w:sz w:val="18"/>
                <w:szCs w:val="18"/>
                <w:color w:val="auto"/>
              </w:rPr>
            </w:pPr>
          </w:p>
        </w:tc>
        <w:tc>
          <w:tcPr>
            <w:tcW w:w="6180" w:type="dxa"/>
            <w:vAlign w:val="bottom"/>
            <w:gridSpan w:val="5"/>
          </w:tcPr>
          <w:p>
            <w:pPr>
              <w:jc w:val="center"/>
              <w:ind w:right="104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180" w:type="dxa"/>
            <w:vAlign w:val="bottom"/>
          </w:tcPr>
          <w:p>
            <w:pPr>
              <w:spacing w:after="0"/>
              <w:rPr>
                <w:sz w:val="18"/>
                <w:szCs w:val="18"/>
                <w:color w:val="auto"/>
              </w:rPr>
            </w:pPr>
          </w:p>
        </w:tc>
        <w:tc>
          <w:tcPr>
            <w:tcW w:w="4020" w:type="dxa"/>
            <w:vAlign w:val="bottom"/>
            <w:gridSpan w:val="2"/>
          </w:tcPr>
          <w:p>
            <w:pPr>
              <w:jc w:val="center"/>
              <w:ind w:right="118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76"/>
        </w:trPr>
        <w:tc>
          <w:tcPr>
            <w:tcW w:w="20" w:type="dxa"/>
            <w:vAlign w:val="bottom"/>
          </w:tcPr>
          <w:p>
            <w:pPr>
              <w:spacing w:after="0"/>
              <w:rPr>
                <w:sz w:val="23"/>
                <w:szCs w:val="23"/>
                <w:color w:val="auto"/>
              </w:rPr>
            </w:pPr>
          </w:p>
        </w:tc>
        <w:tc>
          <w:tcPr>
            <w:tcW w:w="6180" w:type="dxa"/>
            <w:vAlign w:val="bottom"/>
            <w:gridSpan w:val="5"/>
          </w:tcPr>
          <w:p>
            <w:pPr>
              <w:jc w:val="center"/>
              <w:ind w:left="4099"/>
              <w:spacing w:after="0"/>
              <w:rPr>
                <w:sz w:val="20"/>
                <w:szCs w:val="20"/>
                <w:color w:val="auto"/>
              </w:rPr>
            </w:pPr>
            <w:r>
              <w:rPr>
                <w:rFonts w:ascii="Arial" w:cs="Arial" w:eastAsia="Arial" w:hAnsi="Arial"/>
                <w:sz w:val="16"/>
                <w:szCs w:val="16"/>
                <w:b w:val="1"/>
                <w:bCs w:val="1"/>
                <w:color w:val="auto"/>
                <w:w w:val="90"/>
              </w:rPr>
              <w:t>13139 Jess Pirtle Blvd.</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180" w:type="dxa"/>
            <w:vAlign w:val="bottom"/>
            <w:gridSpan w:val="5"/>
          </w:tcPr>
          <w:p>
            <w:pPr>
              <w:jc w:val="center"/>
              <w:ind w:left="4079"/>
              <w:spacing w:after="0"/>
              <w:rPr>
                <w:sz w:val="20"/>
                <w:szCs w:val="20"/>
                <w:color w:val="auto"/>
              </w:rPr>
            </w:pPr>
            <w:r>
              <w:rPr>
                <w:rFonts w:ascii="Arial" w:cs="Arial" w:eastAsia="Arial" w:hAnsi="Arial"/>
                <w:sz w:val="16"/>
                <w:szCs w:val="16"/>
                <w:b w:val="1"/>
                <w:bCs w:val="1"/>
                <w:color w:val="auto"/>
                <w:w w:val="94"/>
              </w:rPr>
              <w:t>Sugar Land, TX 77478</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038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w w:val="89"/>
              </w:rPr>
              <w:t>(Address of principal executive offices)</w:t>
            </w:r>
          </w:p>
        </w:tc>
      </w:tr>
      <w:tr>
        <w:trPr>
          <w:trHeight w:val="276"/>
        </w:trPr>
        <w:tc>
          <w:tcPr>
            <w:tcW w:w="6180" w:type="dxa"/>
            <w:vAlign w:val="bottom"/>
            <w:gridSpan w:val="5"/>
          </w:tcPr>
          <w:p>
            <w:pPr>
              <w:jc w:val="center"/>
              <w:ind w:left="4119"/>
              <w:spacing w:after="0"/>
              <w:rPr>
                <w:sz w:val="20"/>
                <w:szCs w:val="20"/>
                <w:color w:val="auto"/>
              </w:rPr>
            </w:pPr>
            <w:r>
              <w:rPr>
                <w:rFonts w:ascii="Arial" w:cs="Arial" w:eastAsia="Arial" w:hAnsi="Arial"/>
                <w:sz w:val="16"/>
                <w:szCs w:val="16"/>
                <w:b w:val="1"/>
                <w:bCs w:val="1"/>
                <w:color w:val="auto"/>
                <w:w w:val="93"/>
              </w:rPr>
              <w:t>(281) 295-1800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10380" w:type="dxa"/>
            <w:vAlign w:val="bottom"/>
            <w:gridSpan w:val="8"/>
          </w:tcPr>
          <w:p>
            <w:pPr>
              <w:jc w:val="center"/>
              <w:ind w:right="20"/>
              <w:spacing w:after="0"/>
              <w:rPr>
                <w:sz w:val="20"/>
                <w:szCs w:val="20"/>
                <w:color w:val="auto"/>
              </w:rPr>
            </w:pPr>
            <w:r>
              <w:rPr>
                <w:rFonts w:ascii="Arial" w:cs="Arial" w:eastAsia="Arial" w:hAnsi="Arial"/>
                <w:sz w:val="16"/>
                <w:szCs w:val="16"/>
                <w:b w:val="1"/>
                <w:bCs w:val="1"/>
                <w:color w:val="auto"/>
                <w:w w:val="90"/>
              </w:rPr>
              <w:t>(Registrant’s telephone number)</w:t>
            </w:r>
          </w:p>
        </w:tc>
      </w:tr>
      <w:tr>
        <w:trPr>
          <w:trHeight w:val="284"/>
        </w:trPr>
        <w:tc>
          <w:tcPr>
            <w:tcW w:w="20" w:type="dxa"/>
            <w:vAlign w:val="bottom"/>
          </w:tcPr>
          <w:p>
            <w:pPr>
              <w:spacing w:after="0"/>
              <w:rPr>
                <w:sz w:val="24"/>
                <w:szCs w:val="24"/>
                <w:color w:val="auto"/>
              </w:rPr>
            </w:pPr>
          </w:p>
        </w:tc>
        <w:tc>
          <w:tcPr>
            <w:tcW w:w="6180" w:type="dxa"/>
            <w:vAlign w:val="bottom"/>
            <w:gridSpan w:val="5"/>
          </w:tcPr>
          <w:p>
            <w:pPr>
              <w:jc w:val="right"/>
              <w:ind w:right="2080"/>
              <w:spacing w:after="0"/>
              <w:rPr>
                <w:sz w:val="20"/>
                <w:szCs w:val="20"/>
                <w:color w:val="auto"/>
              </w:rPr>
            </w:pPr>
            <w:r>
              <w:rPr>
                <w:rFonts w:ascii="Arial" w:cs="Arial" w:eastAsia="Arial" w:hAnsi="Arial"/>
                <w:sz w:val="16"/>
                <w:szCs w:val="16"/>
                <w:color w:val="auto"/>
              </w:rPr>
              <w:t>Securities registered pursuant to Section 12(b) of the Act: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87"/>
        </w:trPr>
        <w:tc>
          <w:tcPr>
            <w:tcW w:w="20" w:type="dxa"/>
            <w:vAlign w:val="bottom"/>
          </w:tcPr>
          <w:p>
            <w:pPr>
              <w:spacing w:after="0"/>
              <w:rPr>
                <w:sz w:val="24"/>
                <w:szCs w:val="24"/>
                <w:color w:val="auto"/>
              </w:rPr>
            </w:pPr>
          </w:p>
        </w:tc>
        <w:tc>
          <w:tcPr>
            <w:tcW w:w="6180" w:type="dxa"/>
            <w:vAlign w:val="bottom"/>
            <w:gridSpan w:val="5"/>
          </w:tcPr>
          <w:p>
            <w:pPr>
              <w:ind w:left="1880"/>
              <w:spacing w:after="0"/>
              <w:rPr>
                <w:sz w:val="20"/>
                <w:szCs w:val="20"/>
                <w:color w:val="auto"/>
              </w:rPr>
            </w:pPr>
            <w:r>
              <w:rPr>
                <w:rFonts w:ascii="Arial" w:cs="Arial" w:eastAsia="Arial" w:hAnsi="Arial"/>
                <w:sz w:val="16"/>
                <w:szCs w:val="16"/>
                <w:color w:val="auto"/>
              </w:rPr>
              <w:t>(Title of each class)</w:t>
            </w:r>
          </w:p>
        </w:tc>
        <w:tc>
          <w:tcPr>
            <w:tcW w:w="4200" w:type="dxa"/>
            <w:vAlign w:val="bottom"/>
            <w:gridSpan w:val="3"/>
          </w:tcPr>
          <w:p>
            <w:pPr>
              <w:jc w:val="center"/>
              <w:ind w:right="900"/>
              <w:spacing w:after="0"/>
              <w:rPr>
                <w:sz w:val="20"/>
                <w:szCs w:val="20"/>
                <w:color w:val="auto"/>
              </w:rPr>
            </w:pPr>
            <w:r>
              <w:rPr>
                <w:rFonts w:ascii="Arial" w:cs="Arial" w:eastAsia="Arial" w:hAnsi="Arial"/>
                <w:sz w:val="16"/>
                <w:szCs w:val="16"/>
                <w:color w:val="auto"/>
                <w:w w:val="91"/>
              </w:rPr>
              <w:t>(Name of each exchange on which registered)</w:t>
            </w:r>
          </w:p>
        </w:tc>
      </w:tr>
      <w:tr>
        <w:trPr>
          <w:trHeight w:val="203"/>
        </w:trPr>
        <w:tc>
          <w:tcPr>
            <w:tcW w:w="20" w:type="dxa"/>
            <w:vAlign w:val="bottom"/>
          </w:tcPr>
          <w:p>
            <w:pPr>
              <w:spacing w:after="0"/>
              <w:rPr>
                <w:sz w:val="17"/>
                <w:szCs w:val="17"/>
                <w:color w:val="auto"/>
              </w:rPr>
            </w:pPr>
          </w:p>
        </w:tc>
        <w:tc>
          <w:tcPr>
            <w:tcW w:w="508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color w:val="auto"/>
              </w:rPr>
              <w:t>Common Stock, Par value $0.001</w:t>
            </w: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20" w:type="dxa"/>
            <w:vAlign w:val="bottom"/>
            <w:tcBorders>
              <w:top w:val="single" w:sz="8" w:color="auto"/>
            </w:tcBorders>
            <w:gridSpan w:val="2"/>
          </w:tcPr>
          <w:p>
            <w:pPr>
              <w:jc w:val="center"/>
              <w:ind w:right="1080"/>
              <w:spacing w:after="0"/>
              <w:rPr>
                <w:sz w:val="20"/>
                <w:szCs w:val="20"/>
                <w:color w:val="auto"/>
              </w:rPr>
            </w:pPr>
            <w:r>
              <w:rPr>
                <w:rFonts w:ascii="Arial" w:cs="Arial" w:eastAsia="Arial" w:hAnsi="Arial"/>
                <w:sz w:val="16"/>
                <w:szCs w:val="16"/>
                <w:color w:val="auto"/>
                <w:w w:val="96"/>
              </w:rPr>
              <w:t>NASDAQ Global Market</w:t>
            </w:r>
          </w:p>
        </w:tc>
      </w:tr>
      <w:tr>
        <w:trPr>
          <w:trHeight w:val="274"/>
        </w:trPr>
        <w:tc>
          <w:tcPr>
            <w:tcW w:w="6200" w:type="dxa"/>
            <w:vAlign w:val="bottom"/>
            <w:gridSpan w:val="6"/>
          </w:tcPr>
          <w:p>
            <w:pPr>
              <w:jc w:val="right"/>
              <w:ind w:right="208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323"/>
        </w:trPr>
        <w:tc>
          <w:tcPr>
            <w:tcW w:w="20" w:type="dxa"/>
            <w:vAlign w:val="bottom"/>
          </w:tcPr>
          <w:p>
            <w:pPr>
              <w:spacing w:after="0"/>
              <w:rPr>
                <w:sz w:val="24"/>
                <w:szCs w:val="24"/>
                <w:color w:val="auto"/>
              </w:rPr>
            </w:pPr>
          </w:p>
        </w:tc>
        <w:tc>
          <w:tcPr>
            <w:tcW w:w="10380" w:type="dxa"/>
            <w:vAlign w:val="bottom"/>
            <w:gridSpan w:val="8"/>
          </w:tcPr>
          <w:p>
            <w:pPr>
              <w:ind w:left="360"/>
              <w:spacing w:after="0" w:line="20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of 1933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tc>
      </w:tr>
    </w:tbl>
    <w:p>
      <w:pPr>
        <w:spacing w:after="0" w:line="14" w:lineRule="exact"/>
        <w:rPr>
          <w:sz w:val="24"/>
          <w:szCs w:val="24"/>
          <w:color w:val="auto"/>
        </w:rPr>
      </w:pPr>
    </w:p>
    <w:p>
      <w:pPr>
        <w:ind w:left="389"/>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27" w:lineRule="exact"/>
        <w:rPr>
          <w:sz w:val="24"/>
          <w:szCs w:val="24"/>
          <w:color w:val="auto"/>
        </w:rPr>
      </w:pPr>
    </w:p>
    <w:p>
      <w:pPr>
        <w:ind w:left="9" w:right="120" w:firstLine="38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9"/>
        <w:spacing w:after="0" w:line="196" w:lineRule="exact"/>
        <w:tabs>
          <w:tab w:leader="none" w:pos="8328"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98" w:lineRule="exact"/>
        <w:rPr>
          <w:sz w:val="24"/>
          <w:szCs w:val="24"/>
          <w:color w:val="auto"/>
        </w:rPr>
      </w:pPr>
    </w:p>
    <w:p>
      <w:pPr>
        <w:ind w:left="9" w:right="180" w:firstLine="389"/>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left="9" w:right="80" w:firstLine="389"/>
        <w:spacing w:after="0" w:line="21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3" w:lineRule="exact"/>
        <w:rPr>
          <w:sz w:val="24"/>
          <w:szCs w:val="24"/>
          <w:color w:val="auto"/>
        </w:rPr>
      </w:pPr>
    </w:p>
    <w:p>
      <w:pPr>
        <w:ind w:left="9" w:right="140" w:firstLine="38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36" w:lineRule="exact"/>
        <w:rPr>
          <w:sz w:val="24"/>
          <w:szCs w:val="24"/>
          <w:color w:val="auto"/>
        </w:rPr>
      </w:pPr>
    </w:p>
    <w:p>
      <w:pPr>
        <w:ind w:left="9"/>
        <w:spacing w:after="0"/>
        <w:rPr>
          <w:sz w:val="20"/>
          <w:szCs w:val="20"/>
          <w:color w:val="auto"/>
        </w:rPr>
      </w:pPr>
      <w:r>
        <w:rPr>
          <w:rFonts w:ascii="Arial" w:cs="Arial" w:eastAsia="Arial" w:hAnsi="Arial"/>
          <w:sz w:val="16"/>
          <w:szCs w:val="16"/>
          <w:color w:val="auto"/>
        </w:rPr>
        <w:t>(Check one):</w:t>
      </w:r>
    </w:p>
    <w:p>
      <w:pPr>
        <w:sectPr>
          <w:pgSz w:w="11900" w:h="16838" w:orient="portrait"/>
          <w:cols w:equalWidth="0" w:num="1">
            <w:col w:w="10409"/>
          </w:cols>
          <w:pgMar w:left="751" w:top="233" w:right="739" w:bottom="1440" w:gutter="0" w:footer="0" w:header="0"/>
        </w:sectPr>
      </w:pPr>
    </w:p>
    <w:p>
      <w:pPr>
        <w:spacing w:after="0" w:line="32" w:lineRule="exact"/>
        <w:rPr>
          <w:sz w:val="24"/>
          <w:szCs w:val="24"/>
          <w:color w:val="auto"/>
        </w:rPr>
      </w:pPr>
    </w:p>
    <w:p>
      <w:pPr>
        <w:ind w:left="1029"/>
        <w:spacing w:after="0"/>
        <w:rPr>
          <w:sz w:val="20"/>
          <w:szCs w:val="20"/>
          <w:color w:val="auto"/>
        </w:rPr>
      </w:pPr>
      <w:r>
        <w:rPr>
          <w:rFonts w:ascii="Arial" w:cs="Arial" w:eastAsia="Arial" w:hAnsi="Arial"/>
          <w:sz w:val="16"/>
          <w:szCs w:val="16"/>
          <w:color w:val="auto"/>
        </w:rPr>
        <w:t>Large accelerated filer</w:t>
      </w:r>
    </w:p>
    <w:p>
      <w:pPr>
        <w:spacing w:after="0" w:line="19" w:lineRule="exact"/>
        <w:rPr>
          <w:sz w:val="24"/>
          <w:szCs w:val="24"/>
          <w:color w:val="auto"/>
        </w:rPr>
      </w:pPr>
    </w:p>
    <w:p>
      <w:pPr>
        <w:ind w:left="1029"/>
        <w:spacing w:after="0"/>
        <w:rPr>
          <w:sz w:val="20"/>
          <w:szCs w:val="20"/>
          <w:color w:val="auto"/>
        </w:rPr>
      </w:pPr>
      <w:r>
        <w:rPr>
          <w:rFonts w:ascii="Arial" w:cs="Arial" w:eastAsia="Arial" w:hAnsi="Arial"/>
          <w:sz w:val="16"/>
          <w:szCs w:val="16"/>
          <w:color w:val="auto"/>
        </w:rPr>
        <w:t>Accelerated filer</w:t>
      </w:r>
    </w:p>
    <w:p>
      <w:pPr>
        <w:spacing w:after="0" w:line="5" w:lineRule="exact"/>
        <w:rPr>
          <w:sz w:val="24"/>
          <w:szCs w:val="24"/>
          <w:color w:val="auto"/>
        </w:rPr>
      </w:pPr>
    </w:p>
    <w:p>
      <w:pPr>
        <w:ind w:left="1029"/>
        <w:spacing w:after="0"/>
        <w:rPr>
          <w:sz w:val="20"/>
          <w:szCs w:val="20"/>
          <w:color w:val="auto"/>
        </w:rPr>
      </w:pPr>
      <w:r>
        <w:rPr>
          <w:rFonts w:ascii="Arial" w:cs="Arial" w:eastAsia="Arial" w:hAnsi="Arial"/>
          <w:sz w:val="16"/>
          <w:szCs w:val="16"/>
          <w:color w:val="auto"/>
        </w:rPr>
        <w:t>Non-accelerated filer</w:t>
      </w:r>
    </w:p>
    <w:p>
      <w:pPr>
        <w:spacing w:after="0" w:line="5" w:lineRule="exact"/>
        <w:rPr>
          <w:sz w:val="24"/>
          <w:szCs w:val="24"/>
          <w:color w:val="auto"/>
        </w:rPr>
      </w:pPr>
    </w:p>
    <w:p>
      <w:pPr>
        <w:ind w:left="1029"/>
        <w:spacing w:after="0"/>
        <w:rPr>
          <w:sz w:val="20"/>
          <w:szCs w:val="20"/>
          <w:color w:val="auto"/>
        </w:rPr>
      </w:pPr>
      <w:r>
        <w:rPr>
          <w:rFonts w:ascii="Arial" w:cs="Arial" w:eastAsia="Arial" w:hAnsi="Arial"/>
          <w:sz w:val="14"/>
          <w:szCs w:val="14"/>
          <w:color w:val="auto"/>
        </w:rPr>
        <w:t>Smaller reporting company</w:t>
      </w:r>
    </w:p>
    <w:p>
      <w:pPr>
        <w:spacing w:after="0" w:line="28" w:lineRule="exact"/>
        <w:rPr>
          <w:sz w:val="24"/>
          <w:szCs w:val="24"/>
          <w:color w:val="auto"/>
        </w:rPr>
      </w:pPr>
    </w:p>
    <w:p>
      <w:pPr>
        <w:ind w:left="1029"/>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2809" w:space="600"/>
            <w:col w:w="7000"/>
          </w:cols>
          <w:pgMar w:left="751" w:top="233" w:right="739" w:bottom="1440" w:gutter="0" w:footer="0" w:header="0"/>
          <w:type w:val="continuous"/>
        </w:sectPr>
      </w:pPr>
    </w:p>
    <w:p>
      <w:pPr>
        <w:spacing w:after="0" w:line="30" w:lineRule="exact"/>
        <w:rPr>
          <w:sz w:val="24"/>
          <w:szCs w:val="24"/>
          <w:color w:val="auto"/>
        </w:rPr>
      </w:pPr>
    </w:p>
    <w:p>
      <w:pPr>
        <w:ind w:left="9" w:right="200" w:firstLine="396"/>
        <w:spacing w:after="0" w:line="292" w:lineRule="auto"/>
        <w:rPr>
          <w:sz w:val="20"/>
          <w:szCs w:val="20"/>
          <w:color w:val="auto"/>
        </w:rPr>
      </w:pPr>
      <w:r>
        <w:rPr>
          <w:rFonts w:ascii="Arial" w:cs="Arial" w:eastAsia="Arial" w:hAnsi="Arial"/>
          <w:sz w:val="16"/>
          <w:szCs w:val="16"/>
          <w:color w:val="auto"/>
        </w:rPr>
        <w:t>If an emerging growth company, indicate by check mark whether the registrant has elected not to use the extended transition period for complying with any new or revised financial accounting standards provided pursuant to Section 13(a) of the Exchange Act. [ ]</w:t>
      </w:r>
    </w:p>
    <w:p>
      <w:pPr>
        <w:spacing w:after="0" w:line="1" w:lineRule="exact"/>
        <w:rPr>
          <w:sz w:val="24"/>
          <w:szCs w:val="24"/>
          <w:color w:val="auto"/>
        </w:rPr>
      </w:pPr>
    </w:p>
    <w:p>
      <w:pPr>
        <w:ind w:left="389"/>
        <w:spacing w:after="0" w:line="196" w:lineRule="exact"/>
        <w:tabs>
          <w:tab w:leader="none" w:pos="8888"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139" w:lineRule="exact"/>
        <w:rPr>
          <w:sz w:val="24"/>
          <w:szCs w:val="24"/>
          <w:color w:val="auto"/>
        </w:rPr>
      </w:pPr>
    </w:p>
    <w:p>
      <w:pPr>
        <w:ind w:left="9" w:right="100" w:firstLine="389"/>
        <w:spacing w:after="0" w:line="324" w:lineRule="auto"/>
        <w:rPr>
          <w:sz w:val="20"/>
          <w:szCs w:val="20"/>
          <w:color w:val="auto"/>
        </w:rPr>
      </w:pPr>
      <w:r>
        <w:rPr>
          <w:rFonts w:ascii="Arial" w:cs="Arial" w:eastAsia="Arial" w:hAnsi="Arial"/>
          <w:sz w:val="14"/>
          <w:szCs w:val="14"/>
          <w:color w:val="auto"/>
        </w:rPr>
        <w:t>As of June 30, 2018, the aggregate market value of the common stock held by non-affiliates of the Registrant was $715,024,373 based upon the closing sales price of the Registrant’s common stock as reported on the NASDAQ Global Markets on June 29, 2018 of $44.90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44" w:lineRule="exact"/>
        <w:rPr>
          <w:sz w:val="24"/>
          <w:szCs w:val="24"/>
          <w:color w:val="auto"/>
        </w:rPr>
      </w:pPr>
    </w:p>
    <w:p>
      <w:pPr>
        <w:ind w:left="389"/>
        <w:spacing w:after="0"/>
        <w:rPr>
          <w:sz w:val="20"/>
          <w:szCs w:val="20"/>
          <w:color w:val="auto"/>
        </w:rPr>
      </w:pPr>
      <w:r>
        <w:rPr>
          <w:rFonts w:ascii="Arial" w:cs="Arial" w:eastAsia="Arial" w:hAnsi="Arial"/>
          <w:sz w:val="16"/>
          <w:szCs w:val="16"/>
          <w:color w:val="auto"/>
        </w:rPr>
        <w:t>As of February 20, 2019, the Registrant had 19,882,613 outstanding shares of Common Stock.</w:t>
      </w:r>
    </w:p>
    <w:p>
      <w:pPr>
        <w:spacing w:after="0" w:line="221" w:lineRule="exact"/>
        <w:rPr>
          <w:sz w:val="24"/>
          <w:szCs w:val="24"/>
          <w:color w:val="auto"/>
        </w:rPr>
      </w:pPr>
    </w:p>
    <w:p>
      <w:pPr>
        <w:ind w:left="3649"/>
        <w:spacing w:after="0"/>
        <w:rPr>
          <w:sz w:val="20"/>
          <w:szCs w:val="20"/>
          <w:color w:val="auto"/>
        </w:rPr>
      </w:pPr>
      <w:r>
        <w:rPr>
          <w:rFonts w:ascii="Arial" w:cs="Arial" w:eastAsia="Arial" w:hAnsi="Arial"/>
          <w:sz w:val="16"/>
          <w:szCs w:val="16"/>
          <w:color w:val="auto"/>
        </w:rPr>
        <w:t>DOCUMENTS INCORPORATED BY REFERENCE</w:t>
      </w:r>
    </w:p>
    <w:p>
      <w:pPr>
        <w:spacing w:after="0" w:line="22" w:lineRule="exact"/>
        <w:rPr>
          <w:sz w:val="24"/>
          <w:szCs w:val="24"/>
          <w:color w:val="auto"/>
        </w:rPr>
      </w:pPr>
    </w:p>
    <w:p>
      <w:pPr>
        <w:ind w:left="9" w:right="140" w:firstLine="129"/>
        <w:spacing w:after="0" w:line="276" w:lineRule="auto"/>
        <w:rPr>
          <w:sz w:val="20"/>
          <w:szCs w:val="20"/>
          <w:color w:val="auto"/>
        </w:rPr>
      </w:pPr>
      <w:r>
        <w:rPr>
          <w:rFonts w:ascii="Arial" w:cs="Arial" w:eastAsia="Arial" w:hAnsi="Arial"/>
          <w:sz w:val="16"/>
          <w:szCs w:val="16"/>
          <w:color w:val="auto"/>
        </w:rPr>
        <w:t>Portions of the Registrant’s definitive Proxy Statement for the Registrant’s 2019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64135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355600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Applied Optoelectronics,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63"/>
        </w:trPr>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6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Item 1A.</w:t>
              </w:r>
            </w:hyperlink>
          </w:p>
        </w:tc>
        <w:tc>
          <w:tcPr>
            <w:tcW w:w="360" w:type="dxa"/>
            <w:vAlign w:val="bottom"/>
            <w:gridSpan w:val="2"/>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65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358"/>
        </w:trPr>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1B.</w:t>
              </w:r>
            </w:hyperlink>
          </w:p>
        </w:tc>
        <w:tc>
          <w:tcPr>
            <w:tcW w:w="380" w:type="dxa"/>
            <w:vAlign w:val="bottom"/>
            <w:gridSpan w:val="3"/>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Unresolved Staff Comments</w:t>
              </w:r>
            </w:hyperlink>
          </w:p>
        </w:tc>
        <w:tc>
          <w:tcPr>
            <w:tcW w:w="542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2.</w:t>
              </w:r>
            </w:hyperlink>
          </w:p>
        </w:tc>
        <w:tc>
          <w:tcPr>
            <w:tcW w:w="500" w:type="dxa"/>
            <w:vAlign w:val="bottom"/>
            <w:gridSpan w:val="6"/>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674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3.</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4.</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Part II</w:t>
              </w:r>
            </w:hyperlink>
          </w:p>
        </w:tc>
        <w:tc>
          <w:tcPr>
            <w:tcW w:w="500" w:type="dxa"/>
            <w:vAlign w:val="bottom"/>
            <w:gridSpan w:val="6"/>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7480" w:type="dxa"/>
            <w:vAlign w:val="bottom"/>
            <w:gridSpan w:val="2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Market for Registrant’s Common Equity, Related Stockholder Matters and Issuer Purchases of Equity</w:t>
              </w:r>
            </w:hyperlink>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Securities</w:t>
              </w:r>
            </w:hyperlink>
          </w:p>
        </w:tc>
        <w:tc>
          <w:tcPr>
            <w:tcW w:w="6620" w:type="dxa"/>
            <w:vAlign w:val="bottom"/>
            <w:tcBorders>
              <w:top w:val="single" w:sz="8" w:color="0000EE"/>
            </w:tcBorders>
            <w:gridSpan w:val="19"/>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6.</w:t>
              </w:r>
            </w:hyperlink>
          </w:p>
        </w:tc>
        <w:tc>
          <w:tcPr>
            <w:tcW w:w="500" w:type="dxa"/>
            <w:vAlign w:val="bottom"/>
            <w:gridSpan w:val="6"/>
          </w:tcPr>
          <w:p>
            <w:pPr>
              <w:spacing w:after="0"/>
              <w:rPr>
                <w:sz w:val="24"/>
                <w:szCs w:val="24"/>
                <w:color w:val="auto"/>
              </w:rPr>
            </w:pPr>
          </w:p>
        </w:tc>
        <w:tc>
          <w:tcPr>
            <w:tcW w:w="17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576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Item 7.</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7A.</w:t>
              </w:r>
            </w:hyperlink>
          </w:p>
        </w:tc>
        <w:tc>
          <w:tcPr>
            <w:tcW w:w="360" w:type="dxa"/>
            <w:vAlign w:val="bottom"/>
            <w:gridSpan w:val="2"/>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Quantitative and Qualitative Disclosures about Market Risk</w:t>
              </w:r>
            </w:hyperlink>
          </w:p>
        </w:tc>
        <w:tc>
          <w:tcPr>
            <w:tcW w:w="316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8.</w:t>
              </w:r>
            </w:hyperlink>
          </w:p>
        </w:tc>
        <w:tc>
          <w:tcPr>
            <w:tcW w:w="500" w:type="dxa"/>
            <w:vAlign w:val="bottom"/>
            <w:gridSpan w:val="6"/>
          </w:tcPr>
          <w:p>
            <w:pPr>
              <w:spacing w:after="0"/>
              <w:rPr>
                <w:sz w:val="24"/>
                <w:szCs w:val="24"/>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414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Item 9.</w:t>
              </w:r>
            </w:hyperlink>
          </w:p>
        </w:tc>
        <w:tc>
          <w:tcPr>
            <w:tcW w:w="500" w:type="dxa"/>
            <w:vAlign w:val="bottom"/>
            <w:gridSpan w:val="6"/>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Item 9A.</w:t>
              </w:r>
            </w:hyperlink>
          </w:p>
        </w:tc>
        <w:tc>
          <w:tcPr>
            <w:tcW w:w="360" w:type="dxa"/>
            <w:vAlign w:val="bottom"/>
            <w:gridSpan w:val="2"/>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57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58"/>
        </w:trPr>
        <w:tc>
          <w:tcPr>
            <w:tcW w:w="640" w:type="dxa"/>
            <w:vAlign w:val="bottom"/>
            <w:gridSpan w:val="5"/>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9B.</w:t>
              </w:r>
            </w:hyperlink>
          </w:p>
        </w:tc>
        <w:tc>
          <w:tcPr>
            <w:tcW w:w="380" w:type="dxa"/>
            <w:vAlign w:val="bottom"/>
            <w:gridSpan w:val="3"/>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Part III</w:t>
              </w:r>
            </w:hyperlink>
          </w:p>
        </w:tc>
        <w:tc>
          <w:tcPr>
            <w:tcW w:w="120" w:type="dxa"/>
            <w:vAlign w:val="bottom"/>
            <w:tcBorders>
              <w:top w:val="single" w:sz="8" w:color="0000EE"/>
            </w:tcBorders>
            <w:gridSpan w:val="3"/>
          </w:tcPr>
          <w:p>
            <w:pPr>
              <w:spacing w:after="0"/>
              <w:rPr>
                <w:sz w:val="24"/>
                <w:szCs w:val="24"/>
                <w:color w:val="auto"/>
              </w:rPr>
            </w:pPr>
          </w:p>
        </w:tc>
        <w:tc>
          <w:tcPr>
            <w:tcW w:w="3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10.</w:t>
              </w:r>
            </w:hyperlink>
          </w:p>
        </w:tc>
        <w:tc>
          <w:tcPr>
            <w:tcW w:w="7480" w:type="dxa"/>
            <w:vAlign w:val="bottom"/>
            <w:gridSpan w:val="2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Directors, Executive Officers and Corporate Governance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11.</w:t>
              </w:r>
            </w:hyperlink>
          </w:p>
        </w:tc>
        <w:tc>
          <w:tcPr>
            <w:tcW w:w="420" w:type="dxa"/>
            <w:vAlign w:val="bottom"/>
            <w:gridSpan w:val="5"/>
          </w:tcPr>
          <w:p>
            <w:pPr>
              <w:spacing w:after="0"/>
              <w:rPr>
                <w:sz w:val="24"/>
                <w:szCs w:val="24"/>
                <w:color w:val="auto"/>
              </w:rPr>
            </w:pP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338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20" w:type="dxa"/>
            <w:vAlign w:val="bottom"/>
            <w:gridSpan w:val="4"/>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12.</w:t>
              </w:r>
            </w:hyperlink>
          </w:p>
        </w:tc>
        <w:tc>
          <w:tcPr>
            <w:tcW w:w="400" w:type="dxa"/>
            <w:vAlign w:val="bottom"/>
            <w:gridSpan w:val="4"/>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Security Ownership of Certain Beneficial Owners and Management and Related Stockholder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13.</w:t>
              </w:r>
            </w:hyperlink>
          </w:p>
        </w:tc>
        <w:tc>
          <w:tcPr>
            <w:tcW w:w="400" w:type="dxa"/>
            <w:vAlign w:val="bottom"/>
            <w:gridSpan w:val="4"/>
          </w:tcPr>
          <w:p>
            <w:pPr>
              <w:spacing w:after="0"/>
              <w:rPr>
                <w:sz w:val="24"/>
                <w:szCs w:val="24"/>
                <w:color w:val="auto"/>
              </w:rPr>
            </w:pPr>
          </w:p>
        </w:tc>
        <w:tc>
          <w:tcPr>
            <w:tcW w:w="7300" w:type="dxa"/>
            <w:vAlign w:val="bottom"/>
            <w:tcBorders>
              <w:top w:val="single" w:sz="8" w:color="0000EE"/>
            </w:tcBorders>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14.</w:t>
              </w:r>
            </w:hyperlink>
          </w:p>
        </w:tc>
        <w:tc>
          <w:tcPr>
            <w:tcW w:w="400" w:type="dxa"/>
            <w:vAlign w:val="bottom"/>
            <w:gridSpan w:val="4"/>
          </w:tcPr>
          <w:p>
            <w:pPr>
              <w:spacing w:after="0"/>
              <w:rPr>
                <w:sz w:val="24"/>
                <w:szCs w:val="24"/>
                <w:color w:val="auto"/>
              </w:rPr>
            </w:pPr>
          </w:p>
        </w:tc>
        <w:tc>
          <w:tcPr>
            <w:tcW w:w="5460" w:type="dxa"/>
            <w:vAlign w:val="bottom"/>
            <w:tcBorders>
              <w:top w:val="single" w:sz="8" w:color="0000EE"/>
            </w:tcBorders>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Principal Accounting Fees and Services</w:t>
              </w:r>
            </w:hyperlink>
          </w:p>
        </w:tc>
        <w:tc>
          <w:tcPr>
            <w:tcW w:w="20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58"/>
        </w:trPr>
        <w:tc>
          <w:tcPr>
            <w:tcW w:w="600" w:type="dxa"/>
            <w:vAlign w:val="bottom"/>
            <w:tcBorders>
              <w:top w:val="single" w:sz="8" w:color="0000EE"/>
            </w:tcBorders>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Part IV</w:t>
              </w:r>
            </w:hyperlink>
          </w:p>
        </w:tc>
        <w:tc>
          <w:tcPr>
            <w:tcW w:w="42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15.</w:t>
              </w:r>
            </w:hyperlink>
          </w:p>
        </w:tc>
        <w:tc>
          <w:tcPr>
            <w:tcW w:w="400" w:type="dxa"/>
            <w:vAlign w:val="bottom"/>
            <w:gridSpan w:val="4"/>
          </w:tcPr>
          <w:p>
            <w:pPr>
              <w:spacing w:after="0"/>
              <w:rPr>
                <w:sz w:val="24"/>
                <w:szCs w:val="24"/>
                <w:color w:val="auto"/>
              </w:rPr>
            </w:pPr>
          </w:p>
        </w:tc>
        <w:tc>
          <w:tcPr>
            <w:tcW w:w="29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Exhibits, Financial Statements Schedules</w:t>
              </w:r>
            </w:hyperlink>
          </w:p>
        </w:tc>
        <w:tc>
          <w:tcPr>
            <w:tcW w:w="450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58"/>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16.</w:t>
              </w:r>
            </w:hyperlink>
          </w:p>
        </w:tc>
        <w:tc>
          <w:tcPr>
            <w:tcW w:w="400" w:type="dxa"/>
            <w:vAlign w:val="bottom"/>
            <w:gridSpan w:val="4"/>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Form 10-K Summary</w:t>
              </w:r>
            </w:hyperlink>
          </w:p>
        </w:tc>
        <w:tc>
          <w:tcPr>
            <w:tcW w:w="592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58"/>
        </w:trPr>
        <w:tc>
          <w:tcPr>
            <w:tcW w:w="102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669"/>
        </w:trPr>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15"/>
          </w:tcPr>
          <w:p>
            <w:pPr>
              <w:jc w:val="center"/>
              <w:ind w:left="283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This Annual Report on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Annual Report on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impact of the Tax Cuts and Jobs Act of 2017, including impact on deferred tax assets and the one-time transition tax on unremitted foreign earnings; realization of deferred tax assets; and other risks and uncertainties described more fully under “Risk Factors” in this Annual Report on Form 10-K and those discussed in the company’s other documents filed with or furnished to the Securities and Exchange Commission. You should not rely on forward-looking statements as predictions of future events. All forward-looking statements in this Annual Report on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Applied Optoelectronics, Inc. (the “Company”) is a leading, vertically integrated provider of fiber-optic networking products, primarily for four networking end-markets: internet data center, cable television, or CATV, telecommunications, or telecom, and fiber-to-the-home, or FTTH. We design and manufacture a range of optical communications products at varying levels of integration, from components, subassemblies and modules to complete turn-key equipment.</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is becoming essential in all four of our target markets, as it is often the only economical way to deliver the desired bandwidth.</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internet data center market is our largest and fastest growing market. Our customers in this market are generally large internet-based (“Web 2.0”) data center operators, to whom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As the complexity of CATV networks has increased over the years, equipment vendors, many of whom are our customers, have been under pressure to supply a wider variety of increasingly complex equipment to CATV multiple system operators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combination of Metal Organic Chemical Vapor Deposition, or MOCVD, and our proprietary Molecular Beam Epitaxy, or MBE,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and FTTH markets where networking equipment is often installed outdoors.</w:t>
      </w:r>
    </w:p>
    <w:p>
      <w:pPr>
        <w:spacing w:after="0" w:line="192" w:lineRule="exact"/>
        <w:rPr>
          <w:sz w:val="20"/>
          <w:szCs w:val="20"/>
          <w:color w:val="auto"/>
        </w:rPr>
      </w:pPr>
    </w:p>
    <w:p>
      <w:pPr>
        <w:jc w:val="both"/>
        <w:ind w:right="60" w:firstLine="648"/>
        <w:spacing w:after="0" w:line="284" w:lineRule="auto"/>
        <w:rPr>
          <w:sz w:val="20"/>
          <w:szCs w:val="20"/>
          <w:color w:val="auto"/>
        </w:rPr>
      </w:pPr>
      <w:r>
        <w:rPr>
          <w:rFonts w:ascii="Arial" w:cs="Arial" w:eastAsia="Arial" w:hAnsi="Arial"/>
          <w:sz w:val="16"/>
          <w:szCs w:val="16"/>
          <w:color w:val="auto"/>
        </w:rPr>
        <w:t>In 2018, 2017 and 2016, our revenue was $267.5 million, $382.3 million and $260.7 million and our gross margin was 32.8%, 43.5% and 33.4%. We have grown our annual revenue at a compound annual growth rate, or CAGR, of 30.1% between 2009 and 2018. In the years ended December 31, 2018, 2017 and 2016, we had net income (loss) of $(2.1) million, $74.0 million and $31.2 million, respectively. At December 31, 2018 and 2017, our retained earnings were $36.0 million and $38.1 million, respectively. In 2018, we earned 74.9% of our total revenue from the internet data center market and 19.3% of our total revenue from the CATV market. In 2018, our key customers in the data center market included Facebook, Inc.</w:t>
      </w:r>
    </w:p>
    <w:p>
      <w:pPr>
        <w:spacing w:after="0" w:line="5"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(Facebook), Microsoft Corp (Microsoft) and Amazon.com (Amazon). In 2018, 2017, and 2016, Facebook accounted for 38.3%, 28.6% and 3.6% of our revenue, Microsoft accounted for 22.1%, 13.8%, and 18.3% of our revenue and Amazon accounted for 12.1%, 35.4%, and 54.6% of our revenue, respectively. In 2018, our key customers in the CATV market included Cisco Systems, Inc. (Cisco); a large CATV equipment company in China; and Arris Group, Inc. (Arris). In 2018, 2017 and 2016, Cisco accounted for 9.9%, 4.8%, and 5.4%, of our revenue, respectively; our large China-based customer accounted for 3.3%, 3.4%, and 1.2% of our revenue, respectively; and Arris accounted for 2.1%, 3.2% and 5.8%, of our revenue,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2018, our four target markets, internet data center, CATV, telecom and FTTH, experienced a significant growth in bandwidth consumption and the corresponding need for network infrastructure improvement to support this growth.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980" w:right="340" w:hanging="329"/>
        <w:spacing w:after="0" w:line="31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Internet Data Center Market. </w:t>
      </w:r>
      <w:r>
        <w:rPr>
          <w:rFonts w:ascii="Arial" w:cs="Arial" w:eastAsia="Arial" w:hAnsi="Arial"/>
          <w:sz w:val="16"/>
          <w:szCs w:val="16"/>
          <w:color w:val="auto"/>
        </w:rPr>
        <w:t>To support the substantial increase in bandwidth consumption,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internet data center operators are increasing the scale of their internet data centers and accelerating data transmission rates. As a result, there is an ongoing transition from the use of copper cable,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00"/>
        <w:spacing w:after="0" w:line="270" w:lineRule="auto"/>
        <w:rPr>
          <w:sz w:val="20"/>
          <w:szCs w:val="20"/>
          <w:color w:val="auto"/>
        </w:rPr>
      </w:pPr>
      <w:r>
        <w:rPr>
          <w:rFonts w:ascii="Arial" w:cs="Arial" w:eastAsia="Arial" w:hAnsi="Arial"/>
          <w:sz w:val="17"/>
          <w:szCs w:val="17"/>
          <w:color w:val="auto"/>
        </w:rPr>
        <w:t>typically at speeds of up to 1 gigabit per second (Gbps), to optical fiber as a transport medium, typically providing speeds from 10 Gbps to 400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open and growing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78" w:lineRule="exact"/>
        <w:rPr>
          <w:sz w:val="20"/>
          <w:szCs w:val="20"/>
          <w:color w:val="auto"/>
        </w:rPr>
      </w:pPr>
    </w:p>
    <w:p>
      <w:pPr>
        <w:ind w:left="980" w:hanging="329"/>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CATV Market. </w:t>
      </w:r>
      <w:r>
        <w:rPr>
          <w:rFonts w:ascii="Arial" w:cs="Arial" w:eastAsia="Arial" w:hAnsi="Arial"/>
          <w:sz w:val="17"/>
          <w:szCs w:val="17"/>
          <w:color w:val="auto"/>
        </w:rPr>
        <w:t>In recent years, CATV service providers have invested extensively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 speed, two-way communications and we expect that they will continue to do so. In North America, in particular, CATV service providers have begun to upgrade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 PHY” are under development by cable equipment suppliers. These technologies are being developed to be a cost-effective solution to provide higher available bandwidth to CATV customers. AOI has developed a unique Remote-PHY product portfolio which started to generate initial revenue in 2018. We believe this product is well positioned in the marketplace as we expect MSOs to begin to deploy this technology more broadly in 2019.</w:t>
      </w:r>
    </w:p>
    <w:p>
      <w:pPr>
        <w:spacing w:after="0" w:line="179" w:lineRule="exact"/>
        <w:rPr>
          <w:rFonts w:ascii="Arial" w:cs="Arial" w:eastAsia="Arial" w:hAnsi="Arial"/>
          <w:sz w:val="17"/>
          <w:szCs w:val="17"/>
          <w:color w:val="auto"/>
        </w:rPr>
      </w:pPr>
    </w:p>
    <w:p>
      <w:pPr>
        <w:ind w:left="980" w:right="100"/>
        <w:spacing w:after="0" w:line="273" w:lineRule="auto"/>
        <w:rPr>
          <w:rFonts w:ascii="Arial" w:cs="Arial" w:eastAsia="Arial" w:hAnsi="Arial"/>
          <w:sz w:val="17"/>
          <w:szCs w:val="17"/>
          <w:color w:val="auto"/>
        </w:rPr>
      </w:pPr>
      <w:r>
        <w:rPr>
          <w:rFonts w:ascii="Arial" w:cs="Arial" w:eastAsia="Arial" w:hAnsi="Arial"/>
          <w:sz w:val="17"/>
          <w:szCs w:val="17"/>
          <w:color w:val="auto"/>
        </w:rPr>
        <w:t>As the complexity of CATV networks has increased over the years, equipment vendors, many of whom are our customers, have been under pressure to supply a wider variety of increasingly complex equipment to CATV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w:t>
      </w:r>
    </w:p>
    <w:p>
      <w:pPr>
        <w:spacing w:after="0" w:line="178" w:lineRule="exact"/>
        <w:rPr>
          <w:rFonts w:ascii="Arial" w:cs="Arial" w:eastAsia="Arial" w:hAnsi="Arial"/>
          <w:sz w:val="17"/>
          <w:szCs w:val="17"/>
          <w:color w:val="auto"/>
        </w:rPr>
      </w:pPr>
    </w:p>
    <w:p>
      <w:pPr>
        <w:ind w:left="980" w:right="200" w:hanging="329"/>
        <w:spacing w:after="0" w:line="27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Telecom Market. </w:t>
      </w:r>
      <w:r>
        <w:rPr>
          <w:rFonts w:ascii="Arial" w:cs="Arial" w:eastAsia="Arial" w:hAnsi="Arial"/>
          <w:sz w:val="17"/>
          <w:szCs w:val="17"/>
          <w:color w:val="auto"/>
        </w:rPr>
        <w:t>The telecom market is composed of customers who deploy wireline optical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other than Passive Optical Networks, or PONs, for telecommunications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 as mentioned above.</w:t>
      </w:r>
    </w:p>
    <w:p>
      <w:pPr>
        <w:spacing w:after="0" w:line="181" w:lineRule="exact"/>
        <w:rPr>
          <w:rFonts w:ascii="Arial" w:cs="Arial" w:eastAsia="Arial" w:hAnsi="Arial"/>
          <w:sz w:val="17"/>
          <w:szCs w:val="17"/>
          <w:color w:val="auto"/>
        </w:rPr>
      </w:pPr>
    </w:p>
    <w:p>
      <w:pPr>
        <w:ind w:left="980" w:right="40" w:hanging="329"/>
        <w:spacing w:after="0" w:line="273"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FTTH Market. </w:t>
      </w:r>
      <w:r>
        <w:rPr>
          <w:rFonts w:ascii="Arial" w:cs="Arial" w:eastAsia="Arial" w:hAnsi="Arial"/>
          <w:sz w:val="17"/>
          <w:szCs w:val="17"/>
          <w:color w:val="auto"/>
        </w:rPr>
        <w:t>The FTTH market generally refers to the PONs that telecommunications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deploy. The most commonly 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ind w:left="980" w:right="219" w:hanging="329"/>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Enable customers to deliver innovative products. </w:t>
      </w:r>
      <w:r>
        <w:rPr>
          <w:rFonts w:ascii="Arial" w:cs="Arial" w:eastAsia="Arial" w:hAnsi="Arial"/>
          <w:sz w:val="16"/>
          <w:szCs w:val="16"/>
          <w:color w:val="auto"/>
        </w:rPr>
        <w:t>We leverage our extensive expertise in high-speed optical,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mixed-signal semiconductor and mechanical engineering, and MOCVD and our proprietary MBE laser fabrication process to deliver technologically advanced products to our customers.</w:t>
      </w:r>
    </w:p>
    <w:p>
      <w:pPr>
        <w:spacing w:after="0" w:line="146" w:lineRule="exact"/>
        <w:rPr>
          <w:rFonts w:ascii="Arial" w:cs="Arial" w:eastAsia="Arial" w:hAnsi="Arial"/>
          <w:sz w:val="16"/>
          <w:szCs w:val="16"/>
          <w:color w:val="auto"/>
        </w:rPr>
      </w:pPr>
    </w:p>
    <w:p>
      <w:pPr>
        <w:ind w:left="980" w:right="39"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efficiency and cost effectiveness of our customers’ supply chains. </w:t>
      </w:r>
      <w:r>
        <w:rPr>
          <w:rFonts w:ascii="Arial" w:cs="Arial" w:eastAsia="Arial" w:hAnsi="Arial"/>
          <w:sz w:val="18"/>
          <w:szCs w:val="18"/>
          <w:color w:val="auto"/>
        </w:rPr>
        <w:t>We design and sell products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integration desired by a customer, from components to turn-key equipment, providing our customers a dependable, cost-effective and simplified supply chain.</w:t>
      </w:r>
    </w:p>
    <w:p>
      <w:pPr>
        <w:spacing w:after="0" w:line="181" w:lineRule="exact"/>
        <w:rPr>
          <w:rFonts w:ascii="Arial" w:cs="Arial" w:eastAsia="Arial" w:hAnsi="Arial"/>
          <w:sz w:val="18"/>
          <w:szCs w:val="18"/>
          <w:color w:val="auto"/>
        </w:rPr>
      </w:pPr>
    </w:p>
    <w:p>
      <w:pPr>
        <w:ind w:left="980" w:right="39" w:hanging="329"/>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high quality, reliable products in high volume. </w:t>
      </w:r>
      <w:r>
        <w:rPr>
          <w:rFonts w:ascii="Arial" w:cs="Arial" w:eastAsia="Arial" w:hAnsi="Arial"/>
          <w:sz w:val="17"/>
          <w:szCs w:val="17"/>
          <w:color w:val="auto"/>
        </w:rPr>
        <w:t>As a vertically integrated supplier, we are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monitor and maintain quality 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71" w:lineRule="exact"/>
        <w:rPr>
          <w:rFonts w:ascii="Arial" w:cs="Arial" w:eastAsia="Arial" w:hAnsi="Arial"/>
          <w:sz w:val="17"/>
          <w:szCs w:val="17"/>
          <w:color w:val="auto"/>
        </w:rPr>
      </w:pPr>
    </w:p>
    <w:p>
      <w:pPr>
        <w:ind w:left="980" w:right="59"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 sophisticated design solutions to our customers. </w:t>
      </w:r>
      <w:r>
        <w:rPr>
          <w:rFonts w:ascii="Arial" w:cs="Arial" w:eastAsia="Arial" w:hAnsi="Arial"/>
          <w:sz w:val="18"/>
          <w:szCs w:val="18"/>
          <w:color w:val="auto"/>
        </w:rPr>
        <w:t>We believe our in-house expertise in both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optical engineering enables us to design comprehensive solutions that meet many of the different network architectures and protocols used by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559" w:hanging="329"/>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leveraging our technological expertise, including our proprietary MBE and MOCVD laser fabrication process.</w:t>
      </w:r>
    </w:p>
    <w:p>
      <w:pPr>
        <w:spacing w:after="0" w:line="181" w:lineRule="exact"/>
        <w:rPr>
          <w:rFonts w:ascii="Arial" w:cs="Arial" w:eastAsia="Arial" w:hAnsi="Arial"/>
          <w:sz w:val="18"/>
          <w:szCs w:val="18"/>
          <w:color w:val="auto"/>
        </w:rPr>
      </w:pPr>
    </w:p>
    <w:p>
      <w:pPr>
        <w:ind w:left="980" w:right="39" w:hanging="329"/>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Innovative light engine design and manufacturing. </w:t>
      </w:r>
      <w:r>
        <w:rPr>
          <w:rFonts w:ascii="Arial" w:cs="Arial" w:eastAsia="Arial" w:hAnsi="Arial"/>
          <w:sz w:val="17"/>
          <w:szCs w:val="17"/>
          <w:color w:val="auto"/>
        </w:rPr>
        <w:t>High-speed data center interconnect transceivers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rely on multiple parallel optical signals. Our expertise in designing and manufacturing light engines, which combine lasers and photodiodes with channel multiplexing and de-multiplexing elements, gives us the ability to quickly develop new products for our data center customers.</w:t>
      </w:r>
    </w:p>
    <w:p>
      <w:pPr>
        <w:spacing w:after="0" w:line="171" w:lineRule="exact"/>
        <w:rPr>
          <w:rFonts w:ascii="Arial" w:cs="Arial" w:eastAsia="Arial" w:hAnsi="Arial"/>
          <w:sz w:val="17"/>
          <w:szCs w:val="17"/>
          <w:color w:val="auto"/>
        </w:rPr>
      </w:pPr>
    </w:p>
    <w:p>
      <w:pPr>
        <w:ind w:left="980" w:right="219" w:hanging="329"/>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system design capabilities. </w:t>
      </w:r>
      <w:r>
        <w:rPr>
          <w:rFonts w:ascii="Arial" w:cs="Arial" w:eastAsia="Arial" w:hAnsi="Arial"/>
          <w:sz w:val="16"/>
          <w:szCs w:val="16"/>
          <w:color w:val="auto"/>
        </w:rPr>
        <w:t>We have extensive expertise and proven design capabilities in high-speed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mixed-signal semiconductor and mechanical engineering, which we believe position us to take advantage of the continuing shift to outsourced design and manufacturing among CATV equipment vendors.</w:t>
      </w:r>
    </w:p>
    <w:p>
      <w:pPr>
        <w:spacing w:after="0" w:line="146" w:lineRule="exact"/>
        <w:rPr>
          <w:rFonts w:ascii="Arial" w:cs="Arial" w:eastAsia="Arial" w:hAnsi="Arial"/>
          <w:sz w:val="16"/>
          <w:szCs w:val="16"/>
          <w:color w:val="auto"/>
        </w:rPr>
      </w:pPr>
    </w:p>
    <w:p>
      <w:pPr>
        <w:ind w:left="980" w:right="199" w:hanging="329"/>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have continued to be awarded new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opportunities for CATV 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1" w:lineRule="exact"/>
        <w:rPr>
          <w:rFonts w:ascii="Arial" w:cs="Arial" w:eastAsia="Arial" w:hAnsi="Arial"/>
          <w:sz w:val="17"/>
          <w:szCs w:val="17"/>
          <w:color w:val="auto"/>
        </w:rPr>
      </w:pPr>
    </w:p>
    <w:p>
      <w:pPr>
        <w:ind w:left="980" w:right="79" w:hanging="329"/>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Vertically integrated, geographically distributed manufacturing model. </w:t>
      </w:r>
      <w:r>
        <w:rPr>
          <w:rFonts w:ascii="Arial" w:cs="Arial" w:eastAsia="Arial" w:hAnsi="Arial"/>
          <w:sz w:val="16"/>
          <w:szCs w:val="16"/>
          <w:color w:val="auto"/>
        </w:rPr>
        <w:t>Our vertically integrated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39" w:firstLine="648"/>
        <w:spacing w:after="0" w:line="308" w:lineRule="auto"/>
        <w:rPr>
          <w:sz w:val="20"/>
          <w:szCs w:val="20"/>
          <w:color w:val="auto"/>
        </w:rPr>
      </w:pPr>
      <w:r>
        <w:rPr>
          <w:rFonts w:ascii="Arial" w:cs="Arial" w:eastAsia="Arial" w:hAnsi="Arial"/>
          <w:sz w:val="17"/>
          <w:szCs w:val="17"/>
          <w:color w:val="auto"/>
        </w:rPr>
        <w:t>We seek to be the leading global provider of optical components, modules and equipment for each of our four target markets, internet data centers, CATV, telecom and FTTH. Our strategy includes the following key elements:</w:t>
      </w:r>
    </w:p>
    <w:p>
      <w:pPr>
        <w:spacing w:after="0" w:line="147" w:lineRule="exact"/>
        <w:rPr>
          <w:sz w:val="20"/>
          <w:szCs w:val="20"/>
          <w:color w:val="auto"/>
        </w:rPr>
      </w:pPr>
    </w:p>
    <w:p>
      <w:pPr>
        <w:ind w:left="980" w:right="179" w:hanging="329"/>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penetrate the internet data center market. </w:t>
      </w:r>
      <w:r>
        <w:rPr>
          <w:rFonts w:ascii="Arial" w:cs="Arial" w:eastAsia="Arial" w:hAnsi="Arial"/>
          <w:sz w:val="16"/>
          <w:szCs w:val="16"/>
          <w:color w:val="auto"/>
        </w:rPr>
        <w:t>In the internet data center market, we primarily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internet data center operators who have adopted an open system architecture—one in which the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520"/>
        <w:spacing w:after="0" w:line="277" w:lineRule="auto"/>
        <w:rPr>
          <w:sz w:val="20"/>
          <w:szCs w:val="20"/>
          <w:color w:val="auto"/>
        </w:rPr>
      </w:pPr>
      <w:r>
        <w:rPr>
          <w:rFonts w:ascii="Arial" w:cs="Arial" w:eastAsia="Arial" w:hAnsi="Arial"/>
          <w:sz w:val="18"/>
          <w:szCs w:val="18"/>
          <w:color w:val="auto"/>
        </w:rPr>
        <w:t>optical connectivity solutions can be provided by a different vendor than the vendor which provides their servers and switches.</w:t>
      </w:r>
    </w:p>
    <w:p>
      <w:pPr>
        <w:spacing w:after="0" w:line="170" w:lineRule="exact"/>
        <w:rPr>
          <w:sz w:val="20"/>
          <w:szCs w:val="20"/>
          <w:color w:val="auto"/>
        </w:rPr>
      </w:pPr>
    </w:p>
    <w:p>
      <w:pPr>
        <w:ind w:left="980" w:right="40" w:hanging="329"/>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our leadership in CATV networking. </w:t>
      </w:r>
      <w:r>
        <w:rPr>
          <w:rFonts w:ascii="Arial" w:cs="Arial" w:eastAsia="Arial" w:hAnsi="Arial"/>
          <w:sz w:val="16"/>
          <w:szCs w:val="16"/>
          <w:color w:val="auto"/>
        </w:rPr>
        <w:t>We intend to maintain our position as a leading producer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components used in CATV networks, and to capture an increasing share of the CATV equipment market as the major equipment vendors continue to outsource the design and manufacturing of such products.</w:t>
      </w:r>
    </w:p>
    <w:p>
      <w:pPr>
        <w:spacing w:after="0" w:line="146" w:lineRule="exact"/>
        <w:rPr>
          <w:rFonts w:ascii="Arial" w:cs="Arial" w:eastAsia="Arial" w:hAnsi="Arial"/>
          <w:sz w:val="16"/>
          <w:szCs w:val="16"/>
          <w:color w:val="auto"/>
        </w:rPr>
      </w:pPr>
    </w:p>
    <w:p>
      <w:pPr>
        <w:ind w:left="980" w:right="60" w:hanging="329"/>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new products for the Telecom market. </w:t>
      </w:r>
      <w:r>
        <w:rPr>
          <w:rFonts w:ascii="Arial" w:cs="Arial" w:eastAsia="Arial" w:hAnsi="Arial"/>
          <w:sz w:val="18"/>
          <w:szCs w:val="18"/>
          <w:color w:val="auto"/>
        </w:rPr>
        <w:t>Our addressable telecom market has often been limited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small portfolio of products for this market. In many cases, our telecom product offerings are identical or nearly identical to products that we sell in other markets (for example CATV or internet data center). As we continue to develop new technological capabilities, we intend to develop products specifically for telecom markets.</w:t>
      </w:r>
    </w:p>
    <w:p>
      <w:pPr>
        <w:spacing w:after="0" w:line="188" w:lineRule="exact"/>
        <w:rPr>
          <w:rFonts w:ascii="Arial" w:cs="Arial" w:eastAsia="Arial" w:hAnsi="Arial"/>
          <w:sz w:val="18"/>
          <w:szCs w:val="18"/>
          <w:color w:val="auto"/>
        </w:rPr>
      </w:pPr>
    </w:p>
    <w:p>
      <w:pPr>
        <w:ind w:left="980" w:right="200" w:hanging="329"/>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delivering 1 Gbps bandwidth to 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w:t>
      </w:r>
    </w:p>
    <w:p>
      <w:pPr>
        <w:spacing w:after="0" w:line="188"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our production infrastructure and facilities to maintain and strengthen our competitive position. We engage in an active research and development program to develop new products and enhance existing products.</w:t>
      </w:r>
    </w:p>
    <w:p>
      <w:pPr>
        <w:spacing w:after="0" w:line="186" w:lineRule="exact"/>
        <w:rPr>
          <w:rFonts w:ascii="Arial" w:cs="Arial" w:eastAsia="Arial" w:hAnsi="Arial"/>
          <w:sz w:val="18"/>
          <w:szCs w:val="18"/>
          <w:color w:val="auto"/>
        </w:rPr>
      </w:pPr>
    </w:p>
    <w:p>
      <w:pPr>
        <w:ind w:left="980" w:right="160" w:hanging="329"/>
        <w:spacing w:after="0" w:line="30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outdoor equipment 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54" w:lineRule="exact"/>
        <w:rPr>
          <w:rFonts w:ascii="Arial" w:cs="Arial" w:eastAsia="Arial" w:hAnsi="Arial"/>
          <w:sz w:val="16"/>
          <w:szCs w:val="16"/>
          <w:color w:val="auto"/>
        </w:rPr>
      </w:pPr>
    </w:p>
    <w:p>
      <w:pPr>
        <w:ind w:left="980" w:right="120" w:hanging="329"/>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complementary acquisition and strategic alliance opportunities. </w:t>
      </w:r>
      <w:r>
        <w:rPr>
          <w:rFonts w:ascii="Arial" w:cs="Arial" w:eastAsia="Arial" w:hAnsi="Arial"/>
          <w:sz w:val="17"/>
          <w:szCs w:val="17"/>
          <w:color w:val="auto"/>
        </w:rPr>
        <w:t>We evaluate and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opportunities or strategic alliances that we believe will enhance or complement our current product offerings, augment our technology roadmap, or diversify our revenue 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24" w:lineRule="exact"/>
        <w:rPr>
          <w:sz w:val="20"/>
          <w:szCs w:val="20"/>
          <w:color w:val="auto"/>
        </w:rPr>
      </w:pPr>
    </w:p>
    <w:p>
      <w:pPr>
        <w:ind w:left="980" w:hanging="329"/>
        <w:spacing w:after="0" w:line="286"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fabrication of our lasers. 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and believe it would be difficult and time-consuming for other vendors to replicate our production technology.</w:t>
      </w:r>
    </w:p>
    <w:p>
      <w:pPr>
        <w:spacing w:after="0" w:line="248" w:lineRule="exact"/>
        <w:rPr>
          <w:sz w:val="20"/>
          <w:szCs w:val="20"/>
          <w:color w:val="auto"/>
        </w:rPr>
      </w:pPr>
    </w:p>
    <w:p>
      <w:pPr>
        <w:ind w:left="980" w:right="180" w:hanging="329"/>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Laser enhancement technology. </w:t>
      </w:r>
      <w:r>
        <w:rPr>
          <w:rFonts w:ascii="Arial" w:cs="Arial" w:eastAsia="Arial" w:hAnsi="Arial"/>
          <w:sz w:val="17"/>
          <w:szCs w:val="17"/>
          <w:color w:val="auto"/>
        </w:rPr>
        <w:t>Certain properties of the semiconductor lasers predominantly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communications devices, 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78" w:lineRule="exact"/>
        <w:rPr>
          <w:rFonts w:ascii="Arial" w:cs="Arial" w:eastAsia="Arial" w:hAnsi="Arial"/>
          <w:sz w:val="17"/>
          <w:szCs w:val="17"/>
          <w:color w:val="auto"/>
        </w:rPr>
      </w:pPr>
    </w:p>
    <w:p>
      <w:pPr>
        <w:ind w:left="980" w:hanging="329"/>
        <w:spacing w:after="0" w:line="28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is essential for achieving the 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72" w:lineRule="exact"/>
        <w:rPr>
          <w:rFonts w:ascii="Arial" w:cs="Arial" w:eastAsia="Arial" w:hAnsi="Arial"/>
          <w:sz w:val="16"/>
          <w:szCs w:val="16"/>
          <w:color w:val="auto"/>
        </w:rPr>
      </w:pPr>
    </w:p>
    <w:p>
      <w:pPr>
        <w:ind w:left="980" w:right="20"/>
        <w:spacing w:after="0" w:line="253" w:lineRule="auto"/>
        <w:rPr>
          <w:rFonts w:ascii="Arial" w:cs="Arial" w:eastAsia="Arial" w:hAnsi="Arial"/>
          <w:sz w:val="16"/>
          <w:szCs w:val="16"/>
          <w:color w:val="auto"/>
        </w:rPr>
      </w:pPr>
      <w:r>
        <w:rPr>
          <w:rFonts w:ascii="Arial" w:cs="Arial" w:eastAsia="Arial" w:hAnsi="Arial"/>
          <w:sz w:val="18"/>
          <w:szCs w:val="18"/>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97" w:lineRule="exact"/>
        <w:rPr>
          <w:rFonts w:ascii="Arial" w:cs="Arial" w:eastAsia="Arial" w:hAnsi="Arial"/>
          <w:sz w:val="16"/>
          <w:szCs w:val="16"/>
          <w:color w:val="auto"/>
        </w:rPr>
      </w:pPr>
    </w:p>
    <w:p>
      <w:pPr>
        <w:ind w:left="980" w:right="80" w:hanging="329"/>
        <w:spacing w:after="0" w:line="28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Mixed-signal design. </w:t>
      </w:r>
      <w:r>
        <w:rPr>
          <w:rFonts w:ascii="Arial" w:cs="Arial" w:eastAsia="Arial" w:hAnsi="Arial"/>
          <w:sz w:val="16"/>
          <w:szCs w:val="16"/>
          <w:color w:val="auto"/>
        </w:rPr>
        <w:t>As CATV providers continue to evolve from primarily broadcast-video content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mixture of HD video 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allow the temperature of the laser chip to be measured and controlled. We manufacture the majority of the laser chips and optical components that are used in our own products.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of December 31, 2018, we owned a total of 124 U.S. issued patents and 141 patents issued in China and Taiwan, plus a number of pending U.S. and foreign/international patent applications. Our issued U.S. and foreign patents will expire between 2019 and 2037. While our patents are an important element of our success, our business as a whole is not dependent on any one patent or group of patents. We do not anticipate any material effect on our business due to any patents expiring in 2019, and we continue to obtain new patents through our ongoing research and development.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laser structure and design;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signal conditioning and laser control;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laser fabrication;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photodiode and optical receiver design and fabrication;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device and module designs;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device packaging equipment and techniques;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network enhancements.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enhanced products over the next several years. Our research and development expenses were approximately $49.9 million, $35.4 million, and $31.8 million for the years 2018, 2017 and 2016, respectively.</w:t>
      </w:r>
    </w:p>
    <w:p>
      <w:pPr>
        <w:spacing w:after="0" w:line="170" w:lineRule="exact"/>
        <w:rPr>
          <w:sz w:val="20"/>
          <w:szCs w:val="20"/>
          <w:color w:val="auto"/>
        </w:rPr>
      </w:pPr>
    </w:p>
    <w:p>
      <w:pPr>
        <w:ind w:right="119" w:firstLine="648"/>
        <w:spacing w:after="0" w:line="257" w:lineRule="auto"/>
        <w:rPr>
          <w:sz w:val="20"/>
          <w:szCs w:val="20"/>
          <w:color w:val="auto"/>
        </w:rPr>
      </w:pPr>
      <w:r>
        <w:rPr>
          <w:rFonts w:ascii="Arial" w:cs="Arial" w:eastAsia="Arial" w:hAnsi="Arial"/>
          <w:sz w:val="18"/>
          <w:szCs w:val="18"/>
          <w:color w:val="auto"/>
        </w:rPr>
        <w:t>As of December 31, 2018, we had a total of 305 employees working in the R&amp;D department, including 15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8" w:lineRule="exact"/>
        <w:rPr>
          <w:sz w:val="20"/>
          <w:szCs w:val="20"/>
          <w:color w:val="auto"/>
        </w:rPr>
      </w:pPr>
    </w:p>
    <w:p>
      <w:pPr>
        <w:ind w:right="239" w:firstLine="648"/>
        <w:spacing w:after="0" w:line="279"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5"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8" w:lineRule="exact"/>
        <w:rPr>
          <w:sz w:val="20"/>
          <w:szCs w:val="20"/>
          <w:color w:val="auto"/>
        </w:rPr>
      </w:pPr>
    </w:p>
    <w:p>
      <w:pPr>
        <w:ind w:right="99" w:firstLine="648"/>
        <w:spacing w:after="0" w:line="291" w:lineRule="auto"/>
        <w:rPr>
          <w:sz w:val="20"/>
          <w:szCs w:val="20"/>
          <w:color w:val="auto"/>
        </w:rPr>
      </w:pPr>
      <w:r>
        <w:rPr>
          <w:rFonts w:ascii="Arial" w:cs="Arial" w:eastAsia="Arial" w:hAnsi="Arial"/>
          <w:sz w:val="16"/>
          <w:szCs w:val="16"/>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19" w:firstLine="648"/>
        <w:spacing w:after="0" w:line="290" w:lineRule="auto"/>
        <w:rPr>
          <w:sz w:val="20"/>
          <w:szCs w:val="20"/>
          <w:color w:val="auto"/>
        </w:rPr>
      </w:pPr>
      <w:r>
        <w:rPr>
          <w:rFonts w:ascii="Arial" w:cs="Arial" w:eastAsia="Arial" w:hAnsi="Arial"/>
          <w:sz w:val="16"/>
          <w:szCs w:val="16"/>
          <w:color w:val="auto"/>
        </w:rPr>
        <w:t>Our customers are primarily internet data center operators, CATV and telecommunications equipment manufacturers, and internet service providers. We generally employ a direct sales model in North America and in the rest of the world we use both direct and indirect sales channels. In 2018, 2017 and 2016, we obtained 96.4%, 97.0% and 96.0%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design or manufacturing services to customers to assist them in more effectively using our products and realizing time-to-market advantages.</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the last three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5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2018, the three customers who contributed most to our data center revenue were Facebook, Microsoft and Amazon. Our CATV products were used by three large CATV original equipment manufacturers, or OEMs, consisting of Cisco; a large CATV equipment company in China; and Arris (which acquired the Motorola Home Business in 2013 and Pace Plc in 2016). In 2018, revenue from the internet data center market, CATV market, the telecom market, FTTH market and other markets provided 74.9%, 19.3%, 4.9%, 0.3% and 0.6% of our revenue, respectively, compared to 80.2%, 15.9%, 3.4%, 0.1% and 0.4%, respectively, in 2017.</w:t>
      </w:r>
    </w:p>
    <w:p>
      <w:pPr>
        <w:spacing w:after="0" w:line="178"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our telecom market, we manufacture and sell optical products which include transceivers designed to transmit signals used in 4G Long Term Evolution, or LTE, mobile networks, and various products targeted at the metro-scale telecommunications networking market. In 2019, we expect to begin selling products used in advanced 5G mobile networks. We have various other products designed for diverse applications, both inside and outside of communications technology, which generally are derivatives of products developed for our four target markets.</w:t>
      </w:r>
    </w:p>
    <w:p>
      <w:pPr>
        <w:spacing w:after="0" w:line="17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Region</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For information regarding our revenue and long-lived assets by geographic region, see Note P to the Consolidated Financial Statements. For risks relating to our operations see “Item 1A. Risk Factors” and particularly the risks under the caption “Risks related to our operations in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certain financial information regarding our business, see “Item 6.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Foxconn Interconnect Technology Ltd., InnoLight Technology (Suzhou) Ltd., Intel Corporation, Lumentum Holdings, Inc., Mitsubishi, Molex, LLC, Source Photonics, Inc. and Sumitomo Electric Industries, Ltd.</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170" w:lineRule="exact"/>
        <w:rPr>
          <w:sz w:val="20"/>
          <w:szCs w:val="20"/>
          <w:color w:val="auto"/>
        </w:rPr>
      </w:pPr>
    </w:p>
    <w:p>
      <w:pPr>
        <w:jc w:val="both"/>
        <w:ind w:right="580" w:firstLine="648"/>
        <w:spacing w:after="0" w:line="312" w:lineRule="auto"/>
        <w:rPr>
          <w:sz w:val="20"/>
          <w:szCs w:val="20"/>
          <w:color w:val="auto"/>
        </w:rPr>
      </w:pPr>
      <w:r>
        <w:rPr>
          <w:rFonts w:ascii="Arial" w:cs="Arial" w:eastAsia="Arial" w:hAnsi="Arial"/>
          <w:sz w:val="16"/>
          <w:szCs w:val="16"/>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decide to manufacture the optical subsystems incorporated into their network systems in-house. We also encounter potential customers that, because of existing relationships, are committed to the products offered by these competitors.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internally manufactured components;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breadth and functionality;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pace of new product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customer base;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of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Seasonality,” regarding seasonality of certain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December 31, 2018, we employed 2,956 full-time employees, of which 36 held Ph.D. degrees in a science or engineering field. Of our employees, 449 are located in the U.S., 1,057 are located in Taiwan and 1,450 are located in China.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87" w:lineRule="exact"/>
        <w:rPr>
          <w:sz w:val="20"/>
          <w:szCs w:val="20"/>
          <w:color w:val="auto"/>
        </w:rPr>
      </w:pPr>
    </w:p>
    <w:p>
      <w:pPr>
        <w:ind w:right="300" w:firstLine="648"/>
        <w:spacing w:after="0" w:line="290" w:lineRule="auto"/>
        <w:rPr>
          <w:sz w:val="20"/>
          <w:szCs w:val="20"/>
          <w:color w:val="auto"/>
        </w:rPr>
      </w:pPr>
      <w:r>
        <w:rPr>
          <w:rFonts w:ascii="Arial" w:cs="Arial" w:eastAsia="Arial" w:hAnsi="Arial"/>
          <w:sz w:val="16"/>
          <w:szCs w:val="16"/>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requires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6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Bureau of Industry and Security (BIS) of the U.S. Department of Commerce is responsible for regulating the export of most commercial items that are classified as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 Our website address is www.ao-inc.com. Information contained on our website is not incorporated by reference into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18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generate much of our revenue from a limited number of customers. For each year ended 2018, 2017 and 2016, our top ten customers represented 92.9%, 94.9% and 95.5% of our revenue, respectively. In 2018, Facebook represented</w:t>
      </w:r>
    </w:p>
    <w:p>
      <w:pPr>
        <w:spacing w:after="0" w:line="252" w:lineRule="auto"/>
        <w:rPr>
          <w:sz w:val="20"/>
          <w:szCs w:val="20"/>
          <w:color w:val="auto"/>
        </w:rPr>
      </w:pPr>
      <w:r>
        <w:rPr>
          <w:rFonts w:ascii="Arial" w:cs="Arial" w:eastAsia="Arial" w:hAnsi="Arial"/>
          <w:sz w:val="18"/>
          <w:szCs w:val="18"/>
          <w:color w:val="auto"/>
        </w:rPr>
        <w:t>38.3% of our revenue, Microsoft represented 22.1% of our revenue and Amazon represented 12.1%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Changes in our customers’ demands may negatively affect our sales and revenue. For example, several of our largest customers have informed us that new architectures being implemented in their datacenters may reduce their demand for 100 Gbps optical transceivers compared to their prior forecasts. This would negatively impact our anticipated revenue from these customers. If we cannot sufficiently increase revenue from these new customers and our other existing customers, then our overall revenue may be adversely affected.</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For example, revenues for the three months ended March 31, 2018 decreased by 32 percent as compared to the three months ended March 31, 2017 due primarily to lower sales of 40 Gbps data center transceivers, which includes a reduction in average selling prices for certain products as a result of price negotiations with our customers.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During the quarter, we conducted extensive testing of our products to demonstrate that any potentially affected units could be nearly eliminated from future shipments, and we subsequently resumed shipments with the customer’s agreement. However, additional testing costs and costs to enhance the ongoing monitoring of product quality may adversely affect the results of our operations.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2,529 of our employees as of December 31, 2018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2018, 2017 and 2016, the CATV market represented 19.3%, 15.9% and 16.7%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2018 and 2017, respectively, we generated 4.9% and 3.4% of our revenue from the telecom market and 0.3%, and 0.1%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4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right="80" w:hanging="329"/>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or limitations imposed by trade protection laws or other regulatory orders or requirements in the United States or in other countries, including tariffs, sanctions, or other costs or requirements which may affect our ability to import or export our products to or from various countries;</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have lending arrangements with several financial institutions, including loan agreements with Branch Banking and Trust (BB&amp;T) Bank in the U.S., credit facilities with Taishin International Bank, Development Bank of Singapore and CTBC Bank, a finance lease agreement with Chailease Finance Co., Ltd. in Taiwan and a credit facility with China Construction Bank Co.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China Construction Bank Co. are secured by real estate. A breach of any of covenants under our loan agreements, or a failure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pay interest or indebtedness when due under any of our credit facilities could result in a variety of adverse consequences, including the acceleration of our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25" w:lineRule="exact"/>
        <w:rPr>
          <w:rFonts w:ascii="Arial" w:cs="Arial" w:eastAsia="Arial" w:hAnsi="Arial"/>
          <w:sz w:val="18"/>
          <w:szCs w:val="18"/>
          <w:color w:val="auto"/>
        </w:rPr>
      </w:pPr>
    </w:p>
    <w:p>
      <w:pPr>
        <w:ind w:left="1300" w:hanging="64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25" w:lineRule="exact"/>
        <w:rPr>
          <w:rFonts w:ascii="Arial" w:cs="Arial" w:eastAsia="Arial" w:hAnsi="Arial"/>
          <w:sz w:val="18"/>
          <w:szCs w:val="18"/>
          <w:color w:val="auto"/>
        </w:rPr>
      </w:pPr>
    </w:p>
    <w:p>
      <w:pPr>
        <w:ind w:left="1300" w:hanging="64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25" w:lineRule="exact"/>
        <w:rPr>
          <w:rFonts w:ascii="Arial" w:cs="Arial" w:eastAsia="Arial" w:hAnsi="Arial"/>
          <w:sz w:val="18"/>
          <w:szCs w:val="18"/>
          <w:color w:val="auto"/>
        </w:rPr>
      </w:pPr>
    </w:p>
    <w:p>
      <w:pPr>
        <w:ind w:left="1300" w:hanging="649"/>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These incidents could also subject us to liability, expose us to significant expense and cause significant harm to our reputation and business.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U.S. government has recently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Three rounds of U.S. tariffs on imports from China have become effective in July 2018, August 2018 and September 2018 (respectively the “U.S. Tariffs on China Imports”). A limited number of our products that have a China country of origin are currently subject to the U.S. Tariffs on China Imports.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It is unknown whether and to what extent new tariffs (or other new laws or regulations) will be adopted, or the effect that any such actions would have on us or our industry. A significant portion of our manufacturing operations is based in Ningbo, China; therefore, if any new tariffs, legislation and/or regulations are implemented, or if existing trade agreements are renegotiated or if China or other affected countries take further retaliatory trade actions, such changes could have a material adverse effect on our business, financial condition, results of operations or cash flows.</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us. Imposition of tariffs could cause a decrease in the sales of our products to customers located in China or other customers selling to Chinese end users, which would directly impact our business.</w:t>
      </w:r>
    </w:p>
    <w:p>
      <w:pPr>
        <w:spacing w:after="0" w:line="17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to conduct business and provide incentives to government-backed local customers to buy from local suppliers. Changes in, and responses to, U.S. trade policy could reduce the competitiveness of our products and cause our sales and revenues to drop, which could materially and adversely impact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2018, 2017 and 2016, 23.1%, 22.7% and 15.8%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right="66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w:t>
      </w:r>
    </w:p>
    <w:p>
      <w:pPr>
        <w:spacing w:after="0" w:line="170"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25" w:lineRule="exact"/>
        <w:rPr>
          <w:rFonts w:ascii="Arial" w:cs="Arial" w:eastAsia="Arial" w:hAnsi="Arial"/>
          <w:sz w:val="18"/>
          <w:szCs w:val="18"/>
          <w:color w:val="auto"/>
        </w:rPr>
      </w:pPr>
    </w:p>
    <w:p>
      <w:pPr>
        <w:ind w:left="1300" w:right="20" w:hanging="649"/>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170" w:lineRule="exact"/>
        <w:rPr>
          <w:rFonts w:ascii="Arial" w:cs="Arial" w:eastAsia="Arial" w:hAnsi="Arial"/>
          <w:sz w:val="18"/>
          <w:szCs w:val="18"/>
          <w:color w:val="auto"/>
        </w:rPr>
      </w:pPr>
    </w:p>
    <w:p>
      <w:pPr>
        <w:ind w:left="1300" w:hanging="64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25" w:lineRule="exact"/>
        <w:rPr>
          <w:rFonts w:ascii="Arial" w:cs="Arial" w:eastAsia="Arial" w:hAnsi="Arial"/>
          <w:sz w:val="18"/>
          <w:szCs w:val="18"/>
          <w:color w:val="auto"/>
        </w:rPr>
      </w:pPr>
    </w:p>
    <w:p>
      <w:pPr>
        <w:ind w:left="1300" w:right="360" w:hanging="649"/>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Arial" w:cs="Arial" w:eastAsia="Arial" w:hAnsi="Arial"/>
          <w:sz w:val="18"/>
          <w:szCs w:val="18"/>
          <w:color w:val="auto"/>
        </w:rPr>
      </w:pPr>
    </w:p>
    <w:p>
      <w:pPr>
        <w:ind w:left="1300" w:hanging="64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25" w:lineRule="exact"/>
        <w:rPr>
          <w:rFonts w:ascii="Arial" w:cs="Arial" w:eastAsia="Arial" w:hAnsi="Arial"/>
          <w:sz w:val="18"/>
          <w:szCs w:val="18"/>
          <w:color w:val="auto"/>
        </w:rPr>
      </w:pPr>
    </w:p>
    <w:p>
      <w:pPr>
        <w:ind w:left="1300" w:hanging="64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25"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have implemented a system of disclosure and internal controls that we believe provide reasonable assurance that we will be able to timely report our financial results and avoid accounting errors or material weaknesses in future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December 31, 2018, we had U.S. accumulated net operating losses, or NOLs, of approximately $47.4 million, federal and state research and development credits (“R&amp;D credits”) of $6.6 million, interest expense of $1.0 million and foreign tax credits of $4.6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result in a material loss of tax benefits. Should we experience additional ownership changes, our NOL carry forwards and tax credits may be further limited.</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 For example, in April 2018, Zhongxing Telecommunications Equipment Corporation and ZTE Kangxun Communications Ltd. (collectively “ZTE”) were added to the U.S. Department of Commerce’s Bureau of Industry and Security’s List of Denied Persons, which imposed a seven year denial of export privileges against ZTE. However, in July 2018, the denial of export privileged was suspended and ZTE was removed from the list of Denied Persons. Although ZTE is not currently one of our significant customers, such actions against customers or potential customers could adversely affect our business and results of operations.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Company. We filed our latest conflict minerals report on Form SD on May 30, 2018. We have previously determined, as 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business operations conducted in China are critical to our success. A total of $143.1 million, $122.3 million and $81.1 million or 53.6%, 32.0% and 31.1%, of our revenue in the years ended December 31, 2018, 2017 and 2016 was attributable to our product manufactured at our plant in China, respectively. Additionally, a substantial portion of our property, plant and equipment, 36.8%, 29.9% and 23.0% as of December 31, 2018, 2017 and 2016,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Furthermore, while China’s economy has experienced rapid growth in the past 20 years, growth has been uneven across different regions, among various economic sectors and over time. China has also in the past and may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could result in substantial costs and divert our management’s attention from other business concerns, which could seriously harm our business.</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5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385" w:lineRule="exact"/>
        <w:rPr>
          <w:sz w:val="20"/>
          <w:szCs w:val="20"/>
          <w:color w:val="auto"/>
        </w:rPr>
      </w:pPr>
    </w:p>
    <w:p>
      <w:pPr>
        <w:jc w:val="center"/>
        <w:ind w:right="6380"/>
        <w:spacing w:after="0"/>
        <w:tabs>
          <w:tab w:leader="none" w:pos="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Owned or Lease</w:t>
            </w: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Approximate</w:t>
            </w:r>
          </w:p>
        </w:tc>
        <w:tc>
          <w:tcPr>
            <w:tcW w:w="160" w:type="dxa"/>
            <w:vAlign w:val="bottom"/>
          </w:tcPr>
          <w:p>
            <w:pPr>
              <w:spacing w:after="0"/>
              <w:rPr>
                <w:sz w:val="14"/>
                <w:szCs w:val="14"/>
                <w:color w:val="auto"/>
              </w:rPr>
            </w:pPr>
          </w:p>
        </w:tc>
        <w:tc>
          <w:tcPr>
            <w:tcW w:w="486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Expiration Date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4"/>
              </w:rPr>
              <w:t>Square Footage</w:t>
            </w:r>
          </w:p>
        </w:tc>
        <w:tc>
          <w:tcPr>
            <w:tcW w:w="160" w:type="dxa"/>
            <w:vAlign w:val="bottom"/>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Sugar Land, Texas</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xml:space="preserve">Owned </w:t>
            </w:r>
            <w:r>
              <w:rPr>
                <w:rFonts w:ascii="Arial" w:cs="Arial" w:eastAsia="Arial" w:hAnsi="Arial"/>
                <w:sz w:val="8"/>
                <w:szCs w:val="8"/>
                <w:color w:val="auto"/>
                <w:w w:val="91"/>
              </w:rPr>
              <w:t>(1)</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139,450</w:t>
            </w:r>
          </w:p>
        </w:tc>
        <w:tc>
          <w:tcPr>
            <w:tcW w:w="16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Administration, sales, manufacturing, research and development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Duluth, Georgia</w:t>
            </w: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 xml:space="preserve">November 30, 2021 </w:t>
            </w:r>
            <w:r>
              <w:rPr>
                <w:rFonts w:ascii="Arial" w:cs="Arial" w:eastAsia="Arial" w:hAnsi="Arial"/>
                <w:sz w:val="8"/>
                <w:szCs w:val="8"/>
                <w:color w:val="auto"/>
                <w:w w:val="90"/>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2,983</w:t>
            </w: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China</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 xml:space="preserve">Owned </w:t>
            </w:r>
            <w:r>
              <w:rPr>
                <w:rFonts w:ascii="Arial" w:cs="Arial" w:eastAsia="Arial" w:hAnsi="Arial"/>
                <w:sz w:val="8"/>
                <w:szCs w:val="8"/>
                <w:color w:val="auto"/>
                <w:w w:val="91"/>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458,849</w:t>
            </w: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Administration, sales, manufacturing, research and development</w:t>
            </w:r>
          </w:p>
        </w:tc>
        <w:tc>
          <w:tcPr>
            <w:tcW w:w="0" w:type="dxa"/>
            <w:vAlign w:val="bottom"/>
          </w:tcPr>
          <w:p>
            <w:pPr>
              <w:spacing w:after="0"/>
              <w:rPr>
                <w:sz w:val="1"/>
                <w:szCs w:val="1"/>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Taipei, Taiwan</w:t>
            </w: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 xml:space="preserve">May 31, 2029 </w:t>
            </w:r>
            <w:r>
              <w:rPr>
                <w:rFonts w:ascii="Arial" w:cs="Arial" w:eastAsia="Arial" w:hAnsi="Arial"/>
                <w:sz w:val="8"/>
                <w:szCs w:val="8"/>
                <w:color w:val="auto"/>
                <w:w w:val="92"/>
              </w:rPr>
              <w:t>(4)</w:t>
            </w:r>
          </w:p>
        </w:tc>
        <w:tc>
          <w:tcPr>
            <w:tcW w:w="1080" w:type="dxa"/>
            <w:vAlign w:val="bottom"/>
          </w:tcPr>
          <w:p>
            <w:pPr>
              <w:jc w:val="right"/>
              <w:spacing w:after="0"/>
              <w:rPr>
                <w:sz w:val="20"/>
                <w:szCs w:val="20"/>
                <w:color w:val="auto"/>
              </w:rPr>
            </w:pPr>
            <w:r>
              <w:rPr>
                <w:rFonts w:ascii="Arial" w:cs="Arial" w:eastAsia="Arial" w:hAnsi="Arial"/>
                <w:sz w:val="18"/>
                <w:szCs w:val="18"/>
                <w:color w:val="auto"/>
              </w:rPr>
              <w:t>268,797</w:t>
            </w:r>
          </w:p>
        </w:tc>
        <w:tc>
          <w:tcPr>
            <w:tcW w:w="5020" w:type="dxa"/>
            <w:vAlign w:val="bottom"/>
            <w:gridSpan w:val="3"/>
          </w:tcPr>
          <w:p>
            <w:pPr>
              <w:ind w:left="160"/>
              <w:spacing w:after="0"/>
              <w:rPr>
                <w:sz w:val="20"/>
                <w:szCs w:val="20"/>
                <w:color w:val="auto"/>
              </w:rPr>
            </w:pPr>
            <w:r>
              <w:rPr>
                <w:rFonts w:ascii="Arial" w:cs="Arial" w:eastAsia="Arial" w:hAnsi="Arial"/>
                <w:sz w:val="18"/>
                <w:szCs w:val="18"/>
                <w:color w:val="auto"/>
                <w:w w:val="94"/>
              </w:rPr>
              <w:t>Administration, sales, manufacturing, research and development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right="780" w:hanging="317"/>
        <w:spacing w:after="0" w:line="27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manufacture laser chips (utilizing our MBE and MOCVD process), subassemblies and components in our Sugar Land, Texas facility.</w:t>
      </w:r>
    </w:p>
    <w:p>
      <w:pPr>
        <w:spacing w:after="0" w:line="170"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covering the Georgia office commenced on December 1, 2015 and expires on November 30, 2021.</w:t>
      </w:r>
    </w:p>
    <w:p>
      <w:pPr>
        <w:spacing w:after="0" w:line="225" w:lineRule="exact"/>
        <w:rPr>
          <w:rFonts w:ascii="Arial" w:cs="Arial" w:eastAsia="Arial" w:hAnsi="Arial"/>
          <w:sz w:val="18"/>
          <w:szCs w:val="18"/>
          <w:color w:val="auto"/>
        </w:rPr>
      </w:pPr>
    </w:p>
    <w:p>
      <w:pPr>
        <w:ind w:left="320" w:right="440" w:hanging="317"/>
        <w:spacing w:after="0" w:line="271"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our China facility, we manufacture certain more labor intensive components and optical equipment systems, such as optical subassemblies and transceivers for the internet data center market, CATV transmitters (at the headend) and CATV outdoor equipment (at the node).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We have begun construction on a new manufacturing facility on the second real property. The land use rights for the second real property expire on December 28, 2067.</w:t>
      </w:r>
    </w:p>
    <w:p>
      <w:pPr>
        <w:spacing w:after="0" w:line="178" w:lineRule="exact"/>
        <w:rPr>
          <w:rFonts w:ascii="Arial" w:cs="Arial" w:eastAsia="Arial" w:hAnsi="Arial"/>
          <w:sz w:val="17"/>
          <w:szCs w:val="17"/>
          <w:color w:val="auto"/>
        </w:rPr>
      </w:pPr>
    </w:p>
    <w:p>
      <w:pPr>
        <w:ind w:left="320" w:right="520" w:hanging="317"/>
        <w:spacing w:after="0" w:line="25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Our Taiwan subsidiary relocated its entire operation to this facility in November 2014. The lease covering the new facility commenced on June 1, 2014 and expires on May 31, 2029.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460"/>
          </w:cols>
          <w:pgMar w:left="1420" w:top="125" w:right="10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2017, a lawsuit was filed in the U.S. District Court for the Southern District of Texas against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Company and two of our officers in </w:t>
      </w:r>
      <w:r>
        <w:rPr>
          <w:rFonts w:ascii="Arial" w:cs="Arial" w:eastAsia="Arial" w:hAnsi="Arial"/>
          <w:sz w:val="17"/>
          <w:szCs w:val="17"/>
          <w:i w:val="1"/>
          <w:iCs w:val="1"/>
          <w:color w:val="auto"/>
        </w:rPr>
        <w:t>Mona Abouzied v. Applied Optoelectronics, Inc., Chih-Hsiang (Thompson) Lin,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alleging violations of Sections 10(b) and 20(a) of the Exchange Act against us, our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chief financial officer, arising out of our announcement on August 3, 2017 that “we see softer than expected demand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40G solutions with one of our large customers that will offset the sequential growth and increased demand we expect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100G.” The complaint requests unspecified damages and other relief. We dispute the allegations set forth in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complaint and are vigorously contesting the matter. The briefing on our motion to dismiss the complaint was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21, 2018, and the motion is still pending.</w:t>
      </w:r>
    </w:p>
    <w:p>
      <w:pPr>
        <w:spacing w:after="0" w:line="21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On August 7, 2018, a derivative lawsuit was filed in the United States District Court for the Southern District of Texas styled </w:t>
      </w:r>
      <w:r>
        <w:rPr>
          <w:rFonts w:ascii="Arial" w:cs="Arial" w:eastAsia="Arial" w:hAnsi="Arial"/>
          <w:sz w:val="17"/>
          <w:szCs w:val="17"/>
          <w:i w:val="1"/>
          <w:iCs w:val="1"/>
          <w:color w:val="auto"/>
        </w:rPr>
        <w:t>Lei Jin, derivatively on behalf of Applied Optoelectronics, Inc. v. Chih-Hsiang (“Thompson”) Lin, Stefan J.</w:t>
      </w:r>
      <w:r>
        <w:rPr>
          <w:rFonts w:ascii="Arial" w:cs="Arial" w:eastAsia="Arial" w:hAnsi="Arial"/>
          <w:sz w:val="17"/>
          <w:szCs w:val="17"/>
          <w:color w:val="auto"/>
        </w:rPr>
        <w:t xml:space="preserve"> </w:t>
      </w:r>
      <w:r>
        <w:rPr>
          <w:rFonts w:ascii="Arial" w:cs="Arial" w:eastAsia="Arial" w:hAnsi="Arial"/>
          <w:sz w:val="17"/>
          <w:szCs w:val="17"/>
          <w:i w:val="1"/>
          <w:iCs w:val="1"/>
          <w:color w:val="auto"/>
        </w:rPr>
        <w:t>Murry, William H. Yeh, Alex Ignatiev, Richard B. Black, Min-Chu Chen, Alan Moore, and Che-Wei Lin and Applied Optoelectronics, Inc.</w:t>
      </w:r>
      <w:r>
        <w:rPr>
          <w:rFonts w:ascii="Arial" w:cs="Arial" w:eastAsia="Arial" w:hAnsi="Arial"/>
          <w:sz w:val="17"/>
          <w:szCs w:val="17"/>
          <w:color w:val="auto"/>
        </w:rPr>
        <w:t>, No. 4:18-cv-02713 alleging breaches of fiduciary duties, unjust enrichment, and violations of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14(a) of the Exchange Act based on similar factual allegations as in the </w:t>
      </w:r>
      <w:r>
        <w:rPr>
          <w:rFonts w:ascii="Arial" w:cs="Arial" w:eastAsia="Arial" w:hAnsi="Arial"/>
          <w:sz w:val="17"/>
          <w:szCs w:val="17"/>
          <w:i w:val="1"/>
          <w:iCs w:val="1"/>
          <w:color w:val="auto"/>
        </w:rPr>
        <w:t>Abouzied</w:t>
      </w:r>
      <w:r>
        <w:rPr>
          <w:rFonts w:ascii="Arial" w:cs="Arial" w:eastAsia="Arial" w:hAnsi="Arial"/>
          <w:sz w:val="17"/>
          <w:szCs w:val="17"/>
          <w:color w:val="auto"/>
        </w:rPr>
        <w:t xml:space="preserve"> Securities Class Action. On December 18, 2018, a second derivative complaint was filed styled </w:t>
      </w:r>
      <w:r>
        <w:rPr>
          <w:rFonts w:ascii="Arial" w:cs="Arial" w:eastAsia="Arial" w:hAnsi="Arial"/>
          <w:sz w:val="17"/>
          <w:szCs w:val="17"/>
          <w:i w:val="1"/>
          <w:iCs w:val="1"/>
          <w:color w:val="auto"/>
        </w:rPr>
        <w:t>Yiu Kwong Ng v. Chih-Hsiang (“Thompson”) Lin, Stefan J. Murry,</w:t>
      </w:r>
      <w:r>
        <w:rPr>
          <w:rFonts w:ascii="Arial" w:cs="Arial" w:eastAsia="Arial" w:hAnsi="Arial"/>
          <w:sz w:val="17"/>
          <w:szCs w:val="17"/>
          <w:color w:val="auto"/>
        </w:rPr>
        <w:t xml:space="preserve"> </w:t>
      </w:r>
      <w:r>
        <w:rPr>
          <w:rFonts w:ascii="Arial" w:cs="Arial" w:eastAsia="Arial" w:hAnsi="Arial"/>
          <w:sz w:val="17"/>
          <w:szCs w:val="17"/>
          <w:i w:val="1"/>
          <w:iCs w:val="1"/>
          <w:color w:val="auto"/>
        </w:rPr>
        <w:t>William H. Yeh, Alex Ignatiev, Richard B. Black, Min-Chu Chen, Alan Moore, and Che-Wei Lin and Applied Optoelectronics, Inc.</w:t>
      </w:r>
      <w:r>
        <w:rPr>
          <w:rFonts w:ascii="Arial" w:cs="Arial" w:eastAsia="Arial" w:hAnsi="Arial"/>
          <w:sz w:val="17"/>
          <w:szCs w:val="17"/>
          <w:color w:val="auto"/>
        </w:rPr>
        <w:t>, No. 4:18-cv-4751 alleging the same causes of actions as the</w:t>
      </w:r>
      <w:r>
        <w:rPr>
          <w:rFonts w:ascii="Arial" w:cs="Arial" w:eastAsia="Arial" w:hAnsi="Arial"/>
          <w:sz w:val="17"/>
          <w:szCs w:val="17"/>
          <w:i w:val="1"/>
          <w:iCs w:val="1"/>
          <w:color w:val="auto"/>
        </w:rPr>
        <w:t xml:space="preserve"> Jin </w:t>
      </w:r>
      <w:r>
        <w:rPr>
          <w:rFonts w:ascii="Arial" w:cs="Arial" w:eastAsia="Arial" w:hAnsi="Arial"/>
          <w:sz w:val="17"/>
          <w:szCs w:val="17"/>
          <w:color w:val="auto"/>
        </w:rPr>
        <w:t>complaint and additional factual allegations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outcome of the motion to dismiss in the </w:t>
      </w:r>
      <w:r>
        <w:rPr>
          <w:rFonts w:ascii="Arial" w:cs="Arial" w:eastAsia="Arial" w:hAnsi="Arial"/>
          <w:sz w:val="17"/>
          <w:szCs w:val="17"/>
          <w:i w:val="1"/>
          <w:iCs w:val="1"/>
          <w:color w:val="auto"/>
        </w:rPr>
        <w:t>Abouzied</w:t>
      </w:r>
      <w:r>
        <w:rPr>
          <w:rFonts w:ascii="Arial" w:cs="Arial" w:eastAsia="Arial" w:hAnsi="Arial"/>
          <w:sz w:val="17"/>
          <w:szCs w:val="17"/>
          <w:color w:val="auto"/>
        </w:rPr>
        <w:t xml:space="preserve"> Securities Class action and the forthcoming motion to dismiss in the </w:t>
      </w:r>
      <w:r>
        <w:rPr>
          <w:rFonts w:ascii="Arial" w:cs="Arial" w:eastAsia="Arial" w:hAnsi="Arial"/>
          <w:sz w:val="17"/>
          <w:szCs w:val="17"/>
          <w:i w:val="1"/>
          <w:iCs w:val="1"/>
          <w:color w:val="auto"/>
        </w:rPr>
        <w:t>Taneja</w:t>
      </w:r>
      <w:r>
        <w:rPr>
          <w:rFonts w:ascii="Arial" w:cs="Arial" w:eastAsia="Arial" w:hAnsi="Arial"/>
          <w:sz w:val="17"/>
          <w:szCs w:val="17"/>
          <w:color w:val="auto"/>
        </w:rPr>
        <w:t xml:space="preserve"> Securities Class Action, described in the following paragraph. The complaint requests unspecified damages and other relief. We dispute the allegations and intend to vigorously contest the matter if and when the stay is lifted.</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October 1, 2018, a securities class action was filed in the United States District Court for the Southern District of Texas styled </w:t>
      </w:r>
      <w:r>
        <w:rPr>
          <w:rFonts w:ascii="Arial" w:cs="Arial" w:eastAsia="Arial" w:hAnsi="Arial"/>
          <w:sz w:val="17"/>
          <w:szCs w:val="17"/>
          <w:i w:val="1"/>
          <w:iCs w:val="1"/>
          <w:color w:val="auto"/>
        </w:rPr>
        <w:t>Gaurav Taneja v. Applied Optoelectronics, Inc., Thompson Lin, and Stefan Murry</w:t>
      </w:r>
      <w:r>
        <w:rPr>
          <w:rFonts w:ascii="Arial" w:cs="Arial" w:eastAsia="Arial" w:hAnsi="Arial"/>
          <w:sz w:val="17"/>
          <w:szCs w:val="17"/>
          <w:color w:val="auto"/>
        </w:rPr>
        <w:t xml:space="preserve">, Case No. 4:18-cv-3544. The complaint in this matter seeks class action status on behalf of our shareholders, alleging violations of Sections 10(b) and 20(a) of the Exchange Act against us, our chief executive officer, and our chief financial officer, arising out of our announcement on September 28, 2018 that we had “identified an issue with a small percentage of 25G lasers within a specific customer environment.” The original complaint requests unspecified damages and other relief. We dispute the allegations set forth in the original complaint and intend to vigorously contest the matter. The case has been consolidated with two identical complaints that were subsequently filed on October 10, 2018 and October 18, 2018, styled </w:t>
      </w:r>
      <w:r>
        <w:rPr>
          <w:rFonts w:ascii="Arial" w:cs="Arial" w:eastAsia="Arial" w:hAnsi="Arial"/>
          <w:sz w:val="17"/>
          <w:szCs w:val="17"/>
          <w:i w:val="1"/>
          <w:iCs w:val="1"/>
          <w:color w:val="auto"/>
        </w:rPr>
        <w:t>Davin Pokoik v. Applied</w:t>
      </w:r>
      <w:r>
        <w:rPr>
          <w:rFonts w:ascii="Arial" w:cs="Arial" w:eastAsia="Arial" w:hAnsi="Arial"/>
          <w:sz w:val="17"/>
          <w:szCs w:val="17"/>
          <w:color w:val="auto"/>
        </w:rPr>
        <w:t xml:space="preserve"> </w:t>
      </w:r>
      <w:r>
        <w:rPr>
          <w:rFonts w:ascii="Arial" w:cs="Arial" w:eastAsia="Arial" w:hAnsi="Arial"/>
          <w:sz w:val="17"/>
          <w:szCs w:val="17"/>
          <w:i w:val="1"/>
          <w:iCs w:val="1"/>
          <w:color w:val="auto"/>
        </w:rPr>
        <w:t>Optoelectronics, Inc., Chih-Hsiang Lin, and Stefan J. Murry</w:t>
      </w:r>
      <w:r>
        <w:rPr>
          <w:rFonts w:ascii="Arial" w:cs="Arial" w:eastAsia="Arial" w:hAnsi="Arial"/>
          <w:sz w:val="17"/>
          <w:szCs w:val="17"/>
          <w:color w:val="auto"/>
        </w:rPr>
        <w:t>, Case No. 4:18-cv-3722 and</w:t>
      </w:r>
      <w:r>
        <w:rPr>
          <w:rFonts w:ascii="Arial" w:cs="Arial" w:eastAsia="Arial" w:hAnsi="Arial"/>
          <w:sz w:val="17"/>
          <w:szCs w:val="17"/>
          <w:i w:val="1"/>
          <w:iCs w:val="1"/>
          <w:color w:val="auto"/>
        </w:rPr>
        <w:t xml:space="preserve"> Stephen McGrath v. Applied Optoelectronics, Inc., Chih-Hsiang Lin, and Stefan J. Murry</w:t>
      </w:r>
      <w:r>
        <w:rPr>
          <w:rFonts w:ascii="Arial" w:cs="Arial" w:eastAsia="Arial" w:hAnsi="Arial"/>
          <w:sz w:val="17"/>
          <w:szCs w:val="17"/>
          <w:color w:val="auto"/>
        </w:rPr>
        <w:t>, respectively. The three cases were consolidated on January 4,</w:t>
      </w:r>
      <w:r>
        <w:rPr>
          <w:rFonts w:ascii="Arial" w:cs="Arial" w:eastAsia="Arial" w:hAnsi="Arial"/>
          <w:sz w:val="17"/>
          <w:szCs w:val="17"/>
          <w:i w:val="1"/>
          <w:iCs w:val="1"/>
          <w:color w:val="auto"/>
        </w:rPr>
        <w:t xml:space="preserve"> </w:t>
      </w:r>
      <w:r>
        <w:rPr>
          <w:rFonts w:ascii="Arial" w:cs="Arial" w:eastAsia="Arial" w:hAnsi="Arial"/>
          <w:sz w:val="17"/>
          <w:szCs w:val="17"/>
          <w:color w:val="auto"/>
        </w:rPr>
        <w:t>2019, and Mark Naglich was appointed Lead Plaintiff on that same date. The original complaint requests unspecified damages and other relief. We dispute the allegations in the complaint and intend to vigorously contest the matter. The deadline for Lead Plaintiff to file a consolidated amended complaint is March 5, 2019, and the deadline for our motion to dismiss is sixty days after the consolidated amended complaint is filed.</w:t>
      </w:r>
    </w:p>
    <w:p>
      <w:pPr>
        <w:spacing w:after="0" w:line="18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40" w:right="22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February 20, 2019 there were 37 holders of record of our common stock (not including beneficial holders of our common stock holding in street name). The following table sets forth, for the periods indicated, the high and low sales prices of our common stock as reported by the NASDAQ Global Market.</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2017:</w:t>
            </w:r>
          </w:p>
        </w:tc>
        <w:tc>
          <w:tcPr>
            <w:tcW w:w="2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First Quarter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$ 21.88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Third Quarter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$ 55.13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$ 36.70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2018:</w:t>
            </w:r>
          </w:p>
        </w:tc>
        <w:tc>
          <w:tcPr>
            <w:tcW w:w="2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First Quarter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$ 23.65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Third Quarter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$ 24.66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121920</wp:posOffset>
            </wp:positionV>
            <wp:extent cx="4502150" cy="3070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0215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PERCENT CHANGE</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1640" w:type="dxa"/>
            <w:vAlign w:val="bottom"/>
            <w:tcBorders>
              <w:top w:val="single" w:sz="8" w:color="auto"/>
            </w:tcBorders>
            <w:gridSpan w:val="2"/>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2000" w:type="dxa"/>
            <w:vAlign w:val="bottom"/>
            <w:tcBorders>
              <w:top w:val="single" w:sz="8" w:color="auto"/>
            </w:tcBorders>
            <w:gridSpan w:val="2"/>
            <w:vMerge w:val="restart"/>
          </w:tcPr>
          <w:p>
            <w:pPr>
              <w:jc w:val="right"/>
              <w:ind w:right="1070"/>
              <w:spacing w:after="0"/>
              <w:rPr>
                <w:sz w:val="20"/>
                <w:szCs w:val="20"/>
                <w:color w:val="auto"/>
              </w:rPr>
            </w:pPr>
            <w:r>
              <w:rPr>
                <w:rFonts w:ascii="Arial" w:cs="Arial" w:eastAsia="Arial" w:hAnsi="Arial"/>
                <w:sz w:val="14"/>
                <w:szCs w:val="14"/>
                <w:b w:val="1"/>
                <w:bCs w:val="1"/>
                <w:color w:val="auto"/>
              </w:rPr>
              <w:t>AAOI</w:t>
            </w:r>
          </w:p>
        </w:tc>
        <w:tc>
          <w:tcPr>
            <w:tcW w:w="1980" w:type="dxa"/>
            <w:vAlign w:val="bottom"/>
            <w:tcBorders>
              <w:top w:val="single" w:sz="8" w:color="auto"/>
            </w:tcBorders>
            <w:gridSpan w:val="2"/>
          </w:tcPr>
          <w:p>
            <w:pPr>
              <w:jc w:val="right"/>
              <w:ind w:right="970"/>
              <w:spacing w:after="0" w:line="119" w:lineRule="exact"/>
              <w:rPr>
                <w:sz w:val="20"/>
                <w:szCs w:val="20"/>
                <w:color w:val="auto"/>
              </w:rPr>
            </w:pPr>
            <w:r>
              <w:rPr>
                <w:rFonts w:ascii="Arial" w:cs="Arial" w:eastAsia="Arial" w:hAnsi="Arial"/>
                <w:sz w:val="13"/>
                <w:szCs w:val="13"/>
                <w:b w:val="1"/>
                <w:bCs w:val="1"/>
                <w:color w:val="auto"/>
              </w:rPr>
              <w:t>NASDAQ</w:t>
            </w:r>
          </w:p>
        </w:tc>
        <w:tc>
          <w:tcPr>
            <w:tcW w:w="126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NASDAQ</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980" w:type="dxa"/>
            <w:vAlign w:val="bottom"/>
            <w:gridSpan w:val="2"/>
          </w:tcPr>
          <w:p>
            <w:pPr>
              <w:jc w:val="right"/>
              <w:ind w:right="1010"/>
              <w:spacing w:after="0"/>
              <w:rPr>
                <w:sz w:val="20"/>
                <w:szCs w:val="20"/>
                <w:color w:val="auto"/>
              </w:rPr>
            </w:pPr>
            <w:r>
              <w:rPr>
                <w:rFonts w:ascii="Arial" w:cs="Arial" w:eastAsia="Arial" w:hAnsi="Arial"/>
                <w:sz w:val="14"/>
                <w:szCs w:val="14"/>
                <w:b w:val="1"/>
                <w:bCs w:val="1"/>
                <w:color w:val="auto"/>
              </w:rPr>
              <w:t>Telecom</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9/26/2013</w:t>
            </w:r>
          </w:p>
        </w:tc>
        <w:tc>
          <w:tcPr>
            <w:tcW w:w="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36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150.70 %</w:t>
            </w:r>
          </w:p>
        </w:tc>
        <w:tc>
          <w:tcPr>
            <w:tcW w:w="1980" w:type="dxa"/>
            <w:vAlign w:val="bottom"/>
            <w:gridSpan w:val="2"/>
          </w:tcPr>
          <w:p>
            <w:pPr>
              <w:jc w:val="right"/>
              <w:ind w:right="470"/>
              <w:spacing w:after="0"/>
              <w:rPr>
                <w:sz w:val="20"/>
                <w:szCs w:val="20"/>
                <w:color w:val="auto"/>
              </w:rPr>
            </w:pPr>
            <w:r>
              <w:rPr>
                <w:rFonts w:ascii="Arial" w:cs="Arial" w:eastAsia="Arial" w:hAnsi="Arial"/>
                <w:sz w:val="18"/>
                <w:szCs w:val="18"/>
                <w:color w:val="auto"/>
              </w:rPr>
              <w:t>102.48 %</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110.28 %</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112.65 %</w:t>
            </w:r>
          </w:p>
        </w:tc>
        <w:tc>
          <w:tcPr>
            <w:tcW w:w="19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111.61 %</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125.05 %</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36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172.29 %</w:t>
            </w:r>
          </w:p>
        </w:tc>
        <w:tc>
          <w:tcPr>
            <w:tcW w:w="1980" w:type="dxa"/>
            <w:vAlign w:val="bottom"/>
            <w:gridSpan w:val="2"/>
          </w:tcPr>
          <w:p>
            <w:pPr>
              <w:jc w:val="right"/>
              <w:ind w:right="470"/>
              <w:spacing w:after="0"/>
              <w:rPr>
                <w:sz w:val="20"/>
                <w:szCs w:val="20"/>
                <w:color w:val="auto"/>
              </w:rPr>
            </w:pPr>
            <w:r>
              <w:rPr>
                <w:rFonts w:ascii="Arial" w:cs="Arial" w:eastAsia="Arial" w:hAnsi="Arial"/>
                <w:sz w:val="18"/>
                <w:szCs w:val="18"/>
                <w:color w:val="auto"/>
              </w:rPr>
              <w:t>103.25 %</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132.21 %</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235.34 %</w:t>
            </w:r>
          </w:p>
        </w:tc>
        <w:tc>
          <w:tcPr>
            <w:tcW w:w="19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118.59 %</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142.13 %</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12/29/2017</w:t>
            </w:r>
          </w:p>
        </w:tc>
        <w:tc>
          <w:tcPr>
            <w:tcW w:w="360" w:type="dxa"/>
            <w:vAlign w:val="bottom"/>
          </w:tcPr>
          <w:p>
            <w:pPr>
              <w:spacing w:after="0"/>
              <w:rPr>
                <w:sz w:val="18"/>
                <w:szCs w:val="18"/>
                <w:color w:val="auto"/>
              </w:rPr>
            </w:pPr>
          </w:p>
        </w:tc>
        <w:tc>
          <w:tcPr>
            <w:tcW w:w="2000" w:type="dxa"/>
            <w:vAlign w:val="bottom"/>
            <w:gridSpan w:val="2"/>
          </w:tcPr>
          <w:p>
            <w:pPr>
              <w:jc w:val="right"/>
              <w:ind w:right="470"/>
              <w:spacing w:after="0"/>
              <w:rPr>
                <w:sz w:val="20"/>
                <w:szCs w:val="20"/>
                <w:color w:val="auto"/>
              </w:rPr>
            </w:pPr>
            <w:r>
              <w:rPr>
                <w:rFonts w:ascii="Arial" w:cs="Arial" w:eastAsia="Arial" w:hAnsi="Arial"/>
                <w:sz w:val="18"/>
                <w:szCs w:val="18"/>
                <w:color w:val="auto"/>
              </w:rPr>
              <w:t>379.72 %</w:t>
            </w:r>
          </w:p>
        </w:tc>
        <w:tc>
          <w:tcPr>
            <w:tcW w:w="1980" w:type="dxa"/>
            <w:vAlign w:val="bottom"/>
            <w:gridSpan w:val="2"/>
          </w:tcPr>
          <w:p>
            <w:pPr>
              <w:jc w:val="right"/>
              <w:ind w:right="470"/>
              <w:spacing w:after="0"/>
              <w:rPr>
                <w:sz w:val="20"/>
                <w:szCs w:val="20"/>
                <w:color w:val="auto"/>
              </w:rPr>
            </w:pPr>
            <w:r>
              <w:rPr>
                <w:rFonts w:ascii="Arial" w:cs="Arial" w:eastAsia="Arial" w:hAnsi="Arial"/>
                <w:sz w:val="18"/>
                <w:szCs w:val="18"/>
                <w:color w:val="auto"/>
              </w:rPr>
              <w:t>139.28 %</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182.27 %</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251.61 %</w:t>
            </w:r>
          </w:p>
        </w:tc>
        <w:tc>
          <w:tcPr>
            <w:tcW w:w="19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146.03 %</w:t>
            </w:r>
          </w:p>
        </w:tc>
        <w:tc>
          <w:tcPr>
            <w:tcW w:w="1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186.50 %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2018, 2017 and 2016 and the consolidated balance sheet data as of December 31, 2018 and 2017 from our consolidated financial statements appearing elsewhere in this Annual Report on Form 10-K. The consolidated statement of operations data for the years ended December 31, 2015 and 2014 and the consolidated balance sheet data as of December 31, 2016, 2015 and 2014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our consolidated results of operations for the periods presented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2"/>
              </w:rPr>
              <w:t>Consolidated Statements of Operations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267,465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382,329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260,713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189,903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8"/>
                <w:szCs w:val="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8"/>
                <w:szCs w:val="8"/>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Interest and 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tcBorders>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interest and other income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84,526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5"/>
              </w:rPr>
              <w:t>Net income (loss) attributable to common</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gridSpan w:val="2"/>
            <w:vMerge w:val="continue"/>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(2,146)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73,951</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31,234</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10,793</w:t>
            </w: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16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2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Net income (loss) per share attributable to</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spacing w:after="0" w:line="176" w:lineRule="exact"/>
              <w:rPr>
                <w:sz w:val="20"/>
                <w:szCs w:val="20"/>
                <w:color w:val="auto"/>
              </w:rPr>
            </w:pPr>
            <w:r>
              <w:rPr>
                <w:rFonts w:ascii="Arial" w:cs="Arial" w:eastAsia="Arial" w:hAnsi="Arial"/>
                <w:sz w:val="18"/>
                <w:szCs w:val="18"/>
                <w:color w:val="auto"/>
                <w:w w:val="91"/>
              </w:rPr>
              <w:t>Weighted average shares used to compute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4"/>
              </w:rPr>
              <w:t>net income (loss) per share attributable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common stockholders: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19,646,646</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19,097,355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17,201,731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15,626,753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14,307,477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19,646,646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20,139,105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17,712,928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16,532,850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15,186,961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120" w:hanging="317"/>
        <w:spacing w:after="0" w:line="25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awards and was included in cost of goods sold and operating expenses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share-based compensation expense for the periods presented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2,695</w:t>
            </w:r>
          </w:p>
        </w:tc>
        <w:tc>
          <w:tcPr>
            <w:tcW w:w="80" w:type="dxa"/>
            <w:vAlign w:val="bottom"/>
            <w:tcBorders>
              <w:bottom w:val="single" w:sz="8" w:color="CCEEFF"/>
            </w:tcBorders>
          </w:tcPr>
          <w:p>
            <w:pPr>
              <w:spacing w:after="0"/>
              <w:rPr>
                <w:sz w:val="18"/>
                <w:szCs w:val="18"/>
                <w:color w:val="auto"/>
              </w:rPr>
            </w:pPr>
          </w:p>
        </w:tc>
      </w:tr>
      <w:tr>
        <w:trPr>
          <w:trHeight w:val="21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11,120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7,795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3,833</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selected balance sheet data for the periods presented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9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2"/>
              </w:rPr>
              <w:t>Total cash, restricted cash, cash equivalents and short-term</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58,004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83,984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52,008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40,679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116,857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158,953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97,579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79,848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466,840</w:t>
            </w:r>
          </w:p>
        </w:tc>
        <w:tc>
          <w:tcPr>
            <w:tcW w:w="2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452,948</w:t>
            </w:r>
          </w:p>
        </w:tc>
        <w:tc>
          <w:tcPr>
            <w:tcW w:w="22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w w:val="92"/>
              </w:rPr>
              <w:t>322,318</w:t>
            </w:r>
          </w:p>
        </w:tc>
        <w:tc>
          <w:tcPr>
            <w:tcW w:w="2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273,475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183,670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Short-term obligations </w:t>
            </w:r>
            <w:r>
              <w:rPr>
                <w:rFonts w:ascii="Arial" w:cs="Arial" w:eastAsia="Arial" w:hAnsi="Arial"/>
                <w:sz w:val="8"/>
                <w:szCs w:val="8"/>
                <w:color w:val="auto"/>
              </w:rPr>
              <w:t>(2)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28,217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8,172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Long-term obligations </w:t>
            </w:r>
            <w:r>
              <w:rPr>
                <w:rFonts w:ascii="Arial" w:cs="Arial" w:eastAsia="Arial" w:hAnsi="Arial"/>
                <w:sz w:val="8"/>
                <w:szCs w:val="8"/>
                <w:color w:val="auto"/>
              </w:rPr>
              <w:t>(3)</w:t>
            </w:r>
          </w:p>
        </w:tc>
        <w:tc>
          <w:tcPr>
            <w:tcW w:w="1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60,328</w:t>
            </w:r>
          </w:p>
        </w:tc>
        <w:tc>
          <w:tcPr>
            <w:tcW w:w="2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48,964</w:t>
            </w:r>
          </w:p>
        </w:tc>
        <w:tc>
          <w:tcPr>
            <w:tcW w:w="22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34,961</w:t>
            </w:r>
          </w:p>
        </w:tc>
        <w:tc>
          <w:tcPr>
            <w:tcW w:w="2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33,997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additional paid-in-capital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292,500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285,395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265,282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233,353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 retained earnings (deficit)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35,992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38,138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(37,013)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(68,247)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(79,040)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Short-term obligations are defined as short-term loans, capital leases, notes payable and bank acceptance payable.</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obligations are defined as long-term loans, capital leases and notes payable.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leading, vertically integrated provider of fiber-optic networking products. We target four networking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markets: internet data centers, CATV, telecom and FTTH. We design and manufacture a range of optical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at varying levels of integration, from components, subassemblies and modules to complete turn-key equipment.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designing products for our customers, we begin with the fundamental building blocks of lasers and laser components.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foundational products, we design and manufacture a wide range of products to meet our customers’ needs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and such products differ from each other by their end market, intended use and level of integration.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focused on the higher-performance segments within the internet data center, CATV, telecom and FTTH markets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increasingly demand faster connectivity and innovation. Our vertically integrated manufacturing model provides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advantages, including rapid product development, fast response times to customer requests and control over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quality and manufacturing costs.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2018, 2017 and 2016, our revenue was $267.5 million, $382.3 million and $260.7 million and our gross margin was 32.8%, 43.5% and 33.4%. We have grown our annual revenue at a compound annual growth rate, or CAGR, of 30.1% between 2009 and 2018. In the years ended December 31, 2018, 2017 and 2016, we had net income (loss) of $(2.1) million, $74.0 million and $31.2 million, respectively. At December 31, 2018 and 2017, our retained earnings was $36.0 million and $38.1 million, respectively. In 2018, we earned 74.9% of our total revenue from the internet data center market, and 19.3% of our total revenue from the CATV market.</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sell our products to leading OEMs in the CATV, telecom, and FTTH markets as well as internet data center operators. In 2018, revenue from the internet data center market, CATV market, telecom market and FTTH markets provided 74.9%, 19.3%. 4.9%, and 0.3% of our revenue, respectively, compared to 80.2%, 15.9%. 3.4%, and 0.1% of our 2017 revenue, respectively. In 2018, our key customers in the data center market included, Facebook, Inc. (Facebook), Microsoft Corp (Microsoft) and Amazon.com (Amazon). In 2018, 2017, and 2016, Facebook accounted for 38.3%, 28.6% and 3.6% of our revenue, Microsoft accounted for 22.1%, 13.8%, and 18.3% of our revenue and Amazon accounted for 12.1%, 35.4%, and 54.6% of our revenue, respectively. In 2018, our key customers in the CATV market included Cisco Systems, Inc. (Cisco); a large CATV equipment company in China; and Arris Group, Inc. (Arris). In 2018, 2017 and 2016, Cisco accounted for 9.9%, 4.8%, and 5.4%, of our revenue, respectively; our large China-based customer accounted for 3.3%, 3.4%, and 1.2% of our revenue, respectively; and Arris accounted for 2.1%, 3.2% and 5.8%, of our revenue,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2018, our revenue decrease of 30.0% over the prior-year was driven primarily by decreased demand for our 40 Gbps and 100 Gbps transceivers as one of our customers reduced its demand for optical transceivers due to changes in the way it architects its network. Additionally, in the third quarter of 2018, we decreased shipments of our 100 Gbps transceiver products to one of our customers due to their concerns about failures of similar products shipped previously. We conducted extensive testing of our products with the goal of demonstrating that any potentially affected units could be nearly eliminated in future shipments. During the time that this issue was being investigated, production activity was reduced as resources were redirected to efforts to identify the root cause of any failures observed, and in order to avoid manufacturing products that could not be proven to meet acceptable quality standards. These decreases were partially offset by an increase in demand for 100 Gbps transceivers from other customers. The decrease in revenue in the CATV market for the year was a result of decreased available production capacity in our China factory associated with staff turnover related to the Lunar New Year. The increase in revenue in our telecom market was primarily attributable to increased demand for telecom products by our customers as they supply new deployments of telecom infrastructure. The increase in revenue in our FTTH market was due to the fluctuation in demand for certain older legacy products and this demand is expected to continue to fluctuate.</w:t>
      </w:r>
    </w:p>
    <w:p>
      <w:pPr>
        <w:spacing w:after="0" w:line="17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expect continued sales of our 40 Gbps and 100 Gbps products in 2019, and we expect that sales of 100 Gbps products will likely exceed sales of 40 Gbps products. However, quarter-to-quarter results may show considerable variability as is usual in a period of technology transition. Also, several of our customers have indicated more uncertainty in their demand levels in the near term, compared with previous years. This is attributed to uncertainty surrounding general economic conditions and the effect of datacenter architecture changes on transceiver demand. Similar to revenue, our gross margins can fluctuate materially depending on a variety of factors including average selling price changes, product mix, raw material cost reduction or increase, manufacturing utilization rate and changes in manufacturing efficiency.</w:t>
      </w:r>
    </w:p>
    <w:p>
      <w:pPr>
        <w:spacing w:after="0" w:line="16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6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In 2018, 2017 and 2016, we had 26, 19, and 30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result in significant orders and revenue for several months or longer after the initial design win (if at all). We do believe that over a period of years the collective impact of design wins correlates to our overall revenue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right="320" w:firstLine="648"/>
        <w:spacing w:after="0" w:line="279" w:lineRule="auto"/>
        <w:rPr>
          <w:sz w:val="20"/>
          <w:szCs w:val="20"/>
          <w:color w:val="auto"/>
        </w:rPr>
      </w:pPr>
      <w:r>
        <w:rPr>
          <w:rFonts w:ascii="Arial" w:cs="Arial" w:eastAsia="Arial" w:hAnsi="Arial"/>
          <w:sz w:val="17"/>
          <w:szCs w:val="17"/>
          <w:i w:val="1"/>
          <w:iCs w:val="1"/>
          <w:color w:val="auto"/>
        </w:rPr>
        <w:t xml:space="preserve">Increasing Consumer Demand for Bandwidth. </w:t>
      </w:r>
      <w:r>
        <w:rPr>
          <w:rFonts w:ascii="Arial" w:cs="Arial" w:eastAsia="Arial" w:hAnsi="Arial"/>
          <w:sz w:val="17"/>
          <w:szCs w:val="17"/>
          <w:color w:val="auto"/>
        </w:rPr>
        <w:t>Bandwidth demand in all of our target markets is driving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investment in new 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Pricing, Product Cost and Margins. </w:t>
      </w:r>
      <w:r>
        <w:rPr>
          <w:rFonts w:ascii="Arial" w:cs="Arial" w:eastAsia="Arial" w:hAnsi="Arial"/>
          <w:sz w:val="18"/>
          <w:szCs w:val="18"/>
          <w:color w:val="auto"/>
        </w:rPr>
        <w:t>Our products are sold in a highly competitive marketplace, and in many cases</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are only 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87" w:lineRule="exact"/>
        <w:rPr>
          <w:sz w:val="20"/>
          <w:szCs w:val="20"/>
          <w:color w:val="auto"/>
        </w:rPr>
      </w:pPr>
    </w:p>
    <w:p>
      <w:pPr>
        <w:ind w:left="1340" w:right="60" w:hanging="324"/>
        <w:spacing w:after="0" w:line="259"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86" w:lineRule="exact"/>
        <w:rPr>
          <w:rFonts w:ascii="Arial" w:cs="Arial" w:eastAsia="Arial" w:hAnsi="Arial"/>
          <w:sz w:val="18"/>
          <w:szCs w:val="18"/>
          <w:color w:val="auto"/>
        </w:rPr>
      </w:pPr>
    </w:p>
    <w:p>
      <w:pPr>
        <w:ind w:left="1340" w:hanging="324"/>
        <w:spacing w:after="0" w:line="257"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88" w:lineRule="exact"/>
        <w:rPr>
          <w:rFonts w:ascii="Arial" w:cs="Arial" w:eastAsia="Arial" w:hAnsi="Arial"/>
          <w:sz w:val="18"/>
          <w:szCs w:val="18"/>
          <w:color w:val="auto"/>
        </w:rPr>
      </w:pPr>
    </w:p>
    <w:p>
      <w:pPr>
        <w:ind w:left="1340" w:right="80" w:hanging="324"/>
        <w:spacing w:after="0" w:line="255"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Customer Concentration within End Markets. </w:t>
      </w:r>
      <w:r>
        <w:rPr>
          <w:rFonts w:ascii="Arial" w:cs="Arial" w:eastAsia="Arial" w:hAnsi="Arial"/>
          <w:sz w:val="17"/>
          <w:szCs w:val="17"/>
          <w:color w:val="auto"/>
        </w:rPr>
        <w:t>Historically, our revenue has been significantly concentrated, first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CATV market and in 2016-2018 within the internet data center market. Moreover, within these markets, revenue tends to be concentrated among a small number of customers. In the last three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In 2018 and 2017, we had three customers that each accounted for more than 10% of our revenue.</w:t>
      </w:r>
    </w:p>
    <w:p>
      <w:pPr>
        <w:spacing w:after="0" w:line="17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We invest heavily to develop new and innovative products. The majority of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 is 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2018, 2017 and 2016, as well as the corresponding percentage of our total revenue for each period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Market</w:t>
            </w:r>
          </w:p>
        </w:tc>
        <w:tc>
          <w:tcPr>
            <w:tcW w:w="25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33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Data Center</w:t>
            </w:r>
          </w:p>
        </w:tc>
        <w:tc>
          <w:tcPr>
            <w:tcW w:w="2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$ 200,236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$ 306,712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$ 201,314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CATV</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51,699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FTTH</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$ 267,465</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$ 382,329</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$ 260,713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Percentage of Revenue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80.2 %</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CATV</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16.7 %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FTTH</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4"/>
        </w:trPr>
        <w:tc>
          <w:tcPr>
            <w:tcW w:w="60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2018, 2017 and 2016, our top ten customers represented 92.9%, 94.9% and 95.5% of our revenue, respectively.</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2018, 53.6% of our total revenue was manufactured at our China-based subsidiary, with $10.1 million denominated in RMB and 42.5% of our total revenue was from products manufactured at our Taiwan-based facility with no revenue denominated in NT dollars. We expect a similar portion of our sales to be denominated in foreign currencies in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manufacture products in three of our four facilities located in the U.S., Taiwan and China. Generally, laser chips and optical components are manufactured in our Sugar Land facility, optical components and subassemblies are manufactured in our Taiwan facility, and optical components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32.8% and 43.5%,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648"/>
        <w:spacing w:after="0" w:line="340" w:lineRule="auto"/>
        <w:rPr>
          <w:sz w:val="20"/>
          <w:szCs w:val="20"/>
          <w:color w:val="auto"/>
        </w:rPr>
      </w:pPr>
      <w:r>
        <w:rPr>
          <w:rFonts w:ascii="Arial" w:cs="Arial" w:eastAsia="Arial" w:hAnsi="Arial"/>
          <w:sz w:val="15"/>
          <w:szCs w:val="15"/>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3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As our product portfolio has become broader and as we have placed increasing emphasis on diversifying our customer base, our R&amp;D expenses have risen more quickly than in the past. In the future, we expect research and development expense to increase on a dollar basis, and will likely increase as a percentage of our revenue until revenue from the products developed as a result of this increased R&amp;D investment begin to be recognized, then thereafter we expect R&amp;D expense to decrease as a percentage of our revenue.</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our sales and 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2018, 2017 and 2016. Additionally, we pay commissions to third parties on certain product lines and identified customers, which also amounted to less than one percent of our revenue in 2018, 2017 and 2016.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8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the Sarbanes-Oxley Act and the rules 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2018 our effective tax rate was 78.1%. In 2017 and 2016, our effective tax rate was 12.5% and (48.7%), respectively. Our effective U.S. federal income tax rate was 0% prior to 2016 as we incurred operating losses and had recorded a full valuation allowance against those losses, which was released in July 2016.</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and 2014 Global Technology, Inc. renewed its national high-tech enterprise certificate and therefore extended its three year tax preferential status through September 2017. In November 2017, Global Technology, Inc. again renewed its national high-tech enterprise certificate and therefore extended its three year tax preferential status from November 2017 until November 2020.</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For the years ended December 31, 2018 and 2017, we had $0.2 million and $0.2 million, respectively, of unrecognized tax benefits related to U.S. tax benefits recognized for which we do not meet the more likely than not threshold.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believe that the demand for our CATV products is seasonal. Historically, revenue derived from our CATV products has usually been highest in the second or third quarter and lowest in the first quarter of each year. The first quarter of the year has historically been negatively affected by reduced economic activity due to the Chinese New Year holiday and the lower level of deployment of outdoor CATV equipment in cold weather environments.</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uncertain whether the demand for our internet data center, telecom and FTTH products is seasonal, as our sales data does not indicate a significant trend with respect to these products. In 2017, we began to manufacture a meaningful quantity of internet data center products in our Ningbo, China factory.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2018, 2017, and 2016, the percentage of employees in our China factory who resigned or were terminated during Q1, relative to the average number of employees during the quarter was 90%, 42%, and 51%, respectively. As a result of this employee turnover, we must hire and train replacement employees. These replacement employees require a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of training and improvement, and this impacts the quantity of products we can produce in the quarter. The combined effect of the factory shut-down and employee turnover in the quarter may also contribute to negative seasonality in Q1.</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880" w:type="dxa"/>
            <w:vAlign w:val="bottom"/>
            <w:gridSpan w:val="6"/>
          </w:tcPr>
          <w:p>
            <w:pPr>
              <w:jc w:val="right"/>
              <w:ind w:right="79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67.2 %</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56.5 %</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6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18.6 %</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9.2 %</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3.4 %</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2.3 %</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14.8 %</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9.2 %</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22.7 %</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0.4 %</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2.8 %</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7"/>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2018 and 2017 (in thousands, except percentages):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00" w:type="dxa"/>
            <w:vAlign w:val="bottom"/>
            <w:vMerge w:val="restart"/>
          </w:tcPr>
          <w:p>
            <w:pPr>
              <w:spacing w:after="0"/>
              <w:rPr>
                <w:sz w:val="10"/>
                <w:szCs w:val="10"/>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62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vMerge w:val="restart"/>
          </w:tcPr>
          <w:p>
            <w:pPr>
              <w:spacing w:after="0"/>
              <w:rPr>
                <w:sz w:val="10"/>
                <w:szCs w:val="10"/>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6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rPr>
                <w:sz w:val="10"/>
                <w:szCs w:val="10"/>
                <w:color w:val="auto"/>
              </w:rPr>
            </w:pPr>
          </w:p>
        </w:tc>
        <w:tc>
          <w:tcPr>
            <w:tcW w:w="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$ 200,236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$ 306,712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(106,476)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CATV</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51,699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(14.9)%</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FTTH</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7"/>
        </w:trPr>
        <w:tc>
          <w:tcPr>
            <w:tcW w:w="16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$ 267,465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$ 382,329</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(114,864)</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decrease in revenue for the year was driven primarily by decreased demand for our 40 Gbps and 100 Gbps transceivers as one of our customers reduced its demand for optical transceivers due to changes in the way they architect their network. Additionally, in the third and fourth quarters of 2018, we experienced decreased shipments of our 100 Gbps transceiver products to one of our customers due to their concerns about failures of similar products shipped previously. We conducted extensive testing of our products to demonstrate that any potentially affected units could be nearly eliminated in future shipments. During the time that this issue was being investigated, production activity was reduced as resources were redirected to efforts to identify the root cause of any failures observed, and in order to avoid manufacturing product that could not be proven to meet acceptable quality standards. These decreases were partially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offset by an increase in demand for 100 Gbps transceivers from other customers. We expect continued sales in 2019 of 100 Gbps and 40 Gbps products to the customer affected by the quality issue. The decrease in revenue in the CATV market for the year was partially a result of decreased available production capacity in our China factory associated with staff turnover related to the Lunar New Year, combined with reduced demand from one of our CATV customers in the second and third quarters associated with excess inventory the customer had previously purchased from us. The increase in revenue in our telecom market was primarily attributable to increased demand for telecom products by our customers as they supply new deployments of telecom infrastructure. The increase in revenue in our FTTH market was due to the fluctuation in demand for certain older legacy products and this demand is expected to continue to fluctuate.</w:t>
      </w:r>
    </w:p>
    <w:p>
      <w:pPr>
        <w:spacing w:after="0" w:line="1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the years ended December 31, 2018 and 2017, our top ten customers represented 92.9% and 94.9%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Revenue</w:t>
            </w:r>
          </w:p>
        </w:tc>
        <w:tc>
          <w:tcPr>
            <w:tcW w:w="9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9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0" w:type="dxa"/>
            <w:vAlign w:val="bottom"/>
            <w:gridSpan w:val="6"/>
          </w:tcPr>
          <w:p>
            <w:pPr>
              <w:ind w:left="440"/>
              <w:spacing w:after="0" w:line="142" w:lineRule="exact"/>
              <w:rPr>
                <w:sz w:val="20"/>
                <w:szCs w:val="20"/>
                <w:color w:val="auto"/>
              </w:rPr>
            </w:pPr>
            <w:r>
              <w:rPr>
                <w:rFonts w:ascii="Arial" w:cs="Arial" w:eastAsia="Arial" w:hAnsi="Arial"/>
                <w:sz w:val="14"/>
                <w:szCs w:val="14"/>
                <w:b w:val="1"/>
                <w:bCs w:val="1"/>
                <w:color w:val="auto"/>
                <w:w w:val="91"/>
              </w:rPr>
              <w:t>(in thousands, except percentages)</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$ 179,692</w:t>
            </w:r>
          </w:p>
        </w:tc>
        <w:tc>
          <w:tcPr>
            <w:tcW w:w="172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67.2 % $ 216,049</w:t>
            </w:r>
          </w:p>
        </w:tc>
        <w:tc>
          <w:tcPr>
            <w:tcW w:w="17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56.5 % $ (36,357)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(16.8)%</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2"/>
          </w:tcPr>
          <w:p>
            <w:pPr>
              <w:jc w:val="right"/>
              <w:ind w:right="108"/>
              <w:spacing w:after="0"/>
              <w:rPr>
                <w:sz w:val="20"/>
                <w:szCs w:val="20"/>
                <w:color w:val="auto"/>
              </w:rPr>
            </w:pPr>
            <w:r>
              <w:rPr>
                <w:rFonts w:ascii="Arial" w:cs="Arial" w:eastAsia="Arial" w:hAnsi="Arial"/>
                <w:sz w:val="18"/>
                <w:szCs w:val="18"/>
                <w:color w:val="auto"/>
              </w:rPr>
              <w:t>87,773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32.8 %</w:t>
            </w:r>
          </w:p>
        </w:tc>
        <w:tc>
          <w:tcPr>
            <w:tcW w:w="920" w:type="dxa"/>
            <w:vAlign w:val="bottom"/>
          </w:tcPr>
          <w:p>
            <w:pPr>
              <w:jc w:val="right"/>
              <w:ind w:right="82"/>
              <w:spacing w:after="0"/>
              <w:rPr>
                <w:sz w:val="20"/>
                <w:szCs w:val="20"/>
                <w:color w:val="auto"/>
              </w:rPr>
            </w:pPr>
            <w:r>
              <w:rPr>
                <w:rFonts w:ascii="Arial" w:cs="Arial" w:eastAsia="Arial" w:hAnsi="Arial"/>
                <w:sz w:val="18"/>
                <w:szCs w:val="18"/>
                <w:color w:val="auto"/>
              </w:rPr>
              <w:t>166,280</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43.5 %</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Cost of goods sold decreased by $36.4 million, or 16.8%, from 2017 to 2018, primarily due to a 30.0% decrease in sales over the prior year. The decrease in gross margin for the year ended December 31, 2018 compared to the same period ended December 31, 2017 was primarily the result of lower capacity utilization, resulting in higher fixed cost absorption for 100 Gbps products produced and shipped in the period. In addition, additional costs were incurred for more extensive quality and reliability testing. As noted in the revenue discussion above, production was reduced while we investigated customer reports of failures of similar products shipped previously. This decreased production quantity resulted in higher fixed-cost absorption, and eliminating potentially defective units from our production process temporarily reduced product yields in the third and fourth quarters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5"/>
              </w:rPr>
              <w:t>revenue</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12"/>
          </w:tcPr>
          <w:p>
            <w:pPr>
              <w:ind w:left="3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49,903</w:t>
            </w:r>
          </w:p>
        </w:tc>
        <w:tc>
          <w:tcPr>
            <w:tcW w:w="1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18.7 % $ 35,365</w:t>
            </w:r>
          </w:p>
        </w:tc>
        <w:tc>
          <w:tcPr>
            <w:tcW w:w="1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9.2 % $ 14,538</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41.1 %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9,141</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8,702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12.0 %</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98,541</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79,329</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19,212</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Research and development expense increased by $14.5 million, or 41.1%, from 2017 to 2018.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increased from 2017 to 2018 due mainly to increases in personnel-related costs, depreciation expenses associated with new R&amp;D equipment purchased or transferred during the year, materials and supplies used in R&amp;D activities and an increase in costs from R&amp;D work orders. As we continue to focus on broadening our product portfolio, especially increasing our product offerings in the telecom, FTTH and other areas, we expect to continue to increase our R&amp;D investments.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Sales and marketing expense increased by $0.4 million, or 5.0%, from 2017 to 2018. This increase was due to increases in personnel costs, duties and freight and trade show expenses, offset by decreased commissions, customs taxes and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General and administrative expense increased by $4.2 million, or 12.0%, from 2017 to 2018. These increases were primarily due to an increase in personnel-related costs, share-based compensation expenses, depreciation expenses, insurance expenses and professional service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9"/>
              </w:rPr>
              <w:t>Years ended December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8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76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8"/>
          </w:tcPr>
          <w:p>
            <w:pPr>
              <w:jc w:val="center"/>
              <w:ind w:left="258"/>
              <w:spacing w:after="0" w:line="142" w:lineRule="exact"/>
              <w:rPr>
                <w:sz w:val="20"/>
                <w:szCs w:val="20"/>
                <w:color w:val="auto"/>
              </w:rPr>
            </w:pPr>
            <w:r>
              <w:rPr>
                <w:rFonts w:ascii="Arial" w:cs="Arial" w:eastAsia="Arial" w:hAnsi="Arial"/>
                <w:sz w:val="14"/>
                <w:szCs w:val="14"/>
                <w:b w:val="1"/>
                <w:bCs w:val="1"/>
                <w:color w:val="auto"/>
                <w:w w:val="89"/>
              </w:rPr>
              <w:t>(in thousands, except percentages)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(1,106)</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(1,788)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(201.5)%</w:t>
            </w:r>
          </w:p>
        </w:tc>
        <w:tc>
          <w:tcPr>
            <w:tcW w:w="0" w:type="dxa"/>
            <w:vAlign w:val="bottom"/>
          </w:tcPr>
          <w:p>
            <w:pPr>
              <w:spacing w:after="0"/>
              <w:rPr>
                <w:sz w:val="1"/>
                <w:szCs w:val="1"/>
                <w:color w:val="auto"/>
              </w:rPr>
            </w:pPr>
          </w:p>
        </w:tc>
      </w:tr>
      <w:tr>
        <w:trPr>
          <w:trHeight w:val="210"/>
        </w:trPr>
        <w:tc>
          <w:tcPr>
            <w:tcW w:w="440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(2,425)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3,415</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(140.8)</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periods due to larger cash balances.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Interest expense increased by 28.9% from 2017 to 2018 due to higher debt balances along with higher interest rates in the current year.</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Other income (expense) for 2018 was income of $1.8 million, a $3.6 million favorable increase as compared to 2017. These increases were due to a $2.7 million increase of foreign exchange gains resulting from the favorable fluctuation of certain Asian currencies against the U.S. dollar and $0.7 million higher subsidies during the current year from the U.S. and Chinese governments related to our qualification as a high-tech enterprise.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6350</wp:posOffset>
            </wp:positionV>
            <wp:extent cx="1886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6040"/>
        <w:spacing w:after="0"/>
        <w:tabs>
          <w:tab w:leader="none" w:pos="6860" w:val="left"/>
          <w:tab w:leader="none" w:pos="7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-3175</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632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$ 7,632</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(10,575)   18,207  (172.2)%</w:t>
            </w: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income tax expense (benefit) consists of U.S. income tax, state taxes, Taiwan and China income tax recorded during the periods. Our effective tax rate is affected by recurring items, such as tax rates in state and foreign jurisdictions and the relative amounts of income we earn in those jurisdictions.</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recorded a tax benefit of $7.6 million for the year ended December 31, 2018 as compared to the tax expense of $10.6 million for the year ended December 31, 2017. The income tax benefit in the year ended December 31, 2018 was primarily related to the impact of changes to tax law, offset by the recognition of excess tax benefits attributable to share-based compensation as well as the recognition of research and development credits. The income tax expense recorded in the year ended December 31, 2017 was primarily related to the impact of changes to tax law, offset by the recognition of excess tax benefits attributable to share-based compensation as well as the recognition of research and development credits.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2017 and 2016 (in thousands, except percentages):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3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6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96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Data Center</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$ 306,712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$ 201,314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$ 105,398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CATV</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43,567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17,189</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FTTH</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(68.7)%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17"/>
        </w:trPr>
        <w:tc>
          <w:tcPr>
            <w:tcW w:w="16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$ 382,329</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$ 260,713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$ 121,616</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Revenues in the internet data center market were driven primarily by increasing demand for our 40 Gbps and 100 Gbps transceivers as our customers continued to upgrade their technology infrastructure. We expect to continue to sell 40 Gbps products to our customers in 2018, however we believe that revenue generated from our 40 Gbps products will likely decline as customers continue their transition to 100 Gbps products. The decrease in revenue in our FTTH market is due to a decline in demand for certain older legacy products. The increase in revenue in the CATV market for the year was a result of increased demand from our customers who are supplying equipment for CATV network upgrades which began during the year. The decrease in revenue in our telecom segment was primarily attributable to reduced orders from some of our telecom customers, particularly in China.</w:t>
      </w:r>
    </w:p>
    <w:p>
      <w:pPr>
        <w:spacing w:after="0" w:line="1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the years ended December 31, 2017 and 2016, our top ten customers represented 94.9% and 95.5%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$216,049</w:t>
            </w:r>
          </w:p>
        </w:tc>
        <w:tc>
          <w:tcPr>
            <w:tcW w:w="168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56.5 % $173,759</w:t>
            </w:r>
          </w:p>
        </w:tc>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66.6 % $42,290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166,280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43.5 %</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86,954</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33.4 %</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Cost of goods sold increased by $42.3 million, or 24.3%, from 2016 to 2017, primarily due to a 46.6% increase in sales over the prior year. The increase in gross margin for the year ended December 31, 2017 compared to the same period ended December 31, 2016 was primarily the result of lower production costs associated with certain 40 Gbps and 100 Gbps products. Production costs were reduced due mainly to improved product yields, related to process improvements and automation, as well as raw material cost reduction.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0"/>
              </w:rPr>
              <w:t>Years ended December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gridSpan w:val="10"/>
          </w:tcPr>
          <w:p>
            <w:pPr>
              <w:jc w:val="right"/>
              <w:ind w:right="8"/>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9.2 % $31,780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11.3 %</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jc w:val="right"/>
              <w:spacing w:after="0"/>
              <w:rPr>
                <w:sz w:val="20"/>
                <w:szCs w:val="20"/>
                <w:color w:val="auto"/>
              </w:rPr>
            </w:pPr>
            <w:r>
              <w:rPr>
                <w:rFonts w:ascii="Arial" w:cs="Arial" w:eastAsia="Arial" w:hAnsi="Arial"/>
                <w:sz w:val="18"/>
                <w:szCs w:val="18"/>
                <w:color w:val="auto"/>
              </w:rPr>
              <w:t>8,702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2,075</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31.3 %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38.</w:t>
            </w:r>
            <w:r>
              <w:rPr>
                <w:rFonts w:ascii="Arial" w:cs="Arial" w:eastAsia="Arial" w:hAnsi="Arial"/>
                <w:sz w:val="18"/>
                <w:szCs w:val="18"/>
                <w:u w:val="single" w:color="auto"/>
                <w:color w:val="auto"/>
                <w:w w:val="89"/>
              </w:rPr>
              <w:t>1</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79,329</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63,934</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15,395</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w:t>
            </w:r>
            <w:r>
              <w:rPr>
                <w:rFonts w:ascii="Arial" w:cs="Arial" w:eastAsia="Arial" w:hAnsi="Arial"/>
                <w:sz w:val="18"/>
                <w:szCs w:val="18"/>
                <w:u w:val="single" w:color="auto"/>
                <w:color w:val="auto"/>
                <w:w w:val="85"/>
              </w:rPr>
              <w:t>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4"/>
                <w:szCs w:val="24"/>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Research and development expense increased by $3.6 million, or 11.3%, from 2016 to 2017. Research and development costs consist of R&amp;D work orders, R&amp;D material usage and other project related costs related to 40 Gbps, 100 Gbps, and 200/400 Gbps data center products, DOCSIS 3.1-capable CATV products, including remote-PHY products, and other new product development, and depreciation expense resulting from R&amp;D equipment investments. Research and development costs increased due mainly to an increase in personnel-related costs and increased overhead costs associated with our new building in Sugar Land, offset by a decrease in materials and supplies used in R&amp;D activities and a decrease in costs from R&amp;D work orders.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Sales and marketing expense increased by $2.1 million, or 31.3%, from 2016 to 2017. This was due to an increase in personnel costs, including sales commissions, an increase in customs taxes and duties, partially offset by decreased commissions to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General and administrative expense increased by $9.7 million, or 38.1%, from 2016 to 2017. These increases were primarily due to an increase in personnel-related costs, share-based compensation expenses, overhead costs due to our new building in Sugar Land, and additional professional service fees.</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As of December 31, 2017, we are a "large accelerated filer" and, accordingly no longer qualify as an emerging growth company and no longer are able to rely on certain exemptions that were available to us as an emerging growth company. We anticipate that general and administrative expenses will continue to increase in absolute dollars in the future as we continue to incur both increased external audit fees as well as additional spending to ensure continued SOX and other regulatory compliance.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vMerge w:val="restart"/>
          </w:tcPr>
          <w:p>
            <w:pPr>
              <w:jc w:val="right"/>
              <w:ind w:right="5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tcBorders>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11"/>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(10.5)%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(1,717)</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(50.0)%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(1,241)</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226.</w:t>
            </w:r>
            <w:r>
              <w:rPr>
                <w:rFonts w:ascii="Arial" w:cs="Arial" w:eastAsia="Arial" w:hAnsi="Arial"/>
                <w:sz w:val="18"/>
                <w:szCs w:val="18"/>
                <w:u w:val="single" w:color="auto"/>
                <w:color w:val="auto"/>
                <w:w w:val="90"/>
              </w:rPr>
              <w:t>9</w:t>
            </w:r>
            <w:r>
              <w:rPr>
                <w:rFonts w:ascii="Arial" w:cs="Arial" w:eastAsia="Arial" w:hAnsi="Arial"/>
                <w:sz w:val="18"/>
                <w:szCs w:val="18"/>
                <w:color w:val="auto"/>
                <w:w w:val="90"/>
              </w:rPr>
              <w:t xml:space="preserve"> %</w:t>
            </w:r>
          </w:p>
        </w:tc>
        <w:tc>
          <w:tcPr>
            <w:tcW w:w="0" w:type="dxa"/>
            <w:vAlign w:val="bottom"/>
          </w:tcPr>
          <w:p>
            <w:pPr>
              <w:spacing w:after="0"/>
              <w:rPr>
                <w:sz w:val="1"/>
                <w:szCs w:val="1"/>
                <w:color w:val="auto"/>
              </w:rPr>
            </w:pPr>
          </w:p>
        </w:tc>
      </w:tr>
      <w:tr>
        <w:trPr>
          <w:trHeight w:val="217"/>
        </w:trPr>
        <w:tc>
          <w:tcPr>
            <w:tcW w:w="434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(2,425)</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(2,017)</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investment balances.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Interest expense decreased by 50.0% from 2016 to 2017 due to the repayment of debt that had been previously borrowed to fund expansion projects.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Other income (expense) for 2017 was expense of $1.8 million, a $1.2 million unfavorable increase as compared to 2016. These increases were due to the increase of foreign exchange losses resulting from the unfavorable fluctuation of certain Asian currencies against the U.S. dollar. We qualify as a high-tech enterprise in China, as determined by the Chinese government, and are paid subsidies from time to time by the Chinese government to foster local high-tech manufacturing. We received $0.2 million of government subsidies during 2017 and 2016,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6350</wp:posOffset>
            </wp:positionV>
            <wp:extent cx="1989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5880"/>
        <w:spacing w:after="0"/>
        <w:tabs>
          <w:tab w:leader="none" w:pos="6740" w:val="left"/>
          <w:tab w:leader="none" w:pos="78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-3175</wp:posOffset>
            </wp:positionV>
            <wp:extent cx="19894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618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(10,575)</w:t>
            </w:r>
          </w:p>
        </w:tc>
        <w:tc>
          <w:tcPr>
            <w:tcW w:w="2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$ 10,231   (20,806)   (203.4)%</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income tax expense consists of U.S. income tax, state taxes, Taiwan and China income tax recorded during the periods. Our effective tax rate is affected by recurring items, such as tax rates in state and foreign jurisdictions and the relative amounts of income we earn in those jurisdictions.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recorded a tax expense of $10.6 million for the year ended December 31, 2017 as compared to the tax benefit of $10.2 million for the year ended December 31, 2016. The income tax expense in the year ended December 31, 2017 was primarily related to the provisional impact of changes to tax law, offset by the recognition of excess tax benefits attributable to share-based compensation as well as the recognition of research and development credits. The income tax benefit recorded in the year ended December 31, 2016 was primarily related to the release of the valuation allowance previously recorded against U.S. and Taiwan deferred tax assets.</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December 22, 2017, the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We estimated the impact of the Tax Act in our year-end income tax provision in accordance with our understanding of the Tax Act and as a result recorded $7.8 million as additional income tax expense in 2017. The 2017 provisional amount related to the remeasurement of certain deferred tax assets and liabilities, based on the rates at which they are expected to reverse in the future, was $2.8 million. The provisional amount related to the one-time transition tax on the mandatory deemed repatriation of foreign earnings was $5.0 million based on cumulative foreign earnings of $62.8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December 31, 2018, we had $69.4 million of unused borrowing capacity from all of our loan agreements. As of December 31, 2018, our cash, cash equivalents, restricted cash and short-term investments totaled $58.0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 No shares of common stock were sold pursuant to this Registration Statement on Form S-3 in the year ended December 31,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9"/>
          </w:tcPr>
          <w:p>
            <w:pPr>
              <w:ind w:left="3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(76,514)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(70,159)</w:t>
            </w: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(41,535)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18"/>
                <w:szCs w:val="18"/>
                <w:color w:val="auto"/>
              </w:rPr>
            </w:pPr>
          </w:p>
        </w:tc>
      </w:tr>
      <w:tr>
        <w:trPr>
          <w:trHeight w:val="217"/>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In 2018, net cash provided by operating activities was $14.0 million. Net cash provided by operating activities consisted of our net loss of $2.1 million, after the exclusion of non-cash items of $38.5 million, an increase in accounts receivable from our customers of $29.3 million and an increase in accrued liabilities of $0.6 million. These cash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increases were offset by an increase in inventory of $28.4 million, a decrease in accounts payable to our vendors of $13.7 million, a decrease in accrued income tax of $7.4 million and an increase in other current assets of $3.0 million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2017, net cash provided by operating activities was $84.3 million. Net cash provided by operating activities consisted of our net income of $74.0 million, after the exclusion of non-cash items of $30.4 million, increase in accounts payable to our vendors of $7.2 million, an increase in accrued liabilities of $4.1 million and an increase in accrued income tax of $6.2 million. These cash increases were offset by an increase in accounts receivable from our customers of $10.1 million, an increase in inventory of $21.9 million and an increase in other current assets of $5.6 million.</w:t>
      </w:r>
    </w:p>
    <w:p>
      <w:pPr>
        <w:spacing w:after="0" w:line="15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2016, net cash provided by operating activities was $57.1 million. Net cash provided by operating activities consisted of our net income of $31.2 million, after the exclusion of non-cash items of $9.5 million as well as $10.2 million from the reduction of inventories, increase in accounts payable to our vendors of $9.1 million, decrease in prepaid assets of $4.1 million and an increase in accrued liabilities and accrued income tax of $4.1 million. These cash increases were offset by an increase in accounts receivable from our customers of $11.1 million in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2018, net cash used in investing activities was $76.5 million. The net cash used consisted of spending on property, plant and equipment and land use rights of $77.4 million offset by sales proceeds from equipment of $0.7 million.</w:t>
      </w:r>
    </w:p>
    <w:p>
      <w:pPr>
        <w:spacing w:after="0" w:line="124"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In 2017, net cash used in investing activities was $70.2 million. The net cash used consisted of spending on property, plant and equipment of $67.0 million and an increase of $2.9 million in deferred charges associated with the purchase of new machinery and equipment.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2016, net cash used in investing activities was $41.5 million. Spending on property, plant and equipment of $49.4 million was offset by the maturity of short-term investments of $7.7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In 2018, our financing activities provided $34.8 million in cash. We received $38.8 million in net borrowings associated with our bank loans and bank acceptance notes. These activities were offset by $4.1 million related to tax withholding associated with employee share-based compensation.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2017, our financing activities provided $18.2 million in cash. We received $21.6 million in net proceeds from the sale of our common stock pursuant to an at-the-market offering and $6.2 million in net borrowings associated with our bank loans. These activities were offset by $10.7 million related to tax withholding associated with employee share-based compensation.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2016, our financing activities provided $1.7 million in cash. We repaid $22.9 million in net borrowings associated with our bank loans and $2.5 million in net repayments of acceptance payable. We also received $27.2 million in net proceeds from the sale of our common stock pursuant to an at-the-market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lending arrangements with several financial institutions. In the US, we have revolving lines of credit and term loans with Branch Banking and Trust (BB&amp;T) Bank in the U.S. These term loans contain financial covenants that may limit the amount and types of debt that we may incur. As of December 31, 2018, we were in compliance with these covenants.</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 Taiwan, we have a revolving credit facility with Taishin International Bank, a revolving credit facility with Development Bank of Singapore (Taiwan) Ltd, a credit facility with CTBC Bank Co, Ltd. and a finance lease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with Chailease Finance Co., Ltd. for Prime World’s Taiwan Branch. And in China, we have a revolving line of credit with China Construction Bank with Global. As of December 31, 2018, we had $69.4 million of unused borrowing capacity.</w:t>
      </w:r>
    </w:p>
    <w:p>
      <w:pPr>
        <w:spacing w:after="0" w:line="124"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On September 28, 2017, we entered into a Loan Agreement, a Promissory Note, an Addendum to the Promissory Note, a BB&amp;T Security Agreement, a Trademark Security Agreement, and a Patent Security Agreement (together the “Credit Facility”) with Branch Banking and Trust Company (“BB&amp;T”). The Credit Facility provides us with a three year, $50 million, revolving line of credit. Borrowings under the Credit Facility will be used for general corporate purposes. We make monthly payments of accrued interest with the final monthly payment being for all principal and all accrued interest not yet paid. Our obligations under the Credit Facility are secured by our accounts receivable, inventory, intellectual property, and all business assets with the exception of real estate and equipment. Borrowings under the Credit Facility bear interest at a rate equal to the one-month LIBOR plus 1.50%. The Credit Facility requires us to maintain certain financial covenants and also contains representations and warranties, and events of default applicable to us that are customary for agreements of this type.</w:t>
      </w:r>
    </w:p>
    <w:p>
      <w:pPr>
        <w:spacing w:after="0" w:line="16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On March 30, 2018, we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our three-year $50 million line of credit with BB&amp;T, originally executed on September 28, 2017 (the “Existing Loan”). The Amended Credit Facility (1) increases the principal amount of the three-year line of credit from $50 million to $60 million (the “Line of Credit”); (2) allows us to borrow an additional $26 million from BB&amp;T in the form of a five-year capital expenditure loan (the “CapEx Loan”) and (3) allows us to borrow an additional $21.5 million in the form of a seventy-month real estate term loan (the “Term Loan”) to refinance our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We are required to make monthly payments of principal and accrued interest with the final monthly payments being for all principal and accrued interest not yet paid. Our obligations under the Amended Credit Facility are secured by our accounts receivable, inventory, equipment, intellectual property, real property, and virtually all business assets. As of December 31, 2018, we were in compliance with all covenants under the Amended Credit Facility. As of December 31, 2018, $23.1 million was outstanding under the Line of Credit, $20.1 million was outstanding under the Term Loan and $19.2 million was outstanding under the CapEx Loan.</w:t>
      </w:r>
    </w:p>
    <w:p>
      <w:pPr>
        <w:spacing w:after="0" w:line="1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1, 2019, we executed a Second Amendment to Loan Agreement with BB&amp;T. The original loan agreement with BB&amp;T, executed on September 28, 2017, and a first amendment to the original loan agreement, executed on March 30, 2018, provided us with a three-year $60 million line of credit; a $26 million five-year capital expenditure loan (the “CapEx Loan”) and a $21.5 million seventy-month real estate term loan for our plant and facilities in Sugar Land, Texas. The Second Amendment to Loan Agreement extends the CapEx Loan draw-down date from March 30, 2019 to September 30, 2019, requires us to provide BB&amp;T monthly financial statements and revises certain financial covenants which are deemed effective as of September 30, 2018.</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May 27, 2015, our Taiwan branch entered into a Purchase and Sale Contract and a Finance Lease Agreement with Chailease Finance Co, Ltd. (“Chailease”) in connection with certain equipment, structured as a sale lease-back transaction. Pursuant to the Purchase and Sale contract, our Taiwan branch sold certain equipment to Chailease for a purchase price of 180,148,532 New Taiwan dollars, approximately $6.0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had a three-year term, with monthly payments, that matured on May 27, 2018. The title to the equipment was transferred to our Taiwan branch upon the expiration of the Finance Lease Agreement.</w:t>
      </w:r>
    </w:p>
    <w:p>
      <w:pPr>
        <w:spacing w:after="0" w:line="16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On June 19, 2018, Prime World entered into a one year revolving credit facility totaling 300 million New Taiwan dollars (“NT$”), or approximately $9.8 million, (the “Taiwan Credit Facility”) with Taishin International Bank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Taiwan (the “Bank”). Borrowing under the Taiwan Credit Facility will be used for short-term working capital. Prime World may draw upon the Taiwan Credit Facility from June 19, 2018 until May 31, 2019. The term of each draw shall be either 90 or 120 days. Borrowings under the Taiwan Credit Facility bear interest at a rate of 2.00% for 90 day draws and 1.95% for 120 day draws. At the end of the draw term, Prime World is required to make payment for all principal and accrued interest. The agreements for the Taiwan Credit Facility contain representations and warranties and events of default applicable to Prime World that are customary for agreements of this type. As of December 31, 2018, $3.3 million was outstanding under the Taiwan Credit Facility.</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 of the draw. Borrowings under the Revolving Credit Facility bear interest at a rate equal to DBS’s cost of funds rate plus 1.25% for draws in U.S. Dollars and 1.35% plus the Bank’s cost of funds rate for draws in New Taiwan Dollars. As of the execution of the Revolving Credit Facility, DBS’s cost of fund’s rate is 0.77% for loans made in New Taiwan Dollars and 2.54% for loans made in U.S. Dollars. DBS’s cost of fund’s rate is adjusted daily. Prime World is required to make monthly payments of accrued interest with the final monthly payment being for all principal and all accrued interest not yet paid. Prime World’s obligations under the Revolving Credit Facility are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December 31, 2018, $3.6 million was outstanding under the Revolving Credit Facility.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November 29, 2018, Prime World entered into a Purchase and Sale Contract (the “Sale Contract”) and a Finance Lease Agreement with Chailease Finance Co., Ltd. (“Chailease”) in connection with certain equipment, structured as a sale lease-back transaction. Pursuant to the Sale Contract, Prime World sold certain equipment to Chailease for a purchase price of NT$267,340,468, or approximately $8.7 million. Simultaneously, Prime World leased the equipment back from Chailease for a term of three-years, pursuant to the Finance Lease Agreement. Prime World is obligated to pay an initial payment of NT$67,340,468, or approximately $2.2 million, thereafter the monthly lease payments range from NT$5,571,229, or $0.2 million, to NT$6,139,188, or approximately $0.2 million. Based on the lease payments made under the Finance Lease Agreement, the annual interest rate is calculated to be 3.5%. Upon an event of default under the Finance Lease Agreement, Prime World’s payment obligation is secured by a promissory note to Chailease in the amount of NT$210,601,605, or approximately $6.8 million, subject to certain terms and conditions. The title of the equipment will be transferred to Prime World upon expiration of the Finance Lease Agreement. As of December 31, 2018, $6.3 million was outstanding under the Finance Lease Agreement.</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December 11, 2018, Prime World entered into a one-year credit facility totaling New Taiwan Dollars 150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New Taiwan Dollars bear interest at a rate equal to CTBC’s Enterprise Swap Index Rate plus 1.2%; for all foreign currency borrowing interest will bear at a rate equal to CTBC’s Cost of Fund lending rate plus 1.2%. As of the execution of the Credit Facility, CTBC’s Enterprise Swap Index Rate and Cost of Funds lending rate is 0.69% and 3.40% respectively. At the end of the draw term, Prime World is required to make payment for all principal and accrued interest. The agreements for the Credit Facility contain representations and warranties, and events of default applicable to Prime World that are customary for agreements of this type. As of December 31, 2018, there was no outstanding balance under the Credit Facility.</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21, 2018, our China subsidiary, Global Technology, Inc.,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will be secured by real property owned by Global in China and mortgaged to CCB under the terms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Security Agreement. As of December 31, 2018, $8.7 million was outstanding under the Credit Line and the outstanding balance of bank acceptance notes issued to vendors was $4.6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21, 2019, Prime World entered into a second Purchase and Sale Contract (the “Second Sales Contract”),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and a second Finance Lease Agreement, (collectively, the “Second Financing Agreements”)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Chailease in connection with certain equipment, structured as a sale lease-back transaction. Pursuant to the Second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Prime World sold certain equipment to Chailease for a purchase price of NT$267,333,186, or approximately $8.7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Simultaneously, Prime World leased the equipment back from Chailease for a term of three-years,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Finance Lease Agreement. Prime World is obligated to pay an initial monthly payment of NT$67,333,186,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$2.2 million, thereafter the monthly lease payments range from NT$5,570,167, or approximately $0.2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NT$6,082,131, or approximately $0.2 million. Based on the lease payments made under the Second Finance Lease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annual interest rate is calculated to be 3.5%. Upon an event of default under the Second Finance 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Prime World’s payment obligation will be secured by a promissory note to Chailease at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NT$209,555,736 or approximately $6.8 million, subject to certain terms and conditions. The title of the equipment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transferred to Prime World upon expiration of the Second Finance Lease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2.50% and 1.56% at December 31, 2018 and 2017, respectively.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2018 and 2017, there was $2.4 million and $1.0 million of restricted cash, investments or security deposit associated mainly with the loan facilities,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December 31, 2018, approximately $8.2 million of this total cost has been incurred, with the remaining portion due as the construction progresses. Construction under this contract is expected to be completed in early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Less than 1</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3-5 Years</w:t>
            </w:r>
          </w:p>
        </w:tc>
        <w:tc>
          <w:tcPr>
            <w:tcW w:w="14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7"/>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29,644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$ 41,427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$ 12,669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$ 43,602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$ 14,679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15,149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40" w:hanging="333"/>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ind w:left="660" w:hanging="333"/>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entered into various non-cancellable operating lease agreements for our offices in Taiwan and the U.S.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During 2018, 2017 and 2016, we did not have any off-balance sheet arrangements that we believe have or are reasonably likely to have a current or future effect on our financial condition, changes in financial condition, revenues or expenses, results of operations, liquidity, capital expenditures or capital resources that would be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honor the same terms and conditions as do our direct sales customers. Revenue is recognized when obligations under the terms of a contract with our customer are satisfied; generally this occurs with the transfer of control of products or services. Contracts or customer purchase orders are used to determine the existence of an obligation. Shipping documents are used to verify delivery. Revenue is measured as the amount of consideration we expect to receive in exchange for transferring products or providing services. Certain customers may receive cash and/or non-cash incentives, which are accounted for as variable consideration. We assess collectability based primarily on the creditworthiness of the customer as determined by credit checks and the customer’s payment history. Customers are generally extended net 30 credit terms from the date of shipment, with some extensions for more creditworthy customers.</w:t>
      </w:r>
    </w:p>
    <w:p>
      <w:pPr>
        <w:spacing w:after="0" w:line="1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 We present revenue net of sales returns and allowances, sales taxes and any similar assessments. We provide a limited warranty as part of our standard terms and conditions of sale. This warranty provides for the repair or replacement of our products, at our discretion, that we determine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6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During our ordinary course of business, we may enter into new product development agreements to design, customize and develop new products for our customers. Such new product development agreements often involve material cost and engineering hours and therefore non-recurring engineering service (NRE) charges are agreed upon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59" w:lineRule="auto"/>
        <w:rPr>
          <w:sz w:val="20"/>
          <w:szCs w:val="20"/>
          <w:color w:val="auto"/>
        </w:rPr>
      </w:pPr>
      <w:r>
        <w:rPr>
          <w:rFonts w:ascii="Arial" w:cs="Arial" w:eastAsia="Arial" w:hAnsi="Arial"/>
          <w:sz w:val="18"/>
          <w:szCs w:val="18"/>
          <w:color w:val="auto"/>
        </w:rPr>
        <w:t>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79" w:firstLine="648"/>
        <w:spacing w:after="0" w:line="279" w:lineRule="auto"/>
        <w:rPr>
          <w:sz w:val="20"/>
          <w:szCs w:val="20"/>
          <w:color w:val="auto"/>
        </w:rPr>
      </w:pPr>
      <w:r>
        <w:rPr>
          <w:rFonts w:ascii="Arial" w:cs="Arial" w:eastAsia="Arial" w:hAnsi="Arial"/>
          <w:sz w:val="17"/>
          <w:szCs w:val="17"/>
          <w:color w:val="auto"/>
        </w:rPr>
        <w:t xml:space="preserve">We account for share-based compensation in accordance with the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Share-based compensation expense is recognized based on the estimated grant date fair value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compensation cost for those shares expected to vest. Compensation cost is recognized on a straight-line basis over the vesting period of the options and adjusted as forfeitures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79" w:firstLine="648"/>
        <w:spacing w:after="0" w:line="269" w:lineRule="auto"/>
        <w:rPr>
          <w:sz w:val="20"/>
          <w:szCs w:val="20"/>
          <w:color w:val="auto"/>
        </w:rPr>
      </w:pPr>
      <w:r>
        <w:rPr>
          <w:rFonts w:ascii="Arial" w:cs="Arial" w:eastAsia="Arial" w:hAnsi="Arial"/>
          <w:sz w:val="17"/>
          <w:szCs w:val="17"/>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When we become aware of such changes, we review the anticipated useful life of the affected assets and make any necessary revisions. In those cases where we determine that the useful life of an asset should be revised, we depreciate the remaining net book value over the new estimated useful life. In December, 2018, our production management undertook a review of the estimated useful life of many of our production-related assets. Based on the results of this review, we believe that it is reasonably likely that estimated asset useful lives may be changed in the near term. If useful lives are revised, we generally expect these revisions to result in longer than current useful lives, and thus lower annual depreciation expense for this equipment.</w:t>
      </w:r>
    </w:p>
    <w:p>
      <w:pPr>
        <w:spacing w:after="0" w:line="183" w:lineRule="exact"/>
        <w:rPr>
          <w:sz w:val="20"/>
          <w:szCs w:val="20"/>
          <w:color w:val="auto"/>
        </w:rPr>
      </w:pPr>
    </w:p>
    <w:p>
      <w:pPr>
        <w:ind w:right="39" w:firstLine="648"/>
        <w:spacing w:after="0" w:line="268" w:lineRule="auto"/>
        <w:rPr>
          <w:sz w:val="20"/>
          <w:szCs w:val="20"/>
          <w:color w:val="auto"/>
        </w:rPr>
      </w:pPr>
      <w:r>
        <w:rPr>
          <w:rFonts w:ascii="Arial" w:cs="Arial" w:eastAsia="Arial" w:hAnsi="Arial"/>
          <w:sz w:val="17"/>
          <w:szCs w:val="17"/>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2018 or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2018, 2017 and 2016, we recorded excess and obsolete inventory charges of $7.2 million, $1.9 million, and $3.7 million, respectively. For the years December 21, 2018, 2017 and 2016, the direct inventory write-offs related to scrap and damaged inventories were $3.5 million, $6.8 million and $5.0 million, respectively.</w:t>
      </w:r>
    </w:p>
    <w:p>
      <w:pPr>
        <w:spacing w:after="0" w:line="165"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211D1E"/>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22, 2017, the U.S. government enacted the Tax Act. The Tax Act makes broad and complex changes to the U.S. tax code, including, but not limited to, (1) reducing the U.S. federal corporate tax rate from 35 percent to 21 percent; (2) requiring companies to pay a one-time transition tax (“Transition Tax”) on certain unrepatriated earnings of foreign subsidiaries; (3) generally eliminating U.S. federal income taxes on dividends from foreign subsidiaries; (4) a new provision designed to tax global intangible low-taxed income (“GILTI”);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Shortly after enactment of the Tax Act,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Transition Tax is a tax on certain previously untaxed accumulated and current earnings and profits (E&amp;P) of our foreign subsidiaries. We were able to reasonably estimate the Transition Tax and recorded a provisional Transition Tax obligation of $5.0 million, with a corresponding adjustment of $5.0 million to income tax expense for the year ended December 31, 2017. On the basis of revised E&amp;P computations that were completed during the reporting period, we recognized an additional measurement-period adjustment of ($1.8) million to the Transition Tax obligation, with a corresponding adjustment of ($1.8) million to income tax benefit during year ended December 31, 2018, net of foreign tax credit considerations. The effect of the measurement-period adjustment on the 2018 effective tax rate was approximately 18.8 percent. The Transition Tax, which has now been determined to be complete, resulted in recording a total Transition Tax obligation of $3.2 million, with a corresponding adjustment of $3.2 million to income tax expense.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M of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B of our Consolidated Financial Statements for a description of recent accounting pronouncements.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December 31, 2018, our U.S. debt bears a variable rate of interest that is based on LIBOR. The debt subject to variable rates is subject to fluctuation in the LIBOR. As of December 31, 2018, we had not hedged our interest rate risk.</w:t>
      </w:r>
    </w:p>
    <w:p>
      <w:pPr>
        <w:spacing w:after="0" w:line="18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With respect to our interest expense for the three months ended December 31, 2018, an increase of 1.0% in each of our interest rates would have resulted in an increase of $0.8 million in our interest expense for such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2018, we recognized $0.7 million of exchange gains arising from foreign currency transactions and re-measurement of monetary assets and liabilities dominated in non-functional currency on balance sheet date.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year ended December 31, 2018, 3.8% of our revenue was denominated in RMB and none of our revenue was denominated in NT dollars. In the year ended December 31, 2018, 21.4% of our operating expenses were denominated in RMB and 32.7% of our operating expenses were denominated in NT dollars. Accordingly, fluctuations in exchange rates directly affect our cost of goods sold and net income, and have a significant impact on our operating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margins. If exchange rates of RMB and NT dollars for U.S. dollars were 1% higher during the year ended December 31, 2018, our operating expenses would have had been higher by $0.5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held the U.S. dollar denominated liabilities net of assets of approximately</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$15.3 million in our China subsidiary and $13.8 million in our Taiwan branch. With respect to these U.S. Dollar denominated net liabilities as of December 31, 2018, if exchange rates of RMB and NT dollars for U.S. dollars were 1% higher during the year ended December 31, 2018, our other operating expenses would have been reduced by $0.3 million. Any significant revaluation of the RMB and NT dollars may materially and adversely affect the cash flows, revenues, and net income as reported in U.S. Dollars.</w:t>
      </w:r>
    </w:p>
    <w:p>
      <w:pPr>
        <w:spacing w:after="0" w:line="19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F-30 of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2018. Based upon that evaluation, our Chief Executive Officer and Chief Financial Officer concluded that, as of the end of the period covered in this report, our disclosure controls and procedures were effective.</w:t>
      </w:r>
    </w:p>
    <w:p>
      <w:pPr>
        <w:spacing w:after="0" w:line="187"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19"/>
        <w:spacing w:after="0" w:line="264" w:lineRule="auto"/>
        <w:rPr>
          <w:sz w:val="20"/>
          <w:szCs w:val="20"/>
          <w:color w:val="auto"/>
        </w:rPr>
      </w:pPr>
      <w:r>
        <w:rPr>
          <w:rFonts w:ascii="Arial" w:cs="Arial" w:eastAsia="Arial" w:hAnsi="Arial"/>
          <w:sz w:val="18"/>
          <w:szCs w:val="18"/>
          <w:color w:val="auto"/>
        </w:rPr>
        <w:t>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81" w:lineRule="exact"/>
        <w:rPr>
          <w:sz w:val="20"/>
          <w:szCs w:val="20"/>
          <w:color w:val="auto"/>
        </w:rPr>
      </w:pPr>
    </w:p>
    <w:p>
      <w:pPr>
        <w:ind w:right="99" w:firstLine="648"/>
        <w:spacing w:after="0" w:line="302"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the end of the period covered by this Annual Report on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2018.</w:t>
      </w:r>
    </w:p>
    <w:p>
      <w:pPr>
        <w:spacing w:after="0" w:line="154" w:lineRule="exact"/>
        <w:rPr>
          <w:sz w:val="20"/>
          <w:szCs w:val="20"/>
          <w:color w:val="auto"/>
        </w:rPr>
      </w:pPr>
    </w:p>
    <w:p>
      <w:pPr>
        <w:ind w:right="339" w:firstLine="648"/>
        <w:spacing w:after="0" w:line="264" w:lineRule="auto"/>
        <w:rPr>
          <w:sz w:val="20"/>
          <w:szCs w:val="20"/>
          <w:color w:val="auto"/>
        </w:rPr>
      </w:pPr>
      <w:r>
        <w:rPr>
          <w:rFonts w:ascii="Arial" w:cs="Arial" w:eastAsia="Arial" w:hAnsi="Arial"/>
          <w:sz w:val="18"/>
          <w:szCs w:val="18"/>
          <w:color w:val="auto"/>
        </w:rPr>
        <w:t>Grant Thornton LLP, the independent registered public accounting firm that audited the consolidated financial statements included in this Annual Report on Form 10-K, has issued a report, included below, on the effectiveness of our internal control over financial reporting as of December 31, 2018.</w:t>
      </w:r>
    </w:p>
    <w:p>
      <w:pPr>
        <w:spacing w:after="0" w:line="18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Applied Optoelectronics, Inc. (a Delaware corporation) and subsidiaries (the “Company”) as of December 31, 2018, based on criteria established in the 2013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opinion, the Company maintained, in all material respects, effective internal control over financial reporting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Company as of and for the year ended December 31, 2018, and our report dated February 26, 2019 expressed an unqualified opinion on those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2019 Annual Meeting of Stockholders (our “Proxy Statement”), a copy of which will be filed with the Securities and Exchange Commission within 120 days after the end of our fiscal year ended December 31, 2018.</w:t>
      </w:r>
    </w:p>
    <w:p>
      <w:pPr>
        <w:spacing w:after="0" w:line="14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43"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43"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7"/>
          <w:szCs w:val="17"/>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171"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intends to satisfy the public disclosure requirements regarding (1) any amendments to the Code, or</w:t>
      </w:r>
    </w:p>
    <w:p>
      <w:pPr>
        <w:spacing w:after="0" w:line="21" w:lineRule="exact"/>
        <w:rPr>
          <w:sz w:val="20"/>
          <w:szCs w:val="20"/>
          <w:color w:val="auto"/>
        </w:rPr>
      </w:pPr>
    </w:p>
    <w:p>
      <w:pPr>
        <w:ind w:right="40" w:firstLine="3"/>
        <w:spacing w:after="0" w:line="226"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2018.</w:t>
      </w:r>
    </w:p>
    <w:p>
      <w:pPr>
        <w:spacing w:after="0" w:line="1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jc w:val="both"/>
        <w:ind w:right="120" w:firstLine="648"/>
        <w:spacing w:after="0" w:line="235"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4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our Proxy Statement.</w:t>
      </w:r>
    </w:p>
    <w:p>
      <w:pPr>
        <w:spacing w:after="0" w:line="1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240" w:firstLine="648"/>
        <w:spacing w:after="0" w:line="253" w:lineRule="auto"/>
        <w:rPr>
          <w:sz w:val="20"/>
          <w:szCs w:val="20"/>
          <w:color w:val="auto"/>
        </w:rPr>
      </w:pPr>
      <w:r>
        <w:rPr>
          <w:rFonts w:ascii="Arial" w:cs="Arial" w:eastAsia="Arial" w:hAnsi="Arial"/>
          <w:sz w:val="17"/>
          <w:szCs w:val="17"/>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right="379" w:firstLine="651"/>
        <w:spacing w:after="0" w:line="223" w:lineRule="exact"/>
        <w:tabs>
          <w:tab w:leader="none" w:pos="8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The consolidated financial statements are listed on the Index to Consolidated Financial Statements to this report beginning on page F</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03"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(a)(2) Financial Statement Schedules. Financial statement schedules have been omitted, as the information required to be set forth therein is included in the Consolidated Financial Statements or Notes thereto appearing in this Annual Report on Form 10-K.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 See the Exhibit immediately following Item 16. Form 10-K Summary of this Form 10-K..</w:t>
      </w:r>
    </w:p>
    <w:p>
      <w:pPr>
        <w:spacing w:after="0" w:line="2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rPr>
              <w:t>Form</w:t>
            </w:r>
          </w:p>
        </w:tc>
        <w:tc>
          <w:tcPr>
            <w:tcW w:w="3440" w:type="dxa"/>
            <w:vAlign w:val="bottom"/>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61"/>
        </w:trPr>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26"/>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86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jc w:val="center"/>
              <w:ind w:left="119"/>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2"/>
        </w:trPr>
        <w:tc>
          <w:tcPr>
            <w:tcW w:w="880" w:type="dxa"/>
            <w:vAlign w:val="bottom"/>
          </w:tcPr>
          <w:p>
            <w:pPr>
              <w:jc w:val="right"/>
              <w:ind w:right="119"/>
              <w:spacing w:after="0" w:line="172" w:lineRule="exact"/>
              <w:rPr>
                <w:sz w:val="20"/>
                <w:szCs w:val="20"/>
                <w:color w:val="auto"/>
              </w:rPr>
            </w:pPr>
            <w:r>
              <w:rPr>
                <w:rFonts w:ascii="Arial" w:cs="Arial" w:eastAsia="Arial" w:hAnsi="Arial"/>
                <w:sz w:val="16"/>
                <w:szCs w:val="16"/>
                <w:color w:val="auto"/>
              </w:rPr>
              <w:t>3.1</w:t>
            </w:r>
          </w:p>
        </w:tc>
        <w:tc>
          <w:tcPr>
            <w:tcW w:w="3500" w:type="dxa"/>
            <w:vAlign w:val="bottom"/>
            <w:tcBorders>
              <w:bottom w:val="single" w:sz="8" w:color="0000EE"/>
            </w:tcBorders>
            <w:gridSpan w:val="30"/>
          </w:tcPr>
          <w:p>
            <w:pPr>
              <w:spacing w:after="0" w:line="172" w:lineRule="exact"/>
              <w:rPr>
                <w:rFonts w:ascii="Arial" w:cs="Arial" w:eastAsia="Arial" w:hAnsi="Arial"/>
                <w:sz w:val="16"/>
                <w:szCs w:val="16"/>
                <w:color w:val="0000EE"/>
                <w:w w:val="92"/>
              </w:rPr>
            </w:pPr>
            <w:hyperlink r:id="rId83">
              <w:r>
                <w:rPr>
                  <w:rFonts w:ascii="Arial" w:cs="Arial" w:eastAsia="Arial" w:hAnsi="Arial"/>
                  <w:sz w:val="16"/>
                  <w:szCs w:val="16"/>
                  <w:color w:val="0000EE"/>
                  <w:w w:val="92"/>
                </w:rPr>
                <w:t>Amended and Restated Certificate of Incorporation of</w:t>
              </w:r>
            </w:hyperlink>
          </w:p>
        </w:tc>
        <w:tc>
          <w:tcPr>
            <w:tcW w:w="20" w:type="dxa"/>
            <w:vAlign w:val="bottom"/>
          </w:tcPr>
          <w:p>
            <w:pPr>
              <w:spacing w:after="0"/>
              <w:rPr>
                <w:sz w:val="14"/>
                <w:szCs w:val="14"/>
                <w:color w:val="auto"/>
              </w:rPr>
            </w:pPr>
          </w:p>
        </w:tc>
        <w:tc>
          <w:tcPr>
            <w:tcW w:w="920" w:type="dxa"/>
            <w:vAlign w:val="bottom"/>
          </w:tcPr>
          <w:p>
            <w:pPr>
              <w:jc w:val="center"/>
              <w:ind w:left="39"/>
              <w:spacing w:after="0" w:line="172" w:lineRule="exact"/>
              <w:rPr>
                <w:sz w:val="20"/>
                <w:szCs w:val="20"/>
                <w:color w:val="auto"/>
              </w:rPr>
            </w:pPr>
            <w:r>
              <w:rPr>
                <w:rFonts w:ascii="Arial" w:cs="Arial" w:eastAsia="Arial" w:hAnsi="Arial"/>
                <w:sz w:val="16"/>
                <w:szCs w:val="16"/>
                <w:color w:val="auto"/>
                <w:w w:val="89"/>
              </w:rPr>
              <w:t>10-Q</w:t>
            </w:r>
          </w:p>
        </w:tc>
        <w:tc>
          <w:tcPr>
            <w:tcW w:w="1100" w:type="dxa"/>
            <w:vAlign w:val="bottom"/>
          </w:tcPr>
          <w:p>
            <w:pPr>
              <w:jc w:val="center"/>
              <w:spacing w:after="0" w:line="172" w:lineRule="exact"/>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480" w:type="dxa"/>
            <w:vAlign w:val="bottom"/>
          </w:tcPr>
          <w:p>
            <w:pPr>
              <w:jc w:val="center"/>
              <w:ind w:left="99"/>
              <w:spacing w:after="0" w:line="172" w:lineRule="exact"/>
              <w:rPr>
                <w:sz w:val="20"/>
                <w:szCs w:val="20"/>
                <w:color w:val="auto"/>
              </w:rPr>
            </w:pPr>
            <w:r>
              <w:rPr>
                <w:rFonts w:ascii="Arial" w:cs="Arial" w:eastAsia="Arial" w:hAnsi="Arial"/>
                <w:sz w:val="16"/>
                <w:szCs w:val="16"/>
                <w:color w:val="auto"/>
                <w:w w:val="92"/>
              </w:rPr>
              <w:t>November 14,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gridSpan w:val="31"/>
          </w:tcPr>
          <w:p>
            <w:pPr>
              <w:spacing w:after="0" w:line="183" w:lineRule="exact"/>
              <w:rPr>
                <w:rFonts w:ascii="Arial" w:cs="Arial" w:eastAsia="Arial" w:hAnsi="Arial"/>
                <w:sz w:val="16"/>
                <w:szCs w:val="16"/>
                <w:color w:val="0000EE"/>
              </w:rPr>
            </w:pPr>
            <w:hyperlink r:id="rId83">
              <w:r>
                <w:rPr>
                  <w:rFonts w:ascii="Arial" w:cs="Arial" w:eastAsia="Arial" w:hAnsi="Arial"/>
                  <w:sz w:val="16"/>
                  <w:szCs w:val="16"/>
                  <w:color w:val="0000EE"/>
                </w:rPr>
                <w:t>the registrant, as currently in effect</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3520" w:type="dxa"/>
            <w:vAlign w:val="bottom"/>
            <w:gridSpan w:val="31"/>
          </w:tcPr>
          <w:p>
            <w:pPr>
              <w:spacing w:after="0"/>
              <w:rPr>
                <w:rFonts w:ascii="Arial" w:cs="Arial" w:eastAsia="Arial" w:hAnsi="Arial"/>
                <w:sz w:val="16"/>
                <w:szCs w:val="16"/>
                <w:color w:val="0000EE"/>
                <w:w w:val="95"/>
              </w:rPr>
            </w:pPr>
            <w:hyperlink r:id="rId84">
              <w:r>
                <w:rPr>
                  <w:rFonts w:ascii="Arial" w:cs="Arial" w:eastAsia="Arial" w:hAnsi="Arial"/>
                  <w:sz w:val="16"/>
                  <w:szCs w:val="16"/>
                  <w:color w:val="0000EE"/>
                  <w:w w:val="95"/>
                </w:rPr>
                <w:t>Amended and Restated Bylaws of the registrant, as</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89"/>
              </w:rPr>
              <w:t>10-Q</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480" w:type="dxa"/>
            <w:vAlign w:val="bottom"/>
          </w:tcPr>
          <w:p>
            <w:pPr>
              <w:jc w:val="center"/>
              <w:ind w:left="99"/>
              <w:spacing w:after="0"/>
              <w:rPr>
                <w:sz w:val="20"/>
                <w:szCs w:val="20"/>
                <w:color w:val="auto"/>
              </w:rPr>
            </w:pPr>
            <w:r>
              <w:rPr>
                <w:rFonts w:ascii="Arial" w:cs="Arial" w:eastAsia="Arial" w:hAnsi="Arial"/>
                <w:sz w:val="16"/>
                <w:szCs w:val="16"/>
                <w:color w:val="auto"/>
                <w:w w:val="92"/>
              </w:rPr>
              <w:t>November 14,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3"/>
              </w:rPr>
            </w:pPr>
            <w:hyperlink r:id="rId84">
              <w:r>
                <w:rPr>
                  <w:rFonts w:ascii="Arial" w:cs="Arial" w:eastAsia="Arial" w:hAnsi="Arial"/>
                  <w:sz w:val="16"/>
                  <w:szCs w:val="16"/>
                  <w:color w:val="0000EE"/>
                  <w:w w:val="93"/>
                </w:rPr>
                <w:t>currently in effect</w:t>
              </w:r>
            </w:hyperlink>
          </w:p>
        </w:tc>
        <w:tc>
          <w:tcPr>
            <w:tcW w:w="2140" w:type="dxa"/>
            <w:vAlign w:val="bottom"/>
            <w:tcBorders>
              <w:top w:val="single" w:sz="8" w:color="0000EE"/>
            </w:tcBorders>
            <w:gridSpan w:val="17"/>
          </w:tcPr>
          <w:p>
            <w:pPr>
              <w:spacing w:after="0"/>
              <w:rPr>
                <w:sz w:val="15"/>
                <w:szCs w:val="15"/>
                <w:color w:val="auto"/>
              </w:rPr>
            </w:pPr>
          </w:p>
        </w:tc>
        <w:tc>
          <w:tcPr>
            <w:tcW w:w="22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3520" w:type="dxa"/>
            <w:vAlign w:val="bottom"/>
            <w:gridSpan w:val="31"/>
          </w:tcPr>
          <w:p>
            <w:pPr>
              <w:spacing w:after="0"/>
              <w:rPr>
                <w:rFonts w:ascii="Arial" w:cs="Arial" w:eastAsia="Arial" w:hAnsi="Arial"/>
                <w:sz w:val="16"/>
                <w:szCs w:val="16"/>
                <w:color w:val="0000EE"/>
              </w:rPr>
            </w:pPr>
            <w:hyperlink r:id="rId85">
              <w:r>
                <w:rPr>
                  <w:rFonts w:ascii="Arial" w:cs="Arial" w:eastAsia="Arial" w:hAnsi="Arial"/>
                  <w:sz w:val="16"/>
                  <w:szCs w:val="16"/>
                  <w:color w:val="0000EE"/>
                </w:rPr>
                <w:t>Common Stock Specimen</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80" w:type="dxa"/>
            <w:vAlign w:val="bottom"/>
          </w:tcPr>
          <w:p>
            <w:pPr>
              <w:jc w:val="center"/>
              <w:ind w:left="99"/>
              <w:spacing w:after="0"/>
              <w:rPr>
                <w:sz w:val="20"/>
                <w:szCs w:val="20"/>
                <w:color w:val="auto"/>
              </w:rPr>
            </w:pPr>
            <w:r>
              <w:rPr>
                <w:rFonts w:ascii="Arial" w:cs="Arial" w:eastAsia="Arial" w:hAnsi="Arial"/>
                <w:sz w:val="16"/>
                <w:szCs w:val="16"/>
                <w:color w:val="auto"/>
                <w:w w:val="92"/>
              </w:rPr>
              <w:t>November 14, 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3180" w:type="dxa"/>
            <w:vAlign w:val="bottom"/>
            <w:tcBorders>
              <w:bottom w:val="single" w:sz="8" w:color="0000EE"/>
            </w:tcBorders>
            <w:gridSpan w:val="19"/>
          </w:tcPr>
          <w:p>
            <w:pPr>
              <w:spacing w:after="0"/>
              <w:rPr>
                <w:rFonts w:ascii="Arial" w:cs="Arial" w:eastAsia="Arial" w:hAnsi="Arial"/>
                <w:sz w:val="16"/>
                <w:szCs w:val="16"/>
                <w:color w:val="0000EE"/>
                <w:w w:val="92"/>
              </w:rPr>
            </w:pPr>
            <w:hyperlink r:id="rId86">
              <w:r>
                <w:rPr>
                  <w:rFonts w:ascii="Arial" w:cs="Arial" w:eastAsia="Arial" w:hAnsi="Arial"/>
                  <w:sz w:val="16"/>
                  <w:szCs w:val="16"/>
                  <w:color w:val="0000EE"/>
                  <w:w w:val="92"/>
                </w:rPr>
                <w:t>Form of Indemnification Agreement between the</w:t>
              </w:r>
            </w:hyperlink>
          </w:p>
        </w:tc>
        <w:tc>
          <w:tcPr>
            <w:tcW w:w="340" w:type="dxa"/>
            <w:vAlign w:val="bottom"/>
            <w:gridSpan w:val="12"/>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gridSpan w:val="31"/>
          </w:tcPr>
          <w:p>
            <w:pPr>
              <w:spacing w:after="0" w:line="183" w:lineRule="exact"/>
              <w:rPr>
                <w:rFonts w:ascii="Arial" w:cs="Arial" w:eastAsia="Arial" w:hAnsi="Arial"/>
                <w:sz w:val="16"/>
                <w:szCs w:val="16"/>
                <w:color w:val="0000EE"/>
              </w:rPr>
            </w:pPr>
            <w:hyperlink r:id="rId86">
              <w:r>
                <w:rPr>
                  <w:rFonts w:ascii="Arial" w:cs="Arial" w:eastAsia="Arial" w:hAnsi="Arial"/>
                  <w:sz w:val="16"/>
                  <w:szCs w:val="16"/>
                  <w:color w:val="0000EE"/>
                </w:rPr>
                <w:t>registrant each of its Directors and certain of its</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86">
              <w:r>
                <w:rPr>
                  <w:rFonts w:ascii="Arial" w:cs="Arial" w:eastAsia="Arial" w:hAnsi="Arial"/>
                  <w:sz w:val="16"/>
                  <w:szCs w:val="16"/>
                  <w:color w:val="0000EE"/>
                  <w:w w:val="93"/>
                </w:rPr>
                <w:t>Executive Officers</w:t>
              </w:r>
            </w:hyperlink>
          </w:p>
        </w:tc>
        <w:tc>
          <w:tcPr>
            <w:tcW w:w="1860" w:type="dxa"/>
            <w:vAlign w:val="bottom"/>
            <w:tcBorders>
              <w:top w:val="single" w:sz="8" w:color="0000EE"/>
            </w:tcBorders>
            <w:gridSpan w:val="10"/>
          </w:tcPr>
          <w:p>
            <w:pPr>
              <w:spacing w:after="0"/>
              <w:rPr>
                <w:sz w:val="15"/>
                <w:szCs w:val="15"/>
                <w:color w:val="auto"/>
              </w:rPr>
            </w:pPr>
          </w:p>
        </w:tc>
        <w:tc>
          <w:tcPr>
            <w:tcW w:w="44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720" w:type="dxa"/>
            <w:vAlign w:val="bottom"/>
            <w:tcBorders>
              <w:bottom w:val="single" w:sz="8" w:color="0000EE"/>
            </w:tcBorders>
            <w:gridSpan w:val="9"/>
          </w:tcPr>
          <w:p>
            <w:pPr>
              <w:spacing w:after="0"/>
              <w:rPr>
                <w:rFonts w:ascii="Arial" w:cs="Arial" w:eastAsia="Arial" w:hAnsi="Arial"/>
                <w:sz w:val="16"/>
                <w:szCs w:val="16"/>
                <w:color w:val="0000EE"/>
                <w:w w:val="90"/>
              </w:rPr>
            </w:pPr>
            <w:hyperlink r:id="rId87">
              <w:r>
                <w:rPr>
                  <w:rFonts w:ascii="Arial" w:cs="Arial" w:eastAsia="Arial" w:hAnsi="Arial"/>
                  <w:sz w:val="16"/>
                  <w:szCs w:val="16"/>
                  <w:color w:val="0000EE"/>
                  <w:w w:val="90"/>
                </w:rPr>
                <w:t>2004 Incentive Share Plan</w:t>
              </w:r>
            </w:hyperlink>
          </w:p>
        </w:tc>
        <w:tc>
          <w:tcPr>
            <w:tcW w:w="1800" w:type="dxa"/>
            <w:vAlign w:val="bottom"/>
            <w:gridSpan w:val="22"/>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10.2.1†</w:t>
            </w:r>
          </w:p>
        </w:tc>
        <w:tc>
          <w:tcPr>
            <w:tcW w:w="2960" w:type="dxa"/>
            <w:vAlign w:val="bottom"/>
            <w:tcBorders>
              <w:bottom w:val="single" w:sz="8" w:color="0000EE"/>
            </w:tcBorders>
            <w:gridSpan w:val="14"/>
          </w:tcPr>
          <w:p>
            <w:pPr>
              <w:spacing w:after="0"/>
              <w:rPr>
                <w:rFonts w:ascii="Arial" w:cs="Arial" w:eastAsia="Arial" w:hAnsi="Arial"/>
                <w:sz w:val="16"/>
                <w:szCs w:val="16"/>
                <w:color w:val="0000EE"/>
                <w:w w:val="92"/>
              </w:rPr>
            </w:pPr>
            <w:hyperlink r:id="rId88">
              <w:r>
                <w:rPr>
                  <w:rFonts w:ascii="Arial" w:cs="Arial" w:eastAsia="Arial" w:hAnsi="Arial"/>
                  <w:sz w:val="16"/>
                  <w:szCs w:val="16"/>
                  <w:color w:val="0000EE"/>
                  <w:w w:val="92"/>
                </w:rPr>
                <w:t>Form of Stock Option Agreement under 2004</w:t>
              </w:r>
            </w:hyperlink>
          </w:p>
        </w:tc>
        <w:tc>
          <w:tcPr>
            <w:tcW w:w="560" w:type="dxa"/>
            <w:vAlign w:val="bottom"/>
            <w:gridSpan w:val="17"/>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10.4.1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340" w:type="dxa"/>
            <w:vAlign w:val="bottom"/>
            <w:tcBorders>
              <w:bottom w:val="single" w:sz="8" w:color="0000EE"/>
            </w:tcBorders>
            <w:gridSpan w:val="7"/>
          </w:tcPr>
          <w:p>
            <w:pPr>
              <w:spacing w:after="0" w:line="183" w:lineRule="exact"/>
              <w:rPr>
                <w:rFonts w:ascii="Arial" w:cs="Arial" w:eastAsia="Arial" w:hAnsi="Arial"/>
                <w:sz w:val="16"/>
                <w:szCs w:val="16"/>
                <w:color w:val="0000EE"/>
                <w:w w:val="89"/>
              </w:rPr>
            </w:pPr>
            <w:hyperlink r:id="rId88">
              <w:r>
                <w:rPr>
                  <w:rFonts w:ascii="Arial" w:cs="Arial" w:eastAsia="Arial" w:hAnsi="Arial"/>
                  <w:sz w:val="16"/>
                  <w:szCs w:val="16"/>
                  <w:color w:val="0000EE"/>
                  <w:w w:val="89"/>
                </w:rPr>
                <w:t>Incentive Share Plan</w:t>
              </w:r>
            </w:hyperlink>
          </w:p>
        </w:tc>
        <w:tc>
          <w:tcPr>
            <w:tcW w:w="2180" w:type="dxa"/>
            <w:vAlign w:val="bottom"/>
            <w:gridSpan w:val="24"/>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3520" w:type="dxa"/>
            <w:vAlign w:val="bottom"/>
            <w:gridSpan w:val="31"/>
          </w:tcPr>
          <w:p>
            <w:pPr>
              <w:spacing w:after="0"/>
              <w:rPr>
                <w:rFonts w:ascii="Arial" w:cs="Arial" w:eastAsia="Arial" w:hAnsi="Arial"/>
                <w:sz w:val="16"/>
                <w:szCs w:val="16"/>
                <w:color w:val="0000EE"/>
              </w:rPr>
            </w:pPr>
            <w:hyperlink r:id="rId89">
              <w:r>
                <w:rPr>
                  <w:rFonts w:ascii="Arial" w:cs="Arial" w:eastAsia="Arial" w:hAnsi="Arial"/>
                  <w:sz w:val="16"/>
                  <w:szCs w:val="16"/>
                  <w:color w:val="0000EE"/>
                </w:rPr>
                <w:t>2006 Incentive Share Plan</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3520" w:type="dxa"/>
            <w:vAlign w:val="bottom"/>
            <w:gridSpan w:val="31"/>
          </w:tcPr>
          <w:p>
            <w:pPr>
              <w:spacing w:after="0"/>
              <w:rPr>
                <w:rFonts w:ascii="Arial" w:cs="Arial" w:eastAsia="Arial" w:hAnsi="Arial"/>
                <w:sz w:val="16"/>
                <w:szCs w:val="16"/>
                <w:color w:val="0000EE"/>
              </w:rPr>
            </w:pPr>
            <w:hyperlink r:id="rId90">
              <w:r>
                <w:rPr>
                  <w:rFonts w:ascii="Arial" w:cs="Arial" w:eastAsia="Arial" w:hAnsi="Arial"/>
                  <w:sz w:val="16"/>
                  <w:szCs w:val="16"/>
                  <w:color w:val="0000EE"/>
                </w:rPr>
                <w:t>First Amendment to 2006 Incentive Share Plan</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10.5.1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27, 2013</w:t>
            </w: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10.3.2†</w:t>
            </w:r>
          </w:p>
        </w:tc>
        <w:tc>
          <w:tcPr>
            <w:tcW w:w="2960" w:type="dxa"/>
            <w:vAlign w:val="bottom"/>
            <w:tcBorders>
              <w:top w:val="single" w:sz="8" w:color="0000EE"/>
              <w:bottom w:val="single" w:sz="8" w:color="0000EE"/>
            </w:tcBorders>
            <w:gridSpan w:val="14"/>
          </w:tcPr>
          <w:p>
            <w:pPr>
              <w:spacing w:after="0"/>
              <w:rPr>
                <w:rFonts w:ascii="Arial" w:cs="Arial" w:eastAsia="Arial" w:hAnsi="Arial"/>
                <w:sz w:val="16"/>
                <w:szCs w:val="16"/>
                <w:color w:val="0000EE"/>
                <w:w w:val="92"/>
              </w:rPr>
            </w:pPr>
            <w:hyperlink r:id="rId91">
              <w:r>
                <w:rPr>
                  <w:rFonts w:ascii="Arial" w:cs="Arial" w:eastAsia="Arial" w:hAnsi="Arial"/>
                  <w:sz w:val="16"/>
                  <w:szCs w:val="16"/>
                  <w:color w:val="0000EE"/>
                  <w:w w:val="92"/>
                </w:rPr>
                <w:t>Form of Stock Option Agreement under 2006</w:t>
              </w:r>
            </w:hyperlink>
          </w:p>
        </w:tc>
        <w:tc>
          <w:tcPr>
            <w:tcW w:w="80" w:type="dxa"/>
            <w:vAlign w:val="bottom"/>
            <w:tcBorders>
              <w:top w:val="single" w:sz="8" w:color="0000EE"/>
            </w:tcBorders>
          </w:tcPr>
          <w:p>
            <w:pPr>
              <w:spacing w:after="0"/>
              <w:rPr>
                <w:sz w:val="24"/>
                <w:szCs w:val="24"/>
                <w:color w:val="auto"/>
              </w:rPr>
            </w:pPr>
          </w:p>
        </w:tc>
        <w:tc>
          <w:tcPr>
            <w:tcW w:w="480" w:type="dxa"/>
            <w:vAlign w:val="bottom"/>
            <w:gridSpan w:val="16"/>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10.5.2</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340" w:type="dxa"/>
            <w:vAlign w:val="bottom"/>
            <w:tcBorders>
              <w:bottom w:val="single" w:sz="8" w:color="0000EE"/>
            </w:tcBorders>
            <w:gridSpan w:val="7"/>
          </w:tcPr>
          <w:p>
            <w:pPr>
              <w:spacing w:after="0" w:line="183" w:lineRule="exact"/>
              <w:rPr>
                <w:rFonts w:ascii="Arial" w:cs="Arial" w:eastAsia="Arial" w:hAnsi="Arial"/>
                <w:sz w:val="16"/>
                <w:szCs w:val="16"/>
                <w:color w:val="0000EE"/>
                <w:w w:val="89"/>
              </w:rPr>
            </w:pPr>
            <w:hyperlink r:id="rId91">
              <w:r>
                <w:rPr>
                  <w:rFonts w:ascii="Arial" w:cs="Arial" w:eastAsia="Arial" w:hAnsi="Arial"/>
                  <w:sz w:val="16"/>
                  <w:szCs w:val="16"/>
                  <w:color w:val="0000EE"/>
                  <w:w w:val="89"/>
                </w:rPr>
                <w:t>Incentive Share Plan</w:t>
              </w:r>
            </w:hyperlink>
          </w:p>
        </w:tc>
        <w:tc>
          <w:tcPr>
            <w:tcW w:w="2180" w:type="dxa"/>
            <w:vAlign w:val="bottom"/>
            <w:gridSpan w:val="24"/>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3520" w:type="dxa"/>
            <w:vAlign w:val="bottom"/>
            <w:gridSpan w:val="31"/>
          </w:tcPr>
          <w:p>
            <w:pPr>
              <w:spacing w:after="0"/>
              <w:rPr>
                <w:rFonts w:ascii="Arial" w:cs="Arial" w:eastAsia="Arial" w:hAnsi="Arial"/>
                <w:sz w:val="16"/>
                <w:szCs w:val="16"/>
                <w:color w:val="0000EE"/>
                <w:w w:val="96"/>
              </w:rPr>
            </w:pPr>
            <w:hyperlink r:id="rId92">
              <w:r>
                <w:rPr>
                  <w:rFonts w:ascii="Arial" w:cs="Arial" w:eastAsia="Arial" w:hAnsi="Arial"/>
                  <w:sz w:val="16"/>
                  <w:szCs w:val="16"/>
                  <w:color w:val="0000EE"/>
                  <w:w w:val="96"/>
                </w:rPr>
                <w:t>Amended and Restated 2013 Equity Incentive Plan</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4"/>
              </w:rPr>
              <w:t>10-K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3"/>
              </w:rPr>
              <w:t>March 9, 2017</w:t>
            </w: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3300" w:type="dxa"/>
            <w:vAlign w:val="bottom"/>
            <w:tcBorders>
              <w:top w:val="single" w:sz="8" w:color="0000EE"/>
            </w:tcBorders>
            <w:gridSpan w:val="22"/>
          </w:tcPr>
          <w:p>
            <w:pPr>
              <w:spacing w:after="0"/>
              <w:rPr>
                <w:rFonts w:ascii="Arial" w:cs="Arial" w:eastAsia="Arial" w:hAnsi="Arial"/>
                <w:sz w:val="16"/>
                <w:szCs w:val="16"/>
                <w:color w:val="0000EE"/>
                <w:w w:val="92"/>
              </w:rPr>
            </w:pPr>
            <w:hyperlink r:id="rId93">
              <w:r>
                <w:rPr>
                  <w:rFonts w:ascii="Arial" w:cs="Arial" w:eastAsia="Arial" w:hAnsi="Arial"/>
                  <w:sz w:val="16"/>
                  <w:szCs w:val="16"/>
                  <w:color w:val="0000EE"/>
                  <w:w w:val="92"/>
                </w:rPr>
                <w:t>Form of Restricted Stock Award Agreement under</w:t>
              </w:r>
            </w:hyperlink>
          </w:p>
        </w:tc>
        <w:tc>
          <w:tcPr>
            <w:tcW w:w="220" w:type="dxa"/>
            <w:vAlign w:val="bottom"/>
            <w:gridSpan w:val="9"/>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10.6.1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6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93">
              <w:r>
                <w:rPr>
                  <w:rFonts w:ascii="Arial" w:cs="Arial" w:eastAsia="Arial" w:hAnsi="Arial"/>
                  <w:sz w:val="16"/>
                  <w:szCs w:val="16"/>
                  <w:color w:val="0000EE"/>
                </w:rPr>
                <w:t>2013 Equity Incentive Plan</w:t>
              </w:r>
            </w:hyperlink>
          </w:p>
        </w:tc>
        <w:tc>
          <w:tcPr>
            <w:tcW w:w="260" w:type="dxa"/>
            <w:vAlign w:val="bottom"/>
            <w:gridSpan w:val="10"/>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3520" w:type="dxa"/>
            <w:vAlign w:val="bottom"/>
            <w:gridSpan w:val="31"/>
          </w:tcPr>
          <w:p>
            <w:pPr>
              <w:spacing w:after="0"/>
              <w:rPr>
                <w:rFonts w:ascii="Arial" w:cs="Arial" w:eastAsia="Arial" w:hAnsi="Arial"/>
                <w:sz w:val="16"/>
                <w:szCs w:val="16"/>
                <w:color w:val="0000EE"/>
              </w:rPr>
            </w:pPr>
            <w:hyperlink r:id="rId94">
              <w:r>
                <w:rPr>
                  <w:rFonts w:ascii="Arial" w:cs="Arial" w:eastAsia="Arial" w:hAnsi="Arial"/>
                  <w:sz w:val="16"/>
                  <w:szCs w:val="16"/>
                  <w:color w:val="0000EE"/>
                </w:rPr>
                <w:t>Form of Restricted Stock Unit Award Agreement</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10.6.2</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1"/>
              </w:rPr>
            </w:pPr>
            <w:hyperlink r:id="rId94">
              <w:r>
                <w:rPr>
                  <w:rFonts w:ascii="Arial" w:cs="Arial" w:eastAsia="Arial" w:hAnsi="Arial"/>
                  <w:sz w:val="16"/>
                  <w:szCs w:val="16"/>
                  <w:color w:val="0000EE"/>
                  <w:w w:val="91"/>
                </w:rPr>
                <w:t>under 2013 Equity Incentive Plan</w:t>
              </w:r>
            </w:hyperlink>
          </w:p>
        </w:tc>
        <w:tc>
          <w:tcPr>
            <w:tcW w:w="1000" w:type="dxa"/>
            <w:vAlign w:val="bottom"/>
            <w:tcBorders>
              <w:top w:val="single" w:sz="8" w:color="0000EE"/>
            </w:tcBorders>
            <w:gridSpan w:val="8"/>
          </w:tcPr>
          <w:p>
            <w:pPr>
              <w:spacing w:after="0"/>
              <w:rPr>
                <w:sz w:val="15"/>
                <w:szCs w:val="15"/>
                <w:color w:val="auto"/>
              </w:rPr>
            </w:pPr>
          </w:p>
        </w:tc>
        <w:tc>
          <w:tcPr>
            <w:tcW w:w="340" w:type="dxa"/>
            <w:vAlign w:val="bottom"/>
            <w:gridSpan w:val="12"/>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10.4.3†</w:t>
            </w:r>
          </w:p>
        </w:tc>
        <w:tc>
          <w:tcPr>
            <w:tcW w:w="3520" w:type="dxa"/>
            <w:vAlign w:val="bottom"/>
            <w:gridSpan w:val="31"/>
          </w:tcPr>
          <w:p>
            <w:pPr>
              <w:spacing w:after="0"/>
              <w:rPr>
                <w:rFonts w:ascii="Arial" w:cs="Arial" w:eastAsia="Arial" w:hAnsi="Arial"/>
                <w:sz w:val="16"/>
                <w:szCs w:val="16"/>
                <w:color w:val="0000EE"/>
                <w:w w:val="95"/>
              </w:rPr>
            </w:pPr>
            <w:hyperlink r:id="rId95">
              <w:r>
                <w:rPr>
                  <w:rFonts w:ascii="Arial" w:cs="Arial" w:eastAsia="Arial" w:hAnsi="Arial"/>
                  <w:sz w:val="16"/>
                  <w:szCs w:val="16"/>
                  <w:color w:val="0000EE"/>
                  <w:w w:val="95"/>
                </w:rPr>
                <w:t>Form of Stock Appreciation Right Award Agreement</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10.6.3</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1"/>
              </w:rPr>
            </w:pPr>
            <w:hyperlink r:id="rId95">
              <w:r>
                <w:rPr>
                  <w:rFonts w:ascii="Arial" w:cs="Arial" w:eastAsia="Arial" w:hAnsi="Arial"/>
                  <w:sz w:val="16"/>
                  <w:szCs w:val="16"/>
                  <w:color w:val="0000EE"/>
                  <w:w w:val="91"/>
                </w:rPr>
                <w:t>under 2013 Equity Incentive Plan</w:t>
              </w:r>
            </w:hyperlink>
          </w:p>
        </w:tc>
        <w:tc>
          <w:tcPr>
            <w:tcW w:w="1260" w:type="dxa"/>
            <w:vAlign w:val="bottom"/>
            <w:tcBorders>
              <w:top w:val="single" w:sz="8" w:color="0000EE"/>
            </w:tcBorders>
            <w:gridSpan w:val="17"/>
          </w:tcPr>
          <w:p>
            <w:pPr>
              <w:spacing w:after="0"/>
              <w:rPr>
                <w:sz w:val="15"/>
                <w:szCs w:val="15"/>
                <w:color w:val="auto"/>
              </w:rPr>
            </w:pPr>
          </w:p>
        </w:tc>
        <w:tc>
          <w:tcPr>
            <w:tcW w:w="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10.4.4†</w:t>
            </w:r>
          </w:p>
        </w:tc>
        <w:tc>
          <w:tcPr>
            <w:tcW w:w="3520" w:type="dxa"/>
            <w:vAlign w:val="bottom"/>
            <w:gridSpan w:val="31"/>
          </w:tcPr>
          <w:p>
            <w:pPr>
              <w:spacing w:after="0"/>
              <w:rPr>
                <w:rFonts w:ascii="Arial" w:cs="Arial" w:eastAsia="Arial" w:hAnsi="Arial"/>
                <w:sz w:val="16"/>
                <w:szCs w:val="16"/>
                <w:color w:val="0000EE"/>
              </w:rPr>
            </w:pPr>
            <w:hyperlink r:id="rId96">
              <w:r>
                <w:rPr>
                  <w:rFonts w:ascii="Arial" w:cs="Arial" w:eastAsia="Arial" w:hAnsi="Arial"/>
                  <w:sz w:val="16"/>
                  <w:szCs w:val="16"/>
                  <w:color w:val="0000EE"/>
                </w:rPr>
                <w:t>Form of Notice of Stock Option Award and Stock</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10.6.4</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2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96">
              <w:r>
                <w:rPr>
                  <w:rFonts w:ascii="Arial" w:cs="Arial" w:eastAsia="Arial" w:hAnsi="Arial"/>
                  <w:sz w:val="16"/>
                  <w:szCs w:val="16"/>
                  <w:color w:val="0000EE"/>
                </w:rPr>
                <w:t>Option Award Agreement under 2013 Equity</w:t>
              </w:r>
            </w:hyperlink>
          </w:p>
        </w:tc>
        <w:tc>
          <w:tcPr>
            <w:tcW w:w="30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92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96">
              <w:r>
                <w:rPr>
                  <w:rFonts w:ascii="Arial" w:cs="Arial" w:eastAsia="Arial" w:hAnsi="Arial"/>
                  <w:sz w:val="16"/>
                  <w:szCs w:val="16"/>
                  <w:color w:val="0000EE"/>
                </w:rPr>
                <w:t>Incentive Plan</w:t>
              </w:r>
            </w:hyperlink>
          </w:p>
        </w:tc>
        <w:tc>
          <w:tcPr>
            <w:tcW w:w="600" w:type="dxa"/>
            <w:vAlign w:val="bottom"/>
            <w:gridSpan w:val="18"/>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3520" w:type="dxa"/>
            <w:vAlign w:val="bottom"/>
            <w:gridSpan w:val="31"/>
          </w:tcPr>
          <w:p>
            <w:pPr>
              <w:spacing w:after="0"/>
              <w:rPr>
                <w:rFonts w:ascii="Arial" w:cs="Arial" w:eastAsia="Arial" w:hAnsi="Arial"/>
                <w:sz w:val="16"/>
                <w:szCs w:val="16"/>
                <w:color w:val="0000EE"/>
                <w:w w:val="92"/>
              </w:rPr>
            </w:pPr>
            <w:hyperlink r:id="rId97">
              <w:r>
                <w:rPr>
                  <w:rFonts w:ascii="Arial" w:cs="Arial" w:eastAsia="Arial" w:hAnsi="Arial"/>
                  <w:sz w:val="16"/>
                  <w:szCs w:val="16"/>
                  <w:color w:val="0000EE"/>
                  <w:w w:val="92"/>
                </w:rPr>
                <w:t>Employment Agreement regarding Change of Control</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10.12</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23"/>
          </w:tcPr>
          <w:p>
            <w:pPr>
              <w:spacing w:after="0" w:line="183" w:lineRule="exact"/>
              <w:rPr>
                <w:rFonts w:ascii="Arial" w:cs="Arial" w:eastAsia="Arial" w:hAnsi="Arial"/>
                <w:sz w:val="16"/>
                <w:szCs w:val="16"/>
                <w:color w:val="0000EE"/>
                <w:w w:val="90"/>
              </w:rPr>
            </w:pPr>
            <w:hyperlink r:id="rId97">
              <w:r>
                <w:rPr>
                  <w:rFonts w:ascii="Arial" w:cs="Arial" w:eastAsia="Arial" w:hAnsi="Arial"/>
                  <w:sz w:val="16"/>
                  <w:szCs w:val="16"/>
                  <w:color w:val="0000EE"/>
                  <w:w w:val="90"/>
                </w:rPr>
                <w:t>or Separation of Service between the registrant and</w:t>
              </w:r>
            </w:hyperlink>
          </w:p>
        </w:tc>
        <w:tc>
          <w:tcPr>
            <w:tcW w:w="18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tcBorders>
              <w:bottom w:val="single" w:sz="8" w:color="0000EE"/>
            </w:tcBorders>
            <w:gridSpan w:val="31"/>
          </w:tcPr>
          <w:p>
            <w:pPr>
              <w:spacing w:after="0" w:line="183" w:lineRule="exact"/>
              <w:rPr>
                <w:rFonts w:ascii="Arial" w:cs="Arial" w:eastAsia="Arial" w:hAnsi="Arial"/>
                <w:sz w:val="16"/>
                <w:szCs w:val="16"/>
                <w:color w:val="0000EE"/>
                <w:w w:val="91"/>
              </w:rPr>
            </w:pPr>
            <w:hyperlink r:id="rId97">
              <w:r>
                <w:rPr>
                  <w:rFonts w:ascii="Arial" w:cs="Arial" w:eastAsia="Arial" w:hAnsi="Arial"/>
                  <w:sz w:val="16"/>
                  <w:szCs w:val="16"/>
                  <w:color w:val="0000EE"/>
                  <w:w w:val="91"/>
                </w:rPr>
                <w:t>Chih-Hsiang (Thompson) Lin, dated January 28, 2007</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10.5.1†</w:t>
            </w:r>
          </w:p>
        </w:tc>
        <w:tc>
          <w:tcPr>
            <w:tcW w:w="3140" w:type="dxa"/>
            <w:vAlign w:val="bottom"/>
            <w:tcBorders>
              <w:bottom w:val="single" w:sz="8" w:color="0000EE"/>
            </w:tcBorders>
            <w:gridSpan w:val="18"/>
          </w:tcPr>
          <w:p>
            <w:pPr>
              <w:spacing w:after="0"/>
              <w:rPr>
                <w:rFonts w:ascii="Arial" w:cs="Arial" w:eastAsia="Arial" w:hAnsi="Arial"/>
                <w:sz w:val="16"/>
                <w:szCs w:val="16"/>
                <w:color w:val="0000EE"/>
                <w:w w:val="90"/>
              </w:rPr>
            </w:pPr>
            <w:hyperlink r:id="rId98">
              <w:r>
                <w:rPr>
                  <w:rFonts w:ascii="Arial" w:cs="Arial" w:eastAsia="Arial" w:hAnsi="Arial"/>
                  <w:sz w:val="16"/>
                  <w:szCs w:val="16"/>
                  <w:color w:val="0000EE"/>
                  <w:w w:val="90"/>
                </w:rPr>
                <w:t>Amended and Restated Employment Agreement</w:t>
              </w:r>
            </w:hyperlink>
          </w:p>
        </w:tc>
        <w:tc>
          <w:tcPr>
            <w:tcW w:w="380" w:type="dxa"/>
            <w:vAlign w:val="bottom"/>
            <w:gridSpan w:val="13"/>
          </w:tcPr>
          <w:p>
            <w:pPr>
              <w:spacing w:after="0"/>
              <w:rPr>
                <w:sz w:val="24"/>
                <w:szCs w:val="24"/>
                <w:color w:val="auto"/>
              </w:rPr>
            </w:pPr>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6"/>
              </w:rPr>
              <w:t>S-1</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10.12.1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480" w:type="dxa"/>
            <w:vAlign w:val="bottom"/>
            <w:tcBorders>
              <w:bottom w:val="single" w:sz="8" w:color="0000EE"/>
            </w:tcBorders>
            <w:gridSpan w:val="29"/>
          </w:tcPr>
          <w:p>
            <w:pPr>
              <w:spacing w:after="0" w:line="183" w:lineRule="exact"/>
              <w:rPr>
                <w:rFonts w:ascii="Arial" w:cs="Arial" w:eastAsia="Arial" w:hAnsi="Arial"/>
                <w:sz w:val="16"/>
                <w:szCs w:val="16"/>
                <w:color w:val="0000EE"/>
                <w:w w:val="91"/>
              </w:rPr>
            </w:pPr>
            <w:hyperlink r:id="rId98">
              <w:r>
                <w:rPr>
                  <w:rFonts w:ascii="Arial" w:cs="Arial" w:eastAsia="Arial" w:hAnsi="Arial"/>
                  <w:sz w:val="16"/>
                  <w:szCs w:val="16"/>
                  <w:color w:val="0000EE"/>
                  <w:w w:val="91"/>
                </w:rPr>
                <w:t>regarding Change of Control or Separation of Service</w:t>
              </w:r>
            </w:hyperlink>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42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98">
              <w:r>
                <w:rPr>
                  <w:rFonts w:ascii="Arial" w:cs="Arial" w:eastAsia="Arial" w:hAnsi="Arial"/>
                  <w:sz w:val="16"/>
                  <w:szCs w:val="16"/>
                  <w:color w:val="0000EE"/>
                  <w:w w:val="91"/>
                </w:rPr>
                <w:t>between the registrant and Chih-Hsiang (Thompson)</w:t>
              </w:r>
            </w:hyperlink>
          </w:p>
        </w:tc>
        <w:tc>
          <w:tcPr>
            <w:tcW w:w="10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gridSpan w:val="31"/>
          </w:tcPr>
          <w:p>
            <w:pPr>
              <w:spacing w:after="0" w:line="183" w:lineRule="exact"/>
              <w:rPr>
                <w:rFonts w:ascii="Arial" w:cs="Arial" w:eastAsia="Arial" w:hAnsi="Arial"/>
                <w:sz w:val="16"/>
                <w:szCs w:val="16"/>
                <w:color w:val="0000EE"/>
              </w:rPr>
            </w:pPr>
            <w:hyperlink r:id="rId98">
              <w:r>
                <w:rPr>
                  <w:rFonts w:ascii="Arial" w:cs="Arial" w:eastAsia="Arial" w:hAnsi="Arial"/>
                  <w:sz w:val="16"/>
                  <w:szCs w:val="16"/>
                  <w:color w:val="0000EE"/>
                </w:rPr>
                <w:t>Lin, dated April 16, 2013</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 6†</w:t>
            </w:r>
          </w:p>
        </w:tc>
        <w:tc>
          <w:tcPr>
            <w:tcW w:w="3520" w:type="dxa"/>
            <w:vAlign w:val="bottom"/>
            <w:gridSpan w:val="31"/>
          </w:tcPr>
          <w:p>
            <w:pPr>
              <w:spacing w:after="0"/>
              <w:rPr>
                <w:rFonts w:ascii="Arial" w:cs="Arial" w:eastAsia="Arial" w:hAnsi="Arial"/>
                <w:sz w:val="16"/>
                <w:szCs w:val="16"/>
                <w:color w:val="0000EE"/>
              </w:rPr>
            </w:pPr>
            <w:hyperlink r:id="rId99">
              <w:r>
                <w:rPr>
                  <w:rFonts w:ascii="Arial" w:cs="Arial" w:eastAsia="Arial" w:hAnsi="Arial"/>
                  <w:sz w:val="16"/>
                  <w:szCs w:val="16"/>
                  <w:color w:val="0000EE"/>
                </w:rPr>
                <w:t>Employment Agreement, dated August 5, 2016,</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4"/>
              </w:rPr>
              <w:t>10-Q/A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10.20</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80" w:type="dxa"/>
            <w:vAlign w:val="bottom"/>
            <w:gridSpan w:val="14"/>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gridSpan w:val="31"/>
          </w:tcPr>
          <w:p>
            <w:pPr>
              <w:spacing w:after="0" w:line="183" w:lineRule="exact"/>
              <w:rPr>
                <w:rFonts w:ascii="Arial" w:cs="Arial" w:eastAsia="Arial" w:hAnsi="Arial"/>
                <w:sz w:val="16"/>
                <w:szCs w:val="16"/>
                <w:color w:val="0000EE"/>
                <w:w w:val="95"/>
              </w:rPr>
            </w:pPr>
            <w:hyperlink r:id="rId99">
              <w:r>
                <w:rPr>
                  <w:rFonts w:ascii="Arial" w:cs="Arial" w:eastAsia="Arial" w:hAnsi="Arial"/>
                  <w:sz w:val="16"/>
                  <w:szCs w:val="16"/>
                  <w:color w:val="0000EE"/>
                  <w:w w:val="95"/>
                </w:rPr>
                <w:t>between Applied Optoelectronics, Inc. and Stefan J.</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7"/>
              </w:rPr>
            </w:pPr>
            <w:hyperlink r:id="rId99">
              <w:r>
                <w:rPr>
                  <w:rFonts w:ascii="Arial" w:cs="Arial" w:eastAsia="Arial" w:hAnsi="Arial"/>
                  <w:sz w:val="16"/>
                  <w:szCs w:val="16"/>
                  <w:color w:val="0000EE"/>
                  <w:w w:val="97"/>
                </w:rPr>
                <w:t>Murry</w:t>
              </w:r>
            </w:hyperlink>
          </w:p>
        </w:tc>
        <w:tc>
          <w:tcPr>
            <w:tcW w:w="2940" w:type="dxa"/>
            <w:vAlign w:val="bottom"/>
            <w:tcBorders>
              <w:top w:val="single" w:sz="8" w:color="0000EE"/>
            </w:tcBorders>
            <w:gridSpan w:val="22"/>
          </w:tcPr>
          <w:p>
            <w:pPr>
              <w:spacing w:after="0"/>
              <w:rPr>
                <w:sz w:val="15"/>
                <w:szCs w:val="15"/>
                <w:color w:val="auto"/>
              </w:rPr>
            </w:pPr>
          </w:p>
        </w:tc>
        <w:tc>
          <w:tcPr>
            <w:tcW w:w="16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3520" w:type="dxa"/>
            <w:vAlign w:val="bottom"/>
            <w:gridSpan w:val="31"/>
          </w:tcPr>
          <w:p>
            <w:pPr>
              <w:spacing w:after="0"/>
              <w:rPr>
                <w:rFonts w:ascii="Arial" w:cs="Arial" w:eastAsia="Arial" w:hAnsi="Arial"/>
                <w:sz w:val="16"/>
                <w:szCs w:val="16"/>
                <w:color w:val="0000EE"/>
              </w:rPr>
            </w:pPr>
            <w:hyperlink r:id="rId100">
              <w:r>
                <w:rPr>
                  <w:rFonts w:ascii="Arial" w:cs="Arial" w:eastAsia="Arial" w:hAnsi="Arial"/>
                  <w:sz w:val="16"/>
                  <w:szCs w:val="16"/>
                  <w:color w:val="0000EE"/>
                </w:rPr>
                <w:t>Employment Agreement, dated August 5, 2016,</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4"/>
              </w:rPr>
              <w:t>10-Q/A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10.21</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80" w:type="dxa"/>
            <w:vAlign w:val="bottom"/>
            <w:gridSpan w:val="14"/>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tcBorders>
              <w:bottom w:val="single" w:sz="8" w:color="0000EE"/>
            </w:tcBorders>
            <w:gridSpan w:val="31"/>
          </w:tcPr>
          <w:p>
            <w:pPr>
              <w:spacing w:after="0" w:line="183" w:lineRule="exact"/>
              <w:rPr>
                <w:rFonts w:ascii="Arial" w:cs="Arial" w:eastAsia="Arial" w:hAnsi="Arial"/>
                <w:sz w:val="16"/>
                <w:szCs w:val="16"/>
                <w:color w:val="0000EE"/>
                <w:w w:val="91"/>
              </w:rPr>
            </w:pPr>
            <w:hyperlink r:id="rId100">
              <w:r>
                <w:rPr>
                  <w:rFonts w:ascii="Arial" w:cs="Arial" w:eastAsia="Arial" w:hAnsi="Arial"/>
                  <w:sz w:val="16"/>
                  <w:szCs w:val="16"/>
                  <w:color w:val="0000EE"/>
                  <w:w w:val="91"/>
                </w:rPr>
                <w:t>between Applied Optoelectronics, Inc. and Mr. Joshua</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60" w:type="dxa"/>
            <w:vAlign w:val="bottom"/>
            <w:tcBorders>
              <w:bottom w:val="single" w:sz="8" w:color="0000EE"/>
            </w:tcBorders>
          </w:tcPr>
          <w:p>
            <w:pPr>
              <w:spacing w:after="0" w:line="183" w:lineRule="exact"/>
              <w:rPr>
                <w:rFonts w:ascii="Arial" w:cs="Arial" w:eastAsia="Arial" w:hAnsi="Arial"/>
                <w:sz w:val="16"/>
                <w:szCs w:val="16"/>
                <w:color w:val="0000EE"/>
                <w:w w:val="84"/>
              </w:rPr>
            </w:pPr>
            <w:hyperlink r:id="rId100">
              <w:r>
                <w:rPr>
                  <w:rFonts w:ascii="Arial" w:cs="Arial" w:eastAsia="Arial" w:hAnsi="Arial"/>
                  <w:sz w:val="16"/>
                  <w:szCs w:val="16"/>
                  <w:color w:val="0000EE"/>
                  <w:w w:val="84"/>
                </w:rPr>
                <w:t>Yeh</w:t>
              </w:r>
            </w:hyperlink>
          </w:p>
        </w:tc>
        <w:tc>
          <w:tcPr>
            <w:tcW w:w="3260" w:type="dxa"/>
            <w:vAlign w:val="bottom"/>
            <w:gridSpan w:val="30"/>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3520" w:type="dxa"/>
            <w:vAlign w:val="bottom"/>
            <w:gridSpan w:val="31"/>
          </w:tcPr>
          <w:p>
            <w:pPr>
              <w:spacing w:after="0"/>
              <w:rPr>
                <w:rFonts w:ascii="Arial" w:cs="Arial" w:eastAsia="Arial" w:hAnsi="Arial"/>
                <w:sz w:val="16"/>
                <w:szCs w:val="16"/>
                <w:color w:val="0000EE"/>
              </w:rPr>
            </w:pPr>
            <w:hyperlink r:id="rId101">
              <w:r>
                <w:rPr>
                  <w:rFonts w:ascii="Arial" w:cs="Arial" w:eastAsia="Arial" w:hAnsi="Arial"/>
                  <w:sz w:val="16"/>
                  <w:szCs w:val="16"/>
                  <w:color w:val="0000EE"/>
                </w:rPr>
                <w:t>Employment Agreement, dated August 5, 2016,</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4"/>
              </w:rPr>
              <w:t>10-Q/A</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10.22</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80" w:type="dxa"/>
            <w:vAlign w:val="bottom"/>
            <w:gridSpan w:val="14"/>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520" w:type="dxa"/>
            <w:vAlign w:val="bottom"/>
            <w:gridSpan w:val="31"/>
          </w:tcPr>
          <w:p>
            <w:pPr>
              <w:spacing w:after="0" w:line="183" w:lineRule="exact"/>
              <w:rPr>
                <w:rFonts w:ascii="Arial" w:cs="Arial" w:eastAsia="Arial" w:hAnsi="Arial"/>
                <w:sz w:val="16"/>
                <w:szCs w:val="16"/>
                <w:color w:val="0000EE"/>
                <w:w w:val="96"/>
              </w:rPr>
            </w:pPr>
            <w:hyperlink r:id="rId101">
              <w:r>
                <w:rPr>
                  <w:rFonts w:ascii="Arial" w:cs="Arial" w:eastAsia="Arial" w:hAnsi="Arial"/>
                  <w:sz w:val="16"/>
                  <w:szCs w:val="16"/>
                  <w:color w:val="0000EE"/>
                  <w:w w:val="96"/>
                </w:rPr>
                <w:t>between Applied Optoelectronics, Inc. and Dr. Fred</w:t>
              </w:r>
            </w:hyperlink>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84"/>
              </w:rPr>
            </w:pPr>
            <w:hyperlink r:id="rId101">
              <w:r>
                <w:rPr>
                  <w:rFonts w:ascii="Arial" w:cs="Arial" w:eastAsia="Arial" w:hAnsi="Arial"/>
                  <w:sz w:val="16"/>
                  <w:szCs w:val="16"/>
                  <w:color w:val="0000EE"/>
                  <w:w w:val="84"/>
                </w:rPr>
                <w:t>Chang</w:t>
              </w:r>
            </w:hyperlink>
          </w:p>
        </w:tc>
        <w:tc>
          <w:tcPr>
            <w:tcW w:w="2920" w:type="dxa"/>
            <w:vAlign w:val="bottom"/>
            <w:tcBorders>
              <w:top w:val="single" w:sz="8" w:color="0000EE"/>
            </w:tcBorders>
            <w:gridSpan w:val="21"/>
          </w:tcPr>
          <w:p>
            <w:pPr>
              <w:spacing w:after="0"/>
              <w:rPr>
                <w:sz w:val="15"/>
                <w:szCs w:val="15"/>
                <w:color w:val="auto"/>
              </w:rPr>
            </w:pPr>
          </w:p>
        </w:tc>
        <w:tc>
          <w:tcPr>
            <w:tcW w:w="18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3520" w:type="dxa"/>
            <w:vAlign w:val="bottom"/>
            <w:gridSpan w:val="31"/>
          </w:tcPr>
          <w:p>
            <w:pPr>
              <w:spacing w:after="0"/>
              <w:rPr>
                <w:rFonts w:ascii="Arial" w:cs="Arial" w:eastAsia="Arial" w:hAnsi="Arial"/>
                <w:sz w:val="16"/>
                <w:szCs w:val="16"/>
                <w:color w:val="0000EE"/>
              </w:rPr>
            </w:pPr>
            <w:hyperlink r:id="rId102">
              <w:r>
                <w:rPr>
                  <w:rFonts w:ascii="Arial" w:cs="Arial" w:eastAsia="Arial" w:hAnsi="Arial"/>
                  <w:sz w:val="16"/>
                  <w:szCs w:val="16"/>
                  <w:color w:val="0000EE"/>
                </w:rPr>
                <w:t>Employment Agreement, dated August 5, 2016,</w:t>
              </w:r>
            </w:hyperlink>
          </w:p>
        </w:tc>
        <w:tc>
          <w:tcPr>
            <w:tcW w:w="920" w:type="dxa"/>
            <w:vAlign w:val="bottom"/>
          </w:tcPr>
          <w:p>
            <w:pPr>
              <w:jc w:val="center"/>
              <w:ind w:left="39"/>
              <w:spacing w:after="0"/>
              <w:rPr>
                <w:sz w:val="20"/>
                <w:szCs w:val="20"/>
                <w:color w:val="auto"/>
              </w:rPr>
            </w:pPr>
            <w:r>
              <w:rPr>
                <w:rFonts w:ascii="Arial" w:cs="Arial" w:eastAsia="Arial" w:hAnsi="Arial"/>
                <w:sz w:val="16"/>
                <w:szCs w:val="16"/>
                <w:color w:val="auto"/>
                <w:w w:val="94"/>
              </w:rPr>
              <w:t>10-K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480" w:type="dxa"/>
            <w:vAlign w:val="bottom"/>
          </w:tcPr>
          <w:p>
            <w:pPr>
              <w:jc w:val="center"/>
              <w:ind w:left="119"/>
              <w:spacing w:after="0"/>
              <w:rPr>
                <w:sz w:val="20"/>
                <w:szCs w:val="20"/>
                <w:color w:val="auto"/>
              </w:rPr>
            </w:pPr>
            <w:r>
              <w:rPr>
                <w:rFonts w:ascii="Arial" w:cs="Arial" w:eastAsia="Arial" w:hAnsi="Arial"/>
                <w:sz w:val="16"/>
                <w:szCs w:val="16"/>
                <w:color w:val="auto"/>
                <w:w w:val="91"/>
              </w:rPr>
              <w:t>February 28, 2018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20" w:type="dxa"/>
            <w:vAlign w:val="bottom"/>
            <w:gridSpan w:val="15"/>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400" w:type="dxa"/>
            <w:vAlign w:val="bottom"/>
            <w:tcBorders>
              <w:bottom w:val="single" w:sz="8" w:color="0000EE"/>
            </w:tcBorders>
            <w:gridSpan w:val="26"/>
          </w:tcPr>
          <w:p>
            <w:pPr>
              <w:spacing w:after="0" w:line="183" w:lineRule="exact"/>
              <w:rPr>
                <w:rFonts w:ascii="Arial" w:cs="Arial" w:eastAsia="Arial" w:hAnsi="Arial"/>
                <w:sz w:val="16"/>
                <w:szCs w:val="16"/>
                <w:color w:val="0000EE"/>
                <w:w w:val="92"/>
              </w:rPr>
            </w:pPr>
            <w:hyperlink r:id="rId102">
              <w:r>
                <w:rPr>
                  <w:rFonts w:ascii="Arial" w:cs="Arial" w:eastAsia="Arial" w:hAnsi="Arial"/>
                  <w:sz w:val="16"/>
                  <w:szCs w:val="16"/>
                  <w:color w:val="0000EE"/>
                  <w:w w:val="92"/>
                </w:rPr>
                <w:t>between Applied Optoelectronics, Inc. and David C.</w:t>
              </w:r>
            </w:hyperlink>
          </w:p>
        </w:tc>
        <w:tc>
          <w:tcPr>
            <w:tcW w:w="12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Borders>
              <w:bottom w:val="single" w:sz="8" w:color="0000EE"/>
            </w:tcBorders>
            <w:gridSpan w:val="2"/>
          </w:tcPr>
          <w:p>
            <w:pPr>
              <w:spacing w:after="0" w:line="183" w:lineRule="exact"/>
              <w:rPr>
                <w:rFonts w:ascii="Arial" w:cs="Arial" w:eastAsia="Arial" w:hAnsi="Arial"/>
                <w:sz w:val="16"/>
                <w:szCs w:val="16"/>
                <w:color w:val="0000EE"/>
                <w:w w:val="91"/>
              </w:rPr>
            </w:pPr>
            <w:hyperlink r:id="rId102">
              <w:r>
                <w:rPr>
                  <w:rFonts w:ascii="Arial" w:cs="Arial" w:eastAsia="Arial" w:hAnsi="Arial"/>
                  <w:sz w:val="16"/>
                  <w:szCs w:val="16"/>
                  <w:color w:val="0000EE"/>
                  <w:w w:val="91"/>
                </w:rPr>
                <w:t>Kuo</w:t>
              </w:r>
            </w:hyperlink>
          </w:p>
        </w:tc>
        <w:tc>
          <w:tcPr>
            <w:tcW w:w="3240" w:type="dxa"/>
            <w:vAlign w:val="bottom"/>
            <w:gridSpan w:val="29"/>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3" w:lineRule="exact"/>
        <w:rPr>
          <w:sz w:val="20"/>
          <w:szCs w:val="20"/>
          <w:color w:val="auto"/>
        </w:rPr>
      </w:pPr>
    </w:p>
    <w:p>
      <w:pPr>
        <w:jc w:val="both"/>
        <w:ind w:left="1060" w:right="4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10.10</w:t>
      </w:r>
      <w:r>
        <w:rPr>
          <w:sz w:val="20"/>
          <w:szCs w:val="20"/>
          <w:color w:val="auto"/>
        </w:rPr>
        <w:tab/>
      </w:r>
      <w:hyperlink r:id="rId104">
        <w:r>
          <w:rPr>
            <w:rFonts w:ascii="Arial" w:cs="Arial" w:eastAsia="Arial" w:hAnsi="Arial"/>
            <w:sz w:val="16"/>
            <w:szCs w:val="16"/>
            <w:u w:val="single" w:color="auto"/>
            <w:color w:val="0000EE"/>
          </w:rPr>
          <w:t>Translation of Chinese form of RMB Working Capital</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Loan Agreement between the Global Technology Inc.</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and China Construction Bank</w:t>
        </w:r>
      </w:hyperlink>
    </w:p>
    <w:p>
      <w:pPr>
        <w:spacing w:after="0" w:line="90" w:lineRule="exact"/>
        <w:rPr>
          <w:rFonts w:ascii="Arial" w:cs="Arial" w:eastAsia="Arial" w:hAnsi="Arial"/>
          <w:sz w:val="16"/>
          <w:szCs w:val="16"/>
          <w:u w:val="single" w:color="auto"/>
          <w:color w:val="0000EE"/>
        </w:rPr>
      </w:pPr>
    </w:p>
    <w:p>
      <w:pPr>
        <w:ind w:left="1060" w:right="40" w:hanging="547"/>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10.11</w:t>
      </w:r>
      <w:r>
        <w:rPr>
          <w:sz w:val="20"/>
          <w:szCs w:val="20"/>
          <w:color w:val="auto"/>
        </w:rPr>
        <w:tab/>
      </w:r>
      <w:hyperlink r:id="rId105">
        <w:r>
          <w:rPr>
            <w:rFonts w:ascii="Arial" w:cs="Arial" w:eastAsia="Arial" w:hAnsi="Arial"/>
            <w:sz w:val="16"/>
            <w:szCs w:val="16"/>
            <w:u w:val="single" w:color="auto"/>
            <w:color w:val="0000EE"/>
          </w:rPr>
          <w:t>Translation of Chinese form of USD Trust Receipt</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Loan Agreement between Global Technology Inc. and</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China Construction Bank</w:t>
        </w:r>
      </w:hyperlink>
    </w:p>
    <w:p>
      <w:pPr>
        <w:spacing w:after="0" w:line="171" w:lineRule="exact"/>
        <w:rPr>
          <w:rFonts w:ascii="Arial" w:cs="Arial" w:eastAsia="Arial" w:hAnsi="Arial"/>
          <w:sz w:val="16"/>
          <w:szCs w:val="16"/>
          <w:u w:val="single" w:color="auto"/>
          <w:color w:val="0000EE"/>
        </w:rPr>
      </w:pPr>
    </w:p>
    <w:p>
      <w:pPr>
        <w:ind w:left="1060" w:right="40" w:hanging="553"/>
        <w:spacing w:after="0" w:line="318"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10.12</w:t>
      </w:r>
      <w:r>
        <w:rPr>
          <w:sz w:val="20"/>
          <w:szCs w:val="20"/>
          <w:color w:val="auto"/>
        </w:rPr>
        <w:tab/>
      </w:r>
      <w:hyperlink r:id="rId106">
        <w:r>
          <w:rPr>
            <w:rFonts w:ascii="Arial" w:cs="Arial" w:eastAsia="Arial" w:hAnsi="Arial"/>
            <w:sz w:val="14"/>
            <w:szCs w:val="14"/>
            <w:u w:val="single" w:color="auto"/>
            <w:color w:val="0000EE"/>
          </w:rPr>
          <w:t>Translation of Lease Agreement dated April 1, 2014</w:t>
        </w:r>
      </w:hyperlink>
      <w:r>
        <w:rPr>
          <w:rFonts w:ascii="Arial" w:cs="Arial" w:eastAsia="Arial" w:hAnsi="Arial"/>
          <w:sz w:val="14"/>
          <w:szCs w:val="14"/>
          <w:u w:val="single" w:color="auto"/>
          <w:color w:val="0000EE"/>
        </w:rPr>
        <w:t xml:space="preserve"> </w:t>
      </w:r>
      <w:hyperlink r:id="rId106">
        <w:r>
          <w:rPr>
            <w:rFonts w:ascii="Arial" w:cs="Arial" w:eastAsia="Arial" w:hAnsi="Arial"/>
            <w:sz w:val="14"/>
            <w:szCs w:val="14"/>
            <w:u w:val="single" w:color="auto"/>
            <w:color w:val="0000EE"/>
          </w:rPr>
          <w:t>between the Company and Taiwan Asset Management</w:t>
        </w:r>
      </w:hyperlink>
      <w:r>
        <w:rPr>
          <w:rFonts w:ascii="Arial" w:cs="Arial" w:eastAsia="Arial" w:hAnsi="Arial"/>
          <w:sz w:val="14"/>
          <w:szCs w:val="14"/>
          <w:u w:val="single" w:color="auto"/>
          <w:color w:val="0000EE"/>
        </w:rPr>
        <w:t xml:space="preserve"> </w:t>
      </w:r>
      <w:hyperlink r:id="rId106">
        <w:r>
          <w:rPr>
            <w:rFonts w:ascii="Arial" w:cs="Arial" w:eastAsia="Arial" w:hAnsi="Arial"/>
            <w:sz w:val="14"/>
            <w:szCs w:val="14"/>
            <w:u w:val="single" w:color="auto"/>
            <w:color w:val="0000EE"/>
          </w:rPr>
          <w:t>Corporation for office and manufacturing space at No.</w:t>
        </w:r>
      </w:hyperlink>
      <w:r>
        <w:rPr>
          <w:rFonts w:ascii="Arial" w:cs="Arial" w:eastAsia="Arial" w:hAnsi="Arial"/>
          <w:sz w:val="14"/>
          <w:szCs w:val="14"/>
          <w:u w:val="single" w:color="auto"/>
          <w:color w:val="0000EE"/>
        </w:rPr>
        <w:t xml:space="preserve"> </w:t>
      </w:r>
      <w:hyperlink r:id="rId106">
        <w:r>
          <w:rPr>
            <w:rFonts w:ascii="Arial" w:cs="Arial" w:eastAsia="Arial" w:hAnsi="Arial"/>
            <w:sz w:val="14"/>
            <w:szCs w:val="14"/>
            <w:u w:val="single" w:color="auto"/>
            <w:color w:val="0000EE"/>
          </w:rPr>
          <w:t>18, Gong 4th Rd., Gong’er Industrial Park, Linkou</w:t>
        </w:r>
      </w:hyperlink>
      <w:r>
        <w:rPr>
          <w:rFonts w:ascii="Arial" w:cs="Arial" w:eastAsia="Arial" w:hAnsi="Arial"/>
          <w:sz w:val="14"/>
          <w:szCs w:val="14"/>
          <w:u w:val="single" w:color="auto"/>
          <w:color w:val="0000EE"/>
        </w:rPr>
        <w:t xml:space="preserve"> </w:t>
      </w:r>
      <w:hyperlink r:id="rId106">
        <w:r>
          <w:rPr>
            <w:rFonts w:ascii="Arial" w:cs="Arial" w:eastAsia="Arial" w:hAnsi="Arial"/>
            <w:sz w:val="14"/>
            <w:szCs w:val="14"/>
            <w:u w:val="single" w:color="auto"/>
            <w:color w:val="0000EE"/>
          </w:rPr>
          <w:t>District, New Taipei City 244, Taiwan (R.O.C.)</w:t>
        </w:r>
      </w:hyperlink>
    </w:p>
    <w:p>
      <w:pPr>
        <w:spacing w:after="0" w:line="68" w:lineRule="exact"/>
        <w:rPr>
          <w:rFonts w:ascii="Arial" w:cs="Arial" w:eastAsia="Arial" w:hAnsi="Arial"/>
          <w:sz w:val="14"/>
          <w:szCs w:val="14"/>
          <w:u w:val="single" w:color="auto"/>
          <w:color w:val="0000EE"/>
        </w:rPr>
      </w:pPr>
    </w:p>
    <w:p>
      <w:pPr>
        <w:ind w:left="1060" w:right="6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10.13</w:t>
      </w:r>
      <w:r>
        <w:rPr>
          <w:sz w:val="20"/>
          <w:szCs w:val="20"/>
          <w:color w:val="auto"/>
        </w:rPr>
        <w:tab/>
      </w:r>
      <w:hyperlink r:id="rId107">
        <w:r>
          <w:rPr>
            <w:rFonts w:ascii="Arial" w:cs="Arial" w:eastAsia="Arial" w:hAnsi="Arial"/>
            <w:sz w:val="16"/>
            <w:szCs w:val="16"/>
            <w:u w:val="single" w:color="auto"/>
            <w:color w:val="0000EE"/>
          </w:rPr>
          <w:t>Construction Loan Agreement, dated January 26,</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2015, between Applied Optoelectronics, Inc. and East</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West Bank</w:t>
        </w:r>
      </w:hyperlink>
    </w:p>
    <w:p>
      <w:pPr>
        <w:spacing w:after="0" w:line="90" w:lineRule="exact"/>
        <w:rPr>
          <w:rFonts w:ascii="Arial" w:cs="Arial" w:eastAsia="Arial" w:hAnsi="Arial"/>
          <w:sz w:val="16"/>
          <w:szCs w:val="16"/>
          <w:u w:val="single" w:color="auto"/>
          <w:color w:val="0000EE"/>
        </w:rPr>
      </w:pPr>
    </w:p>
    <w:p>
      <w:pPr>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10.13.1</w:t>
      </w:r>
      <w:r>
        <w:rPr>
          <w:sz w:val="20"/>
          <w:szCs w:val="20"/>
          <w:color w:val="auto"/>
        </w:rPr>
        <w:tab/>
      </w:r>
      <w:hyperlink r:id="rId108">
        <w:r>
          <w:rPr>
            <w:rFonts w:ascii="Arial" w:cs="Arial" w:eastAsia="Arial" w:hAnsi="Arial"/>
            <w:sz w:val="16"/>
            <w:szCs w:val="16"/>
            <w:u w:val="single" w:color="auto"/>
            <w:color w:val="0000EE"/>
          </w:rPr>
          <w:t>Commercial Security Agreement, dated January 26,</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2015, between Applied Optoelectronics, Inc. and East</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West Bank</w:t>
        </w:r>
      </w:hyperlink>
    </w:p>
    <w:p>
      <w:pPr>
        <w:spacing w:after="0" w:line="90" w:lineRule="exact"/>
        <w:rPr>
          <w:rFonts w:ascii="Arial" w:cs="Arial" w:eastAsia="Arial" w:hAnsi="Arial"/>
          <w:sz w:val="16"/>
          <w:szCs w:val="16"/>
          <w:u w:val="single" w:color="auto"/>
          <w:color w:val="0000EE"/>
        </w:rPr>
      </w:pPr>
    </w:p>
    <w:p>
      <w:pPr>
        <w:jc w:val="right"/>
        <w:ind w:left="380" w:right="260"/>
        <w:spacing w:after="0" w:line="329"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10.13.2   </w:t>
      </w:r>
      <w:hyperlink r:id="rId109">
        <w:r>
          <w:rPr>
            <w:rFonts w:ascii="Arial" w:cs="Arial" w:eastAsia="Arial" w:hAnsi="Arial"/>
            <w:sz w:val="15"/>
            <w:szCs w:val="15"/>
            <w:u w:val="single" w:color="auto"/>
            <w:color w:val="0000EE"/>
          </w:rPr>
          <w:t>Promissory Note, dated January 26, 2015, between</w:t>
        </w:r>
      </w:hyperlink>
      <w:r>
        <w:rPr>
          <w:rFonts w:ascii="Arial" w:cs="Arial" w:eastAsia="Arial" w:hAnsi="Arial"/>
          <w:sz w:val="15"/>
          <w:szCs w:val="15"/>
          <w:color w:val="auto"/>
        </w:rPr>
        <w:t xml:space="preserve"> </w:t>
      </w:r>
      <w:hyperlink r:id="rId109">
        <w:r>
          <w:rPr>
            <w:rFonts w:ascii="Arial" w:cs="Arial" w:eastAsia="Arial" w:hAnsi="Arial"/>
            <w:sz w:val="15"/>
            <w:szCs w:val="15"/>
            <w:u w:val="single" w:color="auto"/>
            <w:color w:val="0000EE"/>
          </w:rPr>
          <w:t>Applied Optoelectronics, Inc. and East West Bank</w:t>
        </w:r>
      </w:hyperlink>
    </w:p>
    <w:p>
      <w:pPr>
        <w:spacing w:after="0" w:line="54" w:lineRule="exact"/>
        <w:rPr>
          <w:sz w:val="20"/>
          <w:szCs w:val="20"/>
          <w:color w:val="auto"/>
        </w:rPr>
      </w:pPr>
    </w:p>
    <w:p>
      <w:pPr>
        <w:ind w:left="1060" w:right="60" w:hanging="553"/>
        <w:spacing w:after="0" w:line="324"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10.14</w:t>
      </w:r>
      <w:r>
        <w:rPr>
          <w:sz w:val="20"/>
          <w:szCs w:val="20"/>
          <w:color w:val="auto"/>
        </w:rPr>
        <w:tab/>
      </w:r>
      <w:hyperlink r:id="rId110">
        <w:r>
          <w:rPr>
            <w:rFonts w:ascii="Arial" w:cs="Arial" w:eastAsia="Arial" w:hAnsi="Arial"/>
            <w:sz w:val="14"/>
            <w:szCs w:val="14"/>
            <w:u w:val="single" w:color="auto"/>
            <w:color w:val="0000EE"/>
          </w:rPr>
          <w:t>Translation of Comprehensive Credit Line Contract</w:t>
        </w:r>
      </w:hyperlink>
      <w:r>
        <w:rPr>
          <w:rFonts w:ascii="Arial" w:cs="Arial" w:eastAsia="Arial" w:hAnsi="Arial"/>
          <w:sz w:val="14"/>
          <w:szCs w:val="14"/>
          <w:u w:val="single" w:color="auto"/>
          <w:color w:val="0000EE"/>
        </w:rPr>
        <w:t xml:space="preserve"> </w:t>
      </w:r>
      <w:hyperlink r:id="rId110">
        <w:r>
          <w:rPr>
            <w:rFonts w:ascii="Arial" w:cs="Arial" w:eastAsia="Arial" w:hAnsi="Arial"/>
            <w:sz w:val="14"/>
            <w:szCs w:val="14"/>
            <w:u w:val="single" w:color="auto"/>
            <w:color w:val="0000EE"/>
          </w:rPr>
          <w:t>and General Agreement, dated April 1, 2015, between</w:t>
        </w:r>
      </w:hyperlink>
      <w:r>
        <w:rPr>
          <w:rFonts w:ascii="Arial" w:cs="Arial" w:eastAsia="Arial" w:hAnsi="Arial"/>
          <w:sz w:val="14"/>
          <w:szCs w:val="14"/>
          <w:u w:val="single" w:color="auto"/>
          <w:color w:val="0000EE"/>
        </w:rPr>
        <w:t xml:space="preserve"> </w:t>
      </w:r>
      <w:hyperlink r:id="rId110">
        <w:r>
          <w:rPr>
            <w:rFonts w:ascii="Arial" w:cs="Arial" w:eastAsia="Arial" w:hAnsi="Arial"/>
            <w:sz w:val="14"/>
            <w:szCs w:val="14"/>
            <w:u w:val="single" w:color="auto"/>
            <w:color w:val="0000EE"/>
          </w:rPr>
          <w:t>Applied Optoelectronics, Inc., Taiwan Branch, and</w:t>
        </w:r>
      </w:hyperlink>
      <w:r>
        <w:rPr>
          <w:rFonts w:ascii="Arial" w:cs="Arial" w:eastAsia="Arial" w:hAnsi="Arial"/>
          <w:sz w:val="14"/>
          <w:szCs w:val="14"/>
          <w:u w:val="single" w:color="auto"/>
          <w:color w:val="0000EE"/>
        </w:rPr>
        <w:t xml:space="preserve"> </w:t>
      </w:r>
      <w:hyperlink r:id="rId110">
        <w:r>
          <w:rPr>
            <w:rFonts w:ascii="Arial" w:cs="Arial" w:eastAsia="Arial" w:hAnsi="Arial"/>
            <w:sz w:val="14"/>
            <w:szCs w:val="14"/>
            <w:u w:val="single" w:color="auto"/>
            <w:color w:val="0000EE"/>
          </w:rPr>
          <w:t>China Construction Bank, Taipei Branch</w:t>
        </w:r>
      </w:hyperlink>
    </w:p>
    <w:p>
      <w:pPr>
        <w:spacing w:after="0" w:line="62" w:lineRule="exact"/>
        <w:rPr>
          <w:rFonts w:ascii="Arial" w:cs="Arial" w:eastAsia="Arial" w:hAnsi="Arial"/>
          <w:sz w:val="14"/>
          <w:szCs w:val="14"/>
          <w:u w:val="single" w:color="auto"/>
          <w:color w:val="0000EE"/>
        </w:rPr>
      </w:pPr>
    </w:p>
    <w:p>
      <w:pPr>
        <w:ind w:left="1060" w:right="40" w:hanging="674"/>
        <w:spacing w:after="0" w:line="29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10.14.1</w:t>
      </w:r>
      <w:r>
        <w:rPr>
          <w:sz w:val="20"/>
          <w:szCs w:val="20"/>
          <w:color w:val="auto"/>
        </w:rPr>
        <w:tab/>
      </w:r>
      <w:hyperlink r:id="rId111">
        <w:r>
          <w:rPr>
            <w:rFonts w:ascii="Arial" w:cs="Arial" w:eastAsia="Arial" w:hAnsi="Arial"/>
            <w:sz w:val="16"/>
            <w:szCs w:val="16"/>
            <w:u w:val="single" w:color="auto"/>
            <w:color w:val="0000EE"/>
          </w:rPr>
          <w:t>Translation of Approval Notice of China Construction</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Bank, Taipei Branch</w:t>
        </w:r>
      </w:hyperlink>
    </w:p>
    <w:p>
      <w:pPr>
        <w:spacing w:after="0" w:line="77" w:lineRule="exact"/>
        <w:rPr>
          <w:sz w:val="20"/>
          <w:szCs w:val="20"/>
          <w:color w:val="auto"/>
        </w:rPr>
      </w:pPr>
    </w:p>
    <w:p>
      <w:pPr>
        <w:jc w:val="both"/>
        <w:ind w:left="1060" w:right="26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112">
        <w:r>
          <w:rPr>
            <w:rFonts w:ascii="Arial" w:cs="Arial" w:eastAsia="Arial" w:hAnsi="Arial"/>
            <w:sz w:val="16"/>
            <w:szCs w:val="16"/>
            <w:u w:val="single" w:color="auto"/>
            <w:color w:val="0000EE"/>
          </w:rPr>
          <w:t>Translation of Purchase and Sale Contract between</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Applied Optoelectronics, Inc., Taiwan Branch, and</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Chailease Finance Co., Ltd.</w:t>
        </w:r>
      </w:hyperlink>
    </w:p>
    <w:p>
      <w:pPr>
        <w:spacing w:after="0" w:line="90" w:lineRule="exact"/>
        <w:rPr>
          <w:rFonts w:ascii="Arial" w:cs="Arial" w:eastAsia="Arial" w:hAnsi="Arial"/>
          <w:sz w:val="16"/>
          <w:szCs w:val="16"/>
          <w:u w:val="single" w:color="auto"/>
          <w:color w:val="0000EE"/>
        </w:rPr>
      </w:pPr>
    </w:p>
    <w:p>
      <w:pPr>
        <w:jc w:val="both"/>
        <w:ind w:left="1060" w:right="2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10.15.1</w:t>
      </w:r>
      <w:r>
        <w:rPr>
          <w:sz w:val="20"/>
          <w:szCs w:val="20"/>
          <w:color w:val="auto"/>
        </w:rPr>
        <w:tab/>
      </w:r>
      <w:hyperlink r:id="rId113">
        <w:r>
          <w:rPr>
            <w:rFonts w:ascii="Arial" w:cs="Arial" w:eastAsia="Arial" w:hAnsi="Arial"/>
            <w:sz w:val="16"/>
            <w:szCs w:val="16"/>
            <w:u w:val="single" w:color="auto"/>
            <w:color w:val="0000EE"/>
          </w:rPr>
          <w:t>Translation of Finance Lease Agreement between</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Applied Optoelectronics, Inc., Taiwan Branch, and</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Chailease Finance Co., Ltd.</w:t>
        </w:r>
      </w:hyperlink>
    </w:p>
    <w:p>
      <w:pPr>
        <w:spacing w:after="0" w:line="90" w:lineRule="exact"/>
        <w:rPr>
          <w:rFonts w:ascii="Arial" w:cs="Arial" w:eastAsia="Arial" w:hAnsi="Arial"/>
          <w:sz w:val="16"/>
          <w:szCs w:val="16"/>
          <w:u w:val="single" w:color="auto"/>
          <w:color w:val="0000EE"/>
        </w:rPr>
      </w:pPr>
    </w:p>
    <w:p>
      <w:pPr>
        <w:ind w:left="1060" w:right="26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114">
        <w:r>
          <w:rPr>
            <w:rFonts w:ascii="Arial" w:cs="Arial" w:eastAsia="Arial" w:hAnsi="Arial"/>
            <w:sz w:val="16"/>
            <w:szCs w:val="16"/>
            <w:u w:val="single" w:color="auto"/>
            <w:color w:val="0000EE"/>
          </w:rPr>
          <w:t>Credit Agreement, dated June 30, 2015, among</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Applied Optoelectronics, Inc., East West Bank and</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Comerica Bank</w:t>
        </w:r>
      </w:hyperlink>
    </w:p>
    <w:p>
      <w:pPr>
        <w:spacing w:after="0" w:line="90" w:lineRule="exact"/>
        <w:rPr>
          <w:rFonts w:ascii="Arial" w:cs="Arial" w:eastAsia="Arial" w:hAnsi="Arial"/>
          <w:sz w:val="16"/>
          <w:szCs w:val="16"/>
          <w:u w:val="single" w:color="auto"/>
          <w:color w:val="0000EE"/>
        </w:rPr>
      </w:pPr>
    </w:p>
    <w:p>
      <w:pPr>
        <w:ind w:left="1060" w:right="2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10.16.1</w:t>
      </w:r>
      <w:r>
        <w:rPr>
          <w:sz w:val="20"/>
          <w:szCs w:val="20"/>
          <w:color w:val="auto"/>
        </w:rPr>
        <w:tab/>
      </w:r>
      <w:hyperlink r:id="rId115">
        <w:r>
          <w:rPr>
            <w:rFonts w:ascii="Arial" w:cs="Arial" w:eastAsia="Arial" w:hAnsi="Arial"/>
            <w:sz w:val="16"/>
            <w:szCs w:val="16"/>
            <w:u w:val="single" w:color="auto"/>
            <w:color w:val="0000EE"/>
          </w:rPr>
          <w:t>Security Agreement, dated June 30, 2015, among</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Applied Optoelectronics, Inc., East West Bank and</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Comerica Bank</w:t>
        </w:r>
      </w:hyperlink>
    </w:p>
    <w:p>
      <w:pPr>
        <w:spacing w:after="0" w:line="90" w:lineRule="exact"/>
        <w:rPr>
          <w:rFonts w:ascii="Arial" w:cs="Arial" w:eastAsia="Arial" w:hAnsi="Arial"/>
          <w:sz w:val="16"/>
          <w:szCs w:val="16"/>
          <w:u w:val="single" w:color="auto"/>
          <w:color w:val="0000EE"/>
        </w:rPr>
      </w:pPr>
    </w:p>
    <w:p>
      <w:pPr>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10.16.2</w:t>
      </w:r>
      <w:r>
        <w:rPr>
          <w:sz w:val="20"/>
          <w:szCs w:val="20"/>
          <w:color w:val="auto"/>
        </w:rPr>
        <w:tab/>
      </w:r>
      <w:hyperlink r:id="rId116">
        <w:r>
          <w:rPr>
            <w:rFonts w:ascii="Arial" w:cs="Arial" w:eastAsia="Arial" w:hAnsi="Arial"/>
            <w:sz w:val="16"/>
            <w:szCs w:val="16"/>
            <w:u w:val="single" w:color="auto"/>
            <w:color w:val="0000EE"/>
          </w:rPr>
          <w:t>Patent Security Agreement, dated June 30, 2015,</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among Applied Optoelectronics, Inc., East West Bank</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and Comerica Bank</w:t>
        </w:r>
      </w:hyperlink>
    </w:p>
    <w:p>
      <w:pPr>
        <w:spacing w:after="0" w:line="90" w:lineRule="exact"/>
        <w:rPr>
          <w:rFonts w:ascii="Arial" w:cs="Arial" w:eastAsia="Arial" w:hAnsi="Arial"/>
          <w:sz w:val="16"/>
          <w:szCs w:val="16"/>
          <w:u w:val="single" w:color="auto"/>
          <w:color w:val="0000EE"/>
        </w:rPr>
      </w:pPr>
    </w:p>
    <w:p>
      <w:pPr>
        <w:jc w:val="both"/>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10.16.3</w:t>
      </w:r>
      <w:r>
        <w:rPr>
          <w:sz w:val="20"/>
          <w:szCs w:val="20"/>
          <w:color w:val="auto"/>
        </w:rPr>
        <w:tab/>
      </w:r>
      <w:hyperlink r:id="rId117">
        <w:r>
          <w:rPr>
            <w:rFonts w:ascii="Arial" w:cs="Arial" w:eastAsia="Arial" w:hAnsi="Arial"/>
            <w:sz w:val="16"/>
            <w:szCs w:val="16"/>
            <w:u w:val="single" w:color="auto"/>
            <w:color w:val="0000EE"/>
          </w:rPr>
          <w:t>Trademark Security Agreement, dated June 30, 2015,</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among Applied Optoelectronics, Inc., East West Bank</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and Comerica Bank</w:t>
        </w:r>
      </w:hyperlink>
    </w:p>
    <w:p>
      <w:pPr>
        <w:spacing w:after="0" w:line="90" w:lineRule="exact"/>
        <w:rPr>
          <w:rFonts w:ascii="Arial" w:cs="Arial" w:eastAsia="Arial" w:hAnsi="Arial"/>
          <w:sz w:val="16"/>
          <w:szCs w:val="16"/>
          <w:u w:val="single" w:color="auto"/>
          <w:color w:val="0000EE"/>
        </w:rPr>
      </w:pPr>
    </w:p>
    <w:p>
      <w:pPr>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10.16.4</w:t>
      </w:r>
      <w:r>
        <w:rPr>
          <w:sz w:val="20"/>
          <w:szCs w:val="20"/>
          <w:color w:val="auto"/>
        </w:rPr>
        <w:tab/>
      </w:r>
      <w:hyperlink r:id="rId118">
        <w:r>
          <w:rPr>
            <w:rFonts w:ascii="Arial" w:cs="Arial" w:eastAsia="Arial" w:hAnsi="Arial"/>
            <w:sz w:val="16"/>
            <w:szCs w:val="16"/>
            <w:u w:val="single" w:color="auto"/>
            <w:color w:val="0000EE"/>
          </w:rPr>
          <w:t>East West Bank Promissory Note, dated June 30,</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2015, between Applied Optoelectronics, Inc. and East</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West Bank</w:t>
        </w:r>
      </w:hyperlink>
    </w:p>
    <w:p>
      <w:pPr>
        <w:spacing w:after="0" w:line="90" w:lineRule="exact"/>
        <w:rPr>
          <w:rFonts w:ascii="Arial" w:cs="Arial" w:eastAsia="Arial" w:hAnsi="Arial"/>
          <w:sz w:val="16"/>
          <w:szCs w:val="16"/>
          <w:u w:val="single" w:color="auto"/>
          <w:color w:val="0000EE"/>
        </w:rPr>
      </w:pPr>
    </w:p>
    <w:p>
      <w:pPr>
        <w:jc w:val="both"/>
        <w:ind w:left="1060" w:right="38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10.16.5</w:t>
      </w:r>
      <w:r>
        <w:rPr>
          <w:sz w:val="20"/>
          <w:szCs w:val="20"/>
          <w:color w:val="auto"/>
        </w:rPr>
        <w:tab/>
      </w:r>
      <w:hyperlink r:id="rId119">
        <w:r>
          <w:rPr>
            <w:rFonts w:ascii="Arial" w:cs="Arial" w:eastAsia="Arial" w:hAnsi="Arial"/>
            <w:sz w:val="16"/>
            <w:szCs w:val="16"/>
            <w:u w:val="single" w:color="auto"/>
            <w:color w:val="0000EE"/>
          </w:rPr>
          <w:t>Comerica Bank Promissory Note, dated June 30,</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2015, between Applied Optoelectronics, Inc. and</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Comerica Bank</w:t>
        </w:r>
      </w:hyperlink>
    </w:p>
    <w:p>
      <w:pPr>
        <w:spacing w:after="0" w:line="39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29"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3380" w:type="dxa"/>
            <w:vAlign w:val="bottom"/>
            <w:gridSpan w:val="3"/>
          </w:tcPr>
          <w:p>
            <w:pPr>
              <w:ind w:left="6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jc w:val="center"/>
              <w:ind w:left="14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8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4"/>
              </w:rPr>
              <w:t>10-K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10.11.13</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4"/>
              </w:rPr>
              <w:t>10-K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10.12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95"/>
              </w:rPr>
              <w:t>April 7, 2014</w:t>
            </w:r>
          </w:p>
        </w:tc>
        <w:tc>
          <w:tcPr>
            <w:tcW w:w="0" w:type="dxa"/>
            <w:vAlign w:val="bottom"/>
          </w:tcPr>
          <w:p>
            <w:pPr>
              <w:spacing w:after="0"/>
              <w:rPr>
                <w:sz w:val="1"/>
                <w:szCs w:val="1"/>
                <w:color w:val="auto"/>
              </w:rPr>
            </w:pPr>
          </w:p>
        </w:tc>
      </w:tr>
      <w:tr>
        <w:trPr>
          <w:trHeight w:val="113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0"/>
              </w:rPr>
              <w:t>January 30, 2015</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95"/>
              </w:rPr>
              <w:t>April 7, 2015</w:t>
            </w:r>
          </w:p>
        </w:tc>
        <w:tc>
          <w:tcPr>
            <w:tcW w:w="0" w:type="dxa"/>
            <w:vAlign w:val="bottom"/>
          </w:tcPr>
          <w:p>
            <w:pPr>
              <w:spacing w:after="0"/>
              <w:rPr>
                <w:sz w:val="1"/>
                <w:szCs w:val="1"/>
                <w:color w:val="auto"/>
              </w:rPr>
            </w:pPr>
          </w:p>
        </w:tc>
      </w:tr>
      <w:tr>
        <w:trPr>
          <w:trHeight w:val="932"/>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95"/>
              </w:rPr>
              <w:t>April 7, 2015</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88"/>
              </w:rPr>
              <w:t>June 2,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40" w:type="dxa"/>
            <w:vAlign w:val="bottom"/>
          </w:tcPr>
          <w:p>
            <w:pPr>
              <w:jc w:val="center"/>
              <w:ind w:left="120"/>
              <w:spacing w:after="0"/>
              <w:rPr>
                <w:sz w:val="20"/>
                <w:szCs w:val="20"/>
                <w:color w:val="auto"/>
              </w:rPr>
            </w:pPr>
            <w:r>
              <w:rPr>
                <w:rFonts w:ascii="Arial" w:cs="Arial" w:eastAsia="Arial" w:hAnsi="Arial"/>
                <w:sz w:val="16"/>
                <w:szCs w:val="16"/>
                <w:color w:val="auto"/>
                <w:w w:val="88"/>
              </w:rPr>
              <w:t>June 2,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340" w:type="dxa"/>
            <w:vAlign w:val="bottom"/>
          </w:tcPr>
          <w:p>
            <w:pPr>
              <w:jc w:val="center"/>
              <w:ind w:left="14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bl>
    <w:p>
      <w:pPr>
        <w:sectPr>
          <w:pgSz w:w="11900" w:h="16838" w:orient="portrait"/>
          <w:cols w:equalWidth="0" w:num="2">
            <w:col w:w="4620" w:space="300"/>
            <w:col w:w="4119"/>
          </w:cols>
          <w:pgMar w:left="1420" w:top="125"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122" w:lineRule="exact"/>
        <w:rPr>
          <w:sz w:val="20"/>
          <w:szCs w:val="20"/>
          <w:color w:val="auto"/>
        </w:rPr>
      </w:pPr>
    </w:p>
    <w:p>
      <w:pPr>
        <w:ind w:left="1060" w:right="40" w:hanging="674"/>
        <w:spacing w:after="0" w:line="270"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10.16.6</w:t>
      </w:r>
      <w:r>
        <w:rPr>
          <w:sz w:val="20"/>
          <w:szCs w:val="20"/>
          <w:color w:val="auto"/>
        </w:rPr>
        <w:tab/>
      </w:r>
      <w:hyperlink r:id="rId121">
        <w:r>
          <w:rPr>
            <w:rFonts w:ascii="Arial" w:cs="Arial" w:eastAsia="Arial" w:hAnsi="Arial"/>
            <w:sz w:val="16"/>
            <w:szCs w:val="16"/>
            <w:u w:val="single" w:color="auto"/>
            <w:color w:val="0000EE"/>
          </w:rPr>
          <w:t>2</w:t>
        </w:r>
        <w:r>
          <w:rPr>
            <w:rFonts w:ascii="Arial" w:cs="Arial" w:eastAsia="Arial" w:hAnsi="Arial"/>
            <w:sz w:val="17"/>
            <w:szCs w:val="17"/>
            <w:u w:val="single" w:color="auto"/>
            <w:color w:val="0000EE"/>
            <w:vertAlign w:val="superscript"/>
          </w:rPr>
          <w:t>nd</w:t>
        </w:r>
        <w:r>
          <w:rPr>
            <w:rFonts w:ascii="Arial" w:cs="Arial" w:eastAsia="Arial" w:hAnsi="Arial"/>
            <w:sz w:val="16"/>
            <w:szCs w:val="16"/>
            <w:u w:val="single" w:color="auto"/>
            <w:color w:val="0000EE"/>
          </w:rPr>
          <w:t xml:space="preserve"> Lien Construction Deed of Trust, dated June 30,</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2015, among Applied Optoelectronics, Inc., East West</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Bank and Comerica Bank</w:t>
        </w:r>
      </w:hyperlink>
    </w:p>
    <w:p>
      <w:pPr>
        <w:spacing w:after="0" w:line="95" w:lineRule="exact"/>
        <w:rPr>
          <w:rFonts w:ascii="Arial" w:cs="Arial" w:eastAsia="Arial" w:hAnsi="Arial"/>
          <w:sz w:val="16"/>
          <w:szCs w:val="16"/>
          <w:u w:val="single" w:color="auto"/>
          <w:color w:val="0000EE"/>
        </w:rPr>
      </w:pPr>
    </w:p>
    <w:p>
      <w:pPr>
        <w:jc w:val="both"/>
        <w:ind w:left="1060" w:right="26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122">
        <w:r>
          <w:rPr>
            <w:rFonts w:ascii="Arial" w:cs="Arial" w:eastAsia="Arial" w:hAnsi="Arial"/>
            <w:sz w:val="16"/>
            <w:szCs w:val="16"/>
            <w:u w:val="single" w:color="auto"/>
            <w:color w:val="0000EE"/>
          </w:rPr>
          <w:t>Translation of Purchase and Sale Contract between</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Applied Optoelectronics, Inc., Taiwan Branch, and</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Chailease Finance Co., Ltd.</w:t>
        </w:r>
      </w:hyperlink>
    </w:p>
    <w:p>
      <w:pPr>
        <w:spacing w:after="0" w:line="90" w:lineRule="exact"/>
        <w:rPr>
          <w:rFonts w:ascii="Arial" w:cs="Arial" w:eastAsia="Arial" w:hAnsi="Arial"/>
          <w:sz w:val="16"/>
          <w:szCs w:val="16"/>
          <w:u w:val="single" w:color="auto"/>
          <w:color w:val="0000EE"/>
        </w:rPr>
      </w:pPr>
    </w:p>
    <w:p>
      <w:pPr>
        <w:ind w:left="1060" w:right="100" w:hanging="674"/>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10.17.1</w:t>
      </w:r>
      <w:r>
        <w:rPr>
          <w:sz w:val="20"/>
          <w:szCs w:val="20"/>
          <w:color w:val="auto"/>
        </w:rPr>
        <w:tab/>
      </w:r>
      <w:hyperlink r:id="rId123">
        <w:r>
          <w:rPr>
            <w:rFonts w:ascii="Arial" w:cs="Arial" w:eastAsia="Arial" w:hAnsi="Arial"/>
            <w:sz w:val="14"/>
            <w:szCs w:val="14"/>
            <w:u w:val="single" w:color="auto"/>
            <w:color w:val="0000EE"/>
          </w:rPr>
          <w:t>Translation of Finance Lease Agreement and</w:t>
        </w:r>
      </w:hyperlink>
      <w:r>
        <w:rPr>
          <w:rFonts w:ascii="Arial" w:cs="Arial" w:eastAsia="Arial" w:hAnsi="Arial"/>
          <w:sz w:val="14"/>
          <w:szCs w:val="14"/>
          <w:u w:val="single" w:color="auto"/>
          <w:color w:val="0000EE"/>
        </w:rPr>
        <w:t xml:space="preserve"> </w:t>
      </w:r>
      <w:hyperlink r:id="rId123">
        <w:r>
          <w:rPr>
            <w:rFonts w:ascii="Arial" w:cs="Arial" w:eastAsia="Arial" w:hAnsi="Arial"/>
            <w:sz w:val="14"/>
            <w:szCs w:val="14"/>
            <w:u w:val="single" w:color="auto"/>
            <w:color w:val="0000EE"/>
          </w:rPr>
          <w:t>Promissory Note between Applied Optoelectronics,</w:t>
        </w:r>
      </w:hyperlink>
      <w:r>
        <w:rPr>
          <w:rFonts w:ascii="Arial" w:cs="Arial" w:eastAsia="Arial" w:hAnsi="Arial"/>
          <w:sz w:val="14"/>
          <w:szCs w:val="14"/>
          <w:u w:val="single" w:color="auto"/>
          <w:color w:val="0000EE"/>
        </w:rPr>
        <w:t xml:space="preserve"> </w:t>
      </w:r>
      <w:hyperlink r:id="rId123">
        <w:r>
          <w:rPr>
            <w:rFonts w:ascii="Arial" w:cs="Arial" w:eastAsia="Arial" w:hAnsi="Arial"/>
            <w:sz w:val="14"/>
            <w:szCs w:val="14"/>
            <w:u w:val="single" w:color="auto"/>
            <w:color w:val="0000EE"/>
          </w:rPr>
          <w:t>Inc., Taiwan Branch, and Chailease Finance Co., Ltd.</w:t>
        </w:r>
      </w:hyperlink>
    </w:p>
    <w:p>
      <w:pPr>
        <w:spacing w:after="0" w:line="55" w:lineRule="exact"/>
        <w:rPr>
          <w:rFonts w:ascii="Arial" w:cs="Arial" w:eastAsia="Arial" w:hAnsi="Arial"/>
          <w:sz w:val="14"/>
          <w:szCs w:val="14"/>
          <w:u w:val="single" w:color="auto"/>
          <w:color w:val="0000EE"/>
        </w:rPr>
      </w:pPr>
    </w:p>
    <w:p>
      <w:pPr>
        <w:ind w:left="1060" w:right="26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124">
        <w:r>
          <w:rPr>
            <w:rFonts w:ascii="Arial" w:cs="Arial" w:eastAsia="Arial" w:hAnsi="Arial"/>
            <w:sz w:val="16"/>
            <w:szCs w:val="16"/>
            <w:u w:val="single" w:color="auto"/>
            <w:color w:val="0000EE"/>
          </w:rPr>
          <w:t>Office Lease Agreement between Applied</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Optoelectronics, Inc. and GIG VAOI Breckinridge,</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LLC dated November 5, 2015</w:t>
        </w:r>
      </w:hyperlink>
    </w:p>
    <w:p>
      <w:pPr>
        <w:spacing w:after="0" w:line="90" w:lineRule="exact"/>
        <w:rPr>
          <w:rFonts w:ascii="Arial" w:cs="Arial" w:eastAsia="Arial" w:hAnsi="Arial"/>
          <w:sz w:val="16"/>
          <w:szCs w:val="16"/>
          <w:u w:val="single" w:color="auto"/>
          <w:color w:val="0000EE"/>
        </w:rPr>
      </w:pPr>
    </w:p>
    <w:p>
      <w:pPr>
        <w:ind w:left="1060" w:right="240" w:hanging="553"/>
        <w:spacing w:after="0" w:line="297"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10.19</w:t>
      </w:r>
      <w:r>
        <w:rPr>
          <w:sz w:val="20"/>
          <w:szCs w:val="20"/>
          <w:color w:val="auto"/>
        </w:rPr>
        <w:tab/>
      </w:r>
      <w:hyperlink r:id="rId125">
        <w:r>
          <w:rPr>
            <w:rFonts w:ascii="Arial" w:cs="Arial" w:eastAsia="Arial" w:hAnsi="Arial"/>
            <w:sz w:val="15"/>
            <w:szCs w:val="15"/>
            <w:u w:val="single" w:color="auto"/>
            <w:color w:val="0000EE"/>
          </w:rPr>
          <w:t>Translation of Purchase and Sale Contract, Finance</w:t>
        </w:r>
      </w:hyperlink>
      <w:r>
        <w:rPr>
          <w:rFonts w:ascii="Arial" w:cs="Arial" w:eastAsia="Arial" w:hAnsi="Arial"/>
          <w:sz w:val="15"/>
          <w:szCs w:val="15"/>
          <w:u w:val="single" w:color="auto"/>
          <w:color w:val="0000EE"/>
        </w:rPr>
        <w:t xml:space="preserve"> </w:t>
      </w:r>
      <w:hyperlink r:id="rId125">
        <w:r>
          <w:rPr>
            <w:rFonts w:ascii="Arial" w:cs="Arial" w:eastAsia="Arial" w:hAnsi="Arial"/>
            <w:sz w:val="15"/>
            <w:szCs w:val="15"/>
            <w:u w:val="single" w:color="auto"/>
            <w:color w:val="0000EE"/>
          </w:rPr>
          <w:t>Lease Agreement and Promissory Note between</w:t>
        </w:r>
      </w:hyperlink>
      <w:r>
        <w:rPr>
          <w:rFonts w:ascii="Arial" w:cs="Arial" w:eastAsia="Arial" w:hAnsi="Arial"/>
          <w:sz w:val="15"/>
          <w:szCs w:val="15"/>
          <w:u w:val="single" w:color="auto"/>
          <w:color w:val="0000EE"/>
        </w:rPr>
        <w:t xml:space="preserve"> </w:t>
      </w:r>
      <w:hyperlink r:id="rId125">
        <w:r>
          <w:rPr>
            <w:rFonts w:ascii="Arial" w:cs="Arial" w:eastAsia="Arial" w:hAnsi="Arial"/>
            <w:sz w:val="15"/>
            <w:szCs w:val="15"/>
            <w:u w:val="single" w:color="auto"/>
            <w:color w:val="0000EE"/>
          </w:rPr>
          <w:t>Applied Optoelectronics, Inc., Taiwan Branch, and</w:t>
        </w:r>
      </w:hyperlink>
      <w:r>
        <w:rPr>
          <w:rFonts w:ascii="Arial" w:cs="Arial" w:eastAsia="Arial" w:hAnsi="Arial"/>
          <w:sz w:val="15"/>
          <w:szCs w:val="15"/>
          <w:u w:val="single" w:color="auto"/>
          <w:color w:val="0000EE"/>
        </w:rPr>
        <w:t xml:space="preserve"> </w:t>
      </w:r>
      <w:hyperlink r:id="rId125">
        <w:r>
          <w:rPr>
            <w:rFonts w:ascii="Arial" w:cs="Arial" w:eastAsia="Arial" w:hAnsi="Arial"/>
            <w:sz w:val="15"/>
            <w:szCs w:val="15"/>
            <w:u w:val="single" w:color="auto"/>
            <w:color w:val="0000EE"/>
          </w:rPr>
          <w:t>Chailease Finance Co., Ltd.</w:t>
        </w:r>
      </w:hyperlink>
    </w:p>
    <w:p>
      <w:pPr>
        <w:spacing w:after="0" w:line="78" w:lineRule="exact"/>
        <w:rPr>
          <w:rFonts w:ascii="Arial" w:cs="Arial" w:eastAsia="Arial" w:hAnsi="Arial"/>
          <w:sz w:val="15"/>
          <w:szCs w:val="15"/>
          <w:u w:val="single" w:color="auto"/>
          <w:color w:val="0000EE"/>
        </w:rPr>
      </w:pPr>
    </w:p>
    <w:p>
      <w:pPr>
        <w:ind w:left="1060" w:right="240" w:hanging="553"/>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126">
        <w:r>
          <w:rPr>
            <w:rFonts w:ascii="Arial" w:cs="Arial" w:eastAsia="Arial" w:hAnsi="Arial"/>
            <w:sz w:val="16"/>
            <w:szCs w:val="16"/>
            <w:u w:val="single" w:color="auto"/>
            <w:color w:val="0000EE"/>
          </w:rPr>
          <w:t>Translation of the General Crediting Agreement,</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dated April 8, 2016, between Applied</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Optoelectronics, Inc. and E. Sun Commercial Bank</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Co., Ltd.</w:t>
        </w:r>
      </w:hyperlink>
    </w:p>
    <w:p>
      <w:pPr>
        <w:spacing w:after="0" w:line="95" w:lineRule="exact"/>
        <w:rPr>
          <w:rFonts w:ascii="Arial" w:cs="Arial" w:eastAsia="Arial" w:hAnsi="Arial"/>
          <w:sz w:val="16"/>
          <w:szCs w:val="16"/>
          <w:u w:val="single" w:color="auto"/>
          <w:color w:val="0000EE"/>
        </w:rPr>
      </w:pPr>
    </w:p>
    <w:p>
      <w:pPr>
        <w:ind w:left="1060" w:right="20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10.20.1</w:t>
      </w:r>
      <w:r>
        <w:rPr>
          <w:sz w:val="20"/>
          <w:szCs w:val="20"/>
          <w:color w:val="auto"/>
        </w:rPr>
        <w:tab/>
      </w:r>
      <w:hyperlink r:id="rId127">
        <w:r>
          <w:rPr>
            <w:rFonts w:ascii="Arial" w:cs="Arial" w:eastAsia="Arial" w:hAnsi="Arial"/>
            <w:sz w:val="16"/>
            <w:szCs w:val="16"/>
            <w:u w:val="single" w:color="auto"/>
            <w:color w:val="0000EE"/>
          </w:rPr>
          <w:t>Translation of the Promissory Note, dated April 8,</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2016, between Applied Optoelectronics, Inc. and E.</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Sun Commercial Bank Co., Ltd.</w:t>
        </w:r>
      </w:hyperlink>
    </w:p>
    <w:p>
      <w:pPr>
        <w:spacing w:after="0" w:line="90" w:lineRule="exact"/>
        <w:rPr>
          <w:rFonts w:ascii="Arial" w:cs="Arial" w:eastAsia="Arial" w:hAnsi="Arial"/>
          <w:sz w:val="16"/>
          <w:szCs w:val="16"/>
          <w:u w:val="single" w:color="auto"/>
          <w:color w:val="0000EE"/>
        </w:rPr>
      </w:pPr>
    </w:p>
    <w:p>
      <w:pPr>
        <w:ind w:left="1060" w:right="480" w:hanging="674"/>
        <w:spacing w:after="0" w:line="29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10.20.2</w:t>
      </w:r>
      <w:r>
        <w:rPr>
          <w:sz w:val="20"/>
          <w:szCs w:val="20"/>
          <w:color w:val="auto"/>
        </w:rPr>
        <w:tab/>
      </w:r>
      <w:hyperlink r:id="rId128">
        <w:r>
          <w:rPr>
            <w:rFonts w:ascii="Arial" w:cs="Arial" w:eastAsia="Arial" w:hAnsi="Arial"/>
            <w:sz w:val="16"/>
            <w:szCs w:val="16"/>
            <w:u w:val="single" w:color="auto"/>
            <w:color w:val="0000EE"/>
          </w:rPr>
          <w:t>Translation of Loan Approval Notice by E. Sun</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Commercial Bank Co., Ltd.</w:t>
        </w:r>
      </w:hyperlink>
    </w:p>
    <w:p>
      <w:pPr>
        <w:spacing w:after="0" w:line="77" w:lineRule="exact"/>
        <w:rPr>
          <w:sz w:val="20"/>
          <w:szCs w:val="20"/>
          <w:color w:val="auto"/>
        </w:rPr>
      </w:pPr>
    </w:p>
    <w:p>
      <w:pPr>
        <w:ind w:left="1060" w:right="100" w:hanging="553"/>
        <w:spacing w:after="0" w:line="324"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10.21</w:t>
      </w:r>
      <w:r>
        <w:rPr>
          <w:sz w:val="20"/>
          <w:szCs w:val="20"/>
          <w:color w:val="auto"/>
        </w:rPr>
        <w:tab/>
      </w:r>
      <w:hyperlink r:id="rId129">
        <w:r>
          <w:rPr>
            <w:rFonts w:ascii="Arial" w:cs="Arial" w:eastAsia="Arial" w:hAnsi="Arial"/>
            <w:sz w:val="14"/>
            <w:szCs w:val="14"/>
            <w:u w:val="single" w:color="auto"/>
            <w:color w:val="0000EE"/>
          </w:rPr>
          <w:t>Translation of Comprehensive Credit Line Contract</w:t>
        </w:r>
      </w:hyperlink>
      <w:r>
        <w:rPr>
          <w:rFonts w:ascii="Arial" w:cs="Arial" w:eastAsia="Arial" w:hAnsi="Arial"/>
          <w:sz w:val="14"/>
          <w:szCs w:val="14"/>
          <w:u w:val="single" w:color="auto"/>
          <w:color w:val="0000EE"/>
        </w:rPr>
        <w:t xml:space="preserve"> </w:t>
      </w:r>
      <w:hyperlink r:id="rId129">
        <w:r>
          <w:rPr>
            <w:rFonts w:ascii="Arial" w:cs="Arial" w:eastAsia="Arial" w:hAnsi="Arial"/>
            <w:sz w:val="14"/>
            <w:szCs w:val="14"/>
            <w:u w:val="single" w:color="auto"/>
            <w:color w:val="0000EE"/>
          </w:rPr>
          <w:t>and General Agreement, dated April 22, 2016,</w:t>
        </w:r>
      </w:hyperlink>
      <w:r>
        <w:rPr>
          <w:rFonts w:ascii="Arial" w:cs="Arial" w:eastAsia="Arial" w:hAnsi="Arial"/>
          <w:sz w:val="14"/>
          <w:szCs w:val="14"/>
          <w:u w:val="single" w:color="auto"/>
          <w:color w:val="0000EE"/>
        </w:rPr>
        <w:t xml:space="preserve"> </w:t>
      </w:r>
      <w:hyperlink r:id="rId129">
        <w:r>
          <w:rPr>
            <w:rFonts w:ascii="Arial" w:cs="Arial" w:eastAsia="Arial" w:hAnsi="Arial"/>
            <w:sz w:val="14"/>
            <w:szCs w:val="14"/>
            <w:u w:val="single" w:color="auto"/>
            <w:color w:val="0000EE"/>
          </w:rPr>
          <w:t>between Applied Optoelectronics, Inc., Taiwan</w:t>
        </w:r>
      </w:hyperlink>
      <w:r>
        <w:rPr>
          <w:rFonts w:ascii="Arial" w:cs="Arial" w:eastAsia="Arial" w:hAnsi="Arial"/>
          <w:sz w:val="14"/>
          <w:szCs w:val="14"/>
          <w:u w:val="single" w:color="auto"/>
          <w:color w:val="0000EE"/>
        </w:rPr>
        <w:t xml:space="preserve"> </w:t>
      </w:r>
      <w:hyperlink r:id="rId129">
        <w:r>
          <w:rPr>
            <w:rFonts w:ascii="Arial" w:cs="Arial" w:eastAsia="Arial" w:hAnsi="Arial"/>
            <w:sz w:val="14"/>
            <w:szCs w:val="14"/>
            <w:u w:val="single" w:color="auto"/>
            <w:color w:val="0000EE"/>
          </w:rPr>
          <w:t>Branch, and China Construction Bank, Taipei Branch</w:t>
        </w:r>
      </w:hyperlink>
    </w:p>
    <w:p>
      <w:pPr>
        <w:spacing w:after="0" w:line="62" w:lineRule="exact"/>
        <w:rPr>
          <w:rFonts w:ascii="Arial" w:cs="Arial" w:eastAsia="Arial" w:hAnsi="Arial"/>
          <w:sz w:val="14"/>
          <w:szCs w:val="14"/>
          <w:u w:val="single" w:color="auto"/>
          <w:color w:val="0000EE"/>
        </w:rPr>
      </w:pPr>
    </w:p>
    <w:p>
      <w:pPr>
        <w:jc w:val="center"/>
        <w:ind w:left="340" w:right="40"/>
        <w:spacing w:after="0" w:line="293"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10.21.1   </w:t>
      </w:r>
      <w:hyperlink r:id="rId130">
        <w:r>
          <w:rPr>
            <w:rFonts w:ascii="Arial" w:cs="Arial" w:eastAsia="Arial" w:hAnsi="Arial"/>
            <w:sz w:val="16"/>
            <w:szCs w:val="16"/>
            <w:u w:val="single" w:color="auto"/>
            <w:color w:val="0000EE"/>
          </w:rPr>
          <w:t>Translation of Approval Notice of China Construction</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EE"/>
          </w:rPr>
          <w:t>Bank, Taipei Branch, dated March 29, 2016</w:t>
        </w:r>
      </w:hyperlink>
    </w:p>
    <w:p>
      <w:pPr>
        <w:spacing w:after="0" w:line="77" w:lineRule="exact"/>
        <w:rPr>
          <w:sz w:val="20"/>
          <w:szCs w:val="20"/>
          <w:color w:val="auto"/>
        </w:rPr>
      </w:pPr>
    </w:p>
    <w:p>
      <w:pPr>
        <w:ind w:left="1060" w:right="22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10.21.2</w:t>
      </w:r>
      <w:r>
        <w:rPr>
          <w:sz w:val="20"/>
          <w:szCs w:val="20"/>
          <w:color w:val="auto"/>
        </w:rPr>
        <w:tab/>
      </w:r>
      <w:hyperlink r:id="rId131">
        <w:r>
          <w:rPr>
            <w:rFonts w:ascii="Arial" w:cs="Arial" w:eastAsia="Arial" w:hAnsi="Arial"/>
            <w:sz w:val="16"/>
            <w:szCs w:val="16"/>
            <w:u w:val="single" w:color="auto"/>
            <w:color w:val="0000EE"/>
          </w:rPr>
          <w:t>Translation of the Promissory Note, dated April 22,</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2016 between China Construction Bank – Taipei</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Branch and Applied Optoelectronics, Inc., Taiwan</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Branch</w:t>
        </w:r>
      </w:hyperlink>
    </w:p>
    <w:p>
      <w:pPr>
        <w:spacing w:after="0" w:line="95" w:lineRule="exact"/>
        <w:rPr>
          <w:rFonts w:ascii="Arial" w:cs="Arial" w:eastAsia="Arial" w:hAnsi="Arial"/>
          <w:sz w:val="16"/>
          <w:szCs w:val="16"/>
          <w:u w:val="single" w:color="auto"/>
          <w:color w:val="0000EE"/>
        </w:rPr>
      </w:pPr>
    </w:p>
    <w:p>
      <w:pPr>
        <w:ind w:left="1060" w:right="12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131">
        <w:r>
          <w:rPr>
            <w:rFonts w:ascii="Arial" w:cs="Arial" w:eastAsia="Arial" w:hAnsi="Arial"/>
            <w:sz w:val="16"/>
            <w:szCs w:val="16"/>
            <w:u w:val="single" w:color="auto"/>
            <w:color w:val="0000EE"/>
          </w:rPr>
          <w:t>Change in Terms Agreement, dated June 14, 2016,</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between Applied Optoelectronics, Inc. and East West</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Bank</w:t>
        </w:r>
      </w:hyperlink>
    </w:p>
    <w:p>
      <w:pPr>
        <w:spacing w:after="0" w:line="90" w:lineRule="exact"/>
        <w:rPr>
          <w:rFonts w:ascii="Arial" w:cs="Arial" w:eastAsia="Arial" w:hAnsi="Arial"/>
          <w:sz w:val="16"/>
          <w:szCs w:val="16"/>
          <w:u w:val="single" w:color="auto"/>
          <w:color w:val="0000EE"/>
        </w:rPr>
      </w:pPr>
    </w:p>
    <w:p>
      <w:pPr>
        <w:ind w:left="1060" w:right="12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10.22.1</w:t>
      </w:r>
      <w:r>
        <w:rPr>
          <w:sz w:val="20"/>
          <w:szCs w:val="20"/>
          <w:color w:val="auto"/>
        </w:rPr>
        <w:tab/>
      </w:r>
      <w:hyperlink r:id="rId132">
        <w:r>
          <w:rPr>
            <w:rFonts w:ascii="Arial" w:cs="Arial" w:eastAsia="Arial" w:hAnsi="Arial"/>
            <w:sz w:val="16"/>
            <w:szCs w:val="16"/>
            <w:u w:val="single" w:color="auto"/>
            <w:color w:val="0000EE"/>
          </w:rPr>
          <w:t>Notice of Final Agreement, dated June 14, 2016,</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between Applied Optoelectronics, Inc. and East West</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Bank</w:t>
        </w:r>
      </w:hyperlink>
    </w:p>
    <w:p>
      <w:pPr>
        <w:spacing w:after="0" w:line="90" w:lineRule="exact"/>
        <w:rPr>
          <w:rFonts w:ascii="Arial" w:cs="Arial" w:eastAsia="Arial" w:hAnsi="Arial"/>
          <w:sz w:val="16"/>
          <w:szCs w:val="16"/>
          <w:u w:val="single" w:color="auto"/>
          <w:color w:val="0000EE"/>
        </w:rPr>
      </w:pPr>
    </w:p>
    <w:p>
      <w:pPr>
        <w:ind w:left="1060" w:right="26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10.22.2</w:t>
      </w:r>
      <w:r>
        <w:rPr>
          <w:sz w:val="20"/>
          <w:szCs w:val="20"/>
          <w:color w:val="auto"/>
        </w:rPr>
        <w:tab/>
      </w:r>
      <w:hyperlink r:id="rId133">
        <w:r>
          <w:rPr>
            <w:rFonts w:ascii="Arial" w:cs="Arial" w:eastAsia="Arial" w:hAnsi="Arial"/>
            <w:sz w:val="15"/>
            <w:szCs w:val="15"/>
            <w:u w:val="single" w:color="auto"/>
            <w:color w:val="0000EE"/>
          </w:rPr>
          <w:t>Modification to the Construction Loan Agreement,</w:t>
        </w:r>
      </w:hyperlink>
      <w:r>
        <w:rPr>
          <w:rFonts w:ascii="Arial" w:cs="Arial" w:eastAsia="Arial" w:hAnsi="Arial"/>
          <w:sz w:val="15"/>
          <w:szCs w:val="15"/>
          <w:u w:val="single" w:color="auto"/>
          <w:color w:val="0000EE"/>
        </w:rPr>
        <w:t xml:space="preserve"> </w:t>
      </w:r>
      <w:hyperlink r:id="rId133">
        <w:r>
          <w:rPr>
            <w:rFonts w:ascii="Arial" w:cs="Arial" w:eastAsia="Arial" w:hAnsi="Arial"/>
            <w:sz w:val="15"/>
            <w:szCs w:val="15"/>
            <w:u w:val="single" w:color="auto"/>
            <w:color w:val="0000EE"/>
          </w:rPr>
          <w:t>dated June 14, 2016, between Applied</w:t>
        </w:r>
      </w:hyperlink>
      <w:r>
        <w:rPr>
          <w:rFonts w:ascii="Arial" w:cs="Arial" w:eastAsia="Arial" w:hAnsi="Arial"/>
          <w:sz w:val="15"/>
          <w:szCs w:val="15"/>
          <w:u w:val="single" w:color="auto"/>
          <w:color w:val="0000EE"/>
        </w:rPr>
        <w:t xml:space="preserve"> </w:t>
      </w:r>
      <w:hyperlink r:id="rId133">
        <w:r>
          <w:rPr>
            <w:rFonts w:ascii="Arial" w:cs="Arial" w:eastAsia="Arial" w:hAnsi="Arial"/>
            <w:sz w:val="15"/>
            <w:szCs w:val="15"/>
            <w:u w:val="single" w:color="auto"/>
            <w:color w:val="0000EE"/>
          </w:rPr>
          <w:t>Optoelectronics, Inc. and East West Bank</w:t>
        </w:r>
      </w:hyperlink>
    </w:p>
    <w:p>
      <w:pPr>
        <w:spacing w:after="0" w:line="72" w:lineRule="exact"/>
        <w:rPr>
          <w:rFonts w:ascii="Arial" w:cs="Arial" w:eastAsia="Arial" w:hAnsi="Arial"/>
          <w:sz w:val="15"/>
          <w:szCs w:val="15"/>
          <w:u w:val="single" w:color="auto"/>
          <w:color w:val="0000EE"/>
        </w:rPr>
      </w:pPr>
    </w:p>
    <w:p>
      <w:pPr>
        <w:ind w:left="1060" w:right="160" w:hanging="553"/>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134">
        <w:r>
          <w:rPr>
            <w:rFonts w:ascii="Arial" w:cs="Arial" w:eastAsia="Arial" w:hAnsi="Arial"/>
            <w:sz w:val="16"/>
            <w:szCs w:val="16"/>
            <w:u w:val="single" w:color="auto"/>
            <w:color w:val="0000EE"/>
          </w:rPr>
          <w:t>First Amendment to Credit Agreement and Limited</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Consent, dated June 24, 2016, between Applied</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Optoelectronics, Inc., East West Bank and Comerica</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Bank</w:t>
        </w:r>
      </w:hyperlink>
    </w:p>
    <w:p>
      <w:pPr>
        <w:spacing w:after="0" w:line="200" w:lineRule="exact"/>
        <w:rPr>
          <w:rFonts w:ascii="Arial" w:cs="Arial" w:eastAsia="Arial" w:hAnsi="Arial"/>
          <w:sz w:val="16"/>
          <w:szCs w:val="16"/>
          <w:u w:val="single" w:color="auto"/>
          <w:color w:val="0000EE"/>
        </w:rPr>
      </w:pPr>
    </w:p>
    <w:p>
      <w:pPr>
        <w:spacing w:after="0" w:line="201"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29"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3420" w:type="dxa"/>
            <w:vAlign w:val="bottom"/>
            <w:gridSpan w:val="3"/>
          </w:tcPr>
          <w:p>
            <w:pPr>
              <w:ind w:left="6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40" w:type="dxa"/>
            <w:vAlign w:val="bottom"/>
          </w:tcPr>
          <w:p>
            <w:pPr>
              <w:jc w:val="center"/>
              <w:ind w:left="16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0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89"/>
              </w:rPr>
              <w:t>10-Q</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92"/>
              </w:rPr>
              <w:t>November 9, 2015</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95"/>
              </w:rPr>
              <w:t>April 6, 2016</w:t>
            </w:r>
          </w:p>
        </w:tc>
        <w:tc>
          <w:tcPr>
            <w:tcW w:w="0" w:type="dxa"/>
            <w:vAlign w:val="bottom"/>
          </w:tcPr>
          <w:p>
            <w:pPr>
              <w:spacing w:after="0"/>
              <w:rPr>
                <w:sz w:val="1"/>
                <w:szCs w:val="1"/>
                <w:color w:val="auto"/>
              </w:rPr>
            </w:pPr>
          </w:p>
        </w:tc>
      </w:tr>
      <w:tr>
        <w:trPr>
          <w:trHeight w:val="932"/>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932"/>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932"/>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40" w:type="dxa"/>
            <w:vAlign w:val="bottom"/>
          </w:tcPr>
          <w:p>
            <w:pPr>
              <w:jc w:val="center"/>
              <w:ind w:left="16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932"/>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88"/>
              </w:rPr>
              <w:t>June 17,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4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bl>
    <w:p>
      <w:pPr>
        <w:sectPr>
          <w:pgSz w:w="11900" w:h="16838" w:orient="portrait"/>
          <w:cols w:equalWidth="0" w:num="2">
            <w:col w:w="4620" w:space="300"/>
            <w:col w:w="4119"/>
          </w:cols>
          <w:pgMar w:left="1420" w:top="125"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122" w:lineRule="exact"/>
        <w:rPr>
          <w:sz w:val="20"/>
          <w:szCs w:val="20"/>
          <w:color w:val="auto"/>
        </w:rPr>
      </w:pPr>
    </w:p>
    <w:p>
      <w:pPr>
        <w:ind w:left="1060" w:right="4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10.23.1</w:t>
      </w:r>
      <w:r>
        <w:rPr>
          <w:sz w:val="20"/>
          <w:szCs w:val="20"/>
          <w:color w:val="auto"/>
        </w:rPr>
        <w:tab/>
      </w:r>
      <w:hyperlink r:id="rId136">
        <w:r>
          <w:rPr>
            <w:rFonts w:ascii="Arial" w:cs="Arial" w:eastAsia="Arial" w:hAnsi="Arial"/>
            <w:sz w:val="16"/>
            <w:szCs w:val="16"/>
            <w:u w:val="single" w:color="auto"/>
            <w:color w:val="0000EE"/>
          </w:rPr>
          <w:t>$17,500,000 Amended and Restated Revolving Credit</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Note, dated June 24, 2016, between Applied</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Optoelectronics, Inc. and Comerica Bank</w:t>
        </w:r>
      </w:hyperlink>
    </w:p>
    <w:p>
      <w:pPr>
        <w:spacing w:after="0" w:line="90" w:lineRule="exact"/>
        <w:rPr>
          <w:rFonts w:ascii="Arial" w:cs="Arial" w:eastAsia="Arial" w:hAnsi="Arial"/>
          <w:sz w:val="16"/>
          <w:szCs w:val="16"/>
          <w:u w:val="single" w:color="auto"/>
          <w:color w:val="0000EE"/>
        </w:rPr>
      </w:pPr>
    </w:p>
    <w:p>
      <w:pPr>
        <w:ind w:left="1060" w:right="12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10.23.2</w:t>
      </w:r>
      <w:r>
        <w:rPr>
          <w:sz w:val="20"/>
          <w:szCs w:val="20"/>
          <w:color w:val="auto"/>
        </w:rPr>
        <w:tab/>
      </w:r>
      <w:hyperlink r:id="rId137">
        <w:r>
          <w:rPr>
            <w:rFonts w:ascii="Arial" w:cs="Arial" w:eastAsia="Arial" w:hAnsi="Arial"/>
            <w:sz w:val="15"/>
            <w:szCs w:val="15"/>
            <w:u w:val="single" w:color="auto"/>
            <w:color w:val="0000EE"/>
          </w:rPr>
          <w:t>$2,500,000 Amended and Restated Revolving Credit</w:t>
        </w:r>
      </w:hyperlink>
      <w:r>
        <w:rPr>
          <w:rFonts w:ascii="Arial" w:cs="Arial" w:eastAsia="Arial" w:hAnsi="Arial"/>
          <w:sz w:val="15"/>
          <w:szCs w:val="15"/>
          <w:u w:val="single" w:color="auto"/>
          <w:color w:val="0000EE"/>
        </w:rPr>
        <w:t xml:space="preserve"> </w:t>
      </w:r>
      <w:hyperlink r:id="rId137">
        <w:r>
          <w:rPr>
            <w:rFonts w:ascii="Arial" w:cs="Arial" w:eastAsia="Arial" w:hAnsi="Arial"/>
            <w:sz w:val="15"/>
            <w:szCs w:val="15"/>
            <w:u w:val="single" w:color="auto"/>
            <w:color w:val="0000EE"/>
          </w:rPr>
          <w:t>Note, dated June 24, 2016, between Applied</w:t>
        </w:r>
      </w:hyperlink>
      <w:r>
        <w:rPr>
          <w:rFonts w:ascii="Arial" w:cs="Arial" w:eastAsia="Arial" w:hAnsi="Arial"/>
          <w:sz w:val="15"/>
          <w:szCs w:val="15"/>
          <w:u w:val="single" w:color="auto"/>
          <w:color w:val="0000EE"/>
        </w:rPr>
        <w:t xml:space="preserve"> </w:t>
      </w:r>
      <w:hyperlink r:id="rId137">
        <w:r>
          <w:rPr>
            <w:rFonts w:ascii="Arial" w:cs="Arial" w:eastAsia="Arial" w:hAnsi="Arial"/>
            <w:sz w:val="15"/>
            <w:szCs w:val="15"/>
            <w:u w:val="single" w:color="auto"/>
            <w:color w:val="0000EE"/>
          </w:rPr>
          <w:t>Optoelectronics, Inc. and Comerica Bank</w:t>
        </w:r>
      </w:hyperlink>
    </w:p>
    <w:p>
      <w:pPr>
        <w:spacing w:after="0" w:line="72" w:lineRule="exact"/>
        <w:rPr>
          <w:rFonts w:ascii="Arial" w:cs="Arial" w:eastAsia="Arial" w:hAnsi="Arial"/>
          <w:sz w:val="15"/>
          <w:szCs w:val="15"/>
          <w:u w:val="single" w:color="auto"/>
          <w:color w:val="0000EE"/>
        </w:rPr>
      </w:pPr>
    </w:p>
    <w:p>
      <w:pPr>
        <w:jc w:val="both"/>
        <w:ind w:left="1060" w:right="8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10.23.3</w:t>
      </w:r>
      <w:r>
        <w:rPr>
          <w:sz w:val="20"/>
          <w:szCs w:val="20"/>
          <w:color w:val="auto"/>
        </w:rPr>
        <w:tab/>
      </w:r>
      <w:hyperlink r:id="rId138">
        <w:r>
          <w:rPr>
            <w:rFonts w:ascii="Arial" w:cs="Arial" w:eastAsia="Arial" w:hAnsi="Arial"/>
            <w:sz w:val="16"/>
            <w:szCs w:val="16"/>
            <w:u w:val="single" w:color="auto"/>
            <w:color w:val="0000EE"/>
          </w:rPr>
          <w:t>$5,000,000 Amended and Restated Term Note, dated</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June 24, 2016, between Applied Optoelectronics, Inc.</w:t>
        </w:r>
      </w:hyperlink>
      <w:r>
        <w:rPr>
          <w:rFonts w:ascii="Arial" w:cs="Arial" w:eastAsia="Arial" w:hAnsi="Arial"/>
          <w:sz w:val="16"/>
          <w:szCs w:val="16"/>
          <w:u w:val="single" w:color="auto"/>
          <w:color w:val="0000EE"/>
        </w:rPr>
        <w:t xml:space="preserve"> </w:t>
      </w:r>
      <w:hyperlink r:id="rId138">
        <w:r>
          <w:rPr>
            <w:rFonts w:ascii="Arial" w:cs="Arial" w:eastAsia="Arial" w:hAnsi="Arial"/>
            <w:sz w:val="16"/>
            <w:szCs w:val="16"/>
            <w:u w:val="single" w:color="auto"/>
            <w:color w:val="0000EE"/>
          </w:rPr>
          <w:t>and Comerica Bank</w:t>
        </w:r>
      </w:hyperlink>
    </w:p>
    <w:p>
      <w:pPr>
        <w:spacing w:after="0" w:line="90" w:lineRule="exact"/>
        <w:rPr>
          <w:rFonts w:ascii="Arial" w:cs="Arial" w:eastAsia="Arial" w:hAnsi="Arial"/>
          <w:sz w:val="16"/>
          <w:szCs w:val="16"/>
          <w:u w:val="single" w:color="auto"/>
          <w:color w:val="0000EE"/>
        </w:rPr>
      </w:pPr>
    </w:p>
    <w:p>
      <w:pPr>
        <w:ind w:left="1060" w:right="100" w:hanging="674"/>
        <w:spacing w:after="0" w:line="369"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10.23.4</w:t>
      </w:r>
      <w:r>
        <w:rPr>
          <w:sz w:val="20"/>
          <w:szCs w:val="20"/>
          <w:color w:val="auto"/>
        </w:rPr>
        <w:tab/>
      </w:r>
      <w:hyperlink r:id="rId139">
        <w:r>
          <w:rPr>
            <w:rFonts w:ascii="Arial" w:cs="Arial" w:eastAsia="Arial" w:hAnsi="Arial"/>
            <w:sz w:val="14"/>
            <w:szCs w:val="14"/>
            <w:u w:val="single" w:color="auto"/>
            <w:color w:val="0000EE"/>
          </w:rPr>
          <w:t>$5,000,000 Term Note, dated June 24, 2016, between</w:t>
        </w:r>
      </w:hyperlink>
      <w:r>
        <w:rPr>
          <w:rFonts w:ascii="Arial" w:cs="Arial" w:eastAsia="Arial" w:hAnsi="Arial"/>
          <w:sz w:val="14"/>
          <w:szCs w:val="14"/>
          <w:u w:val="single" w:color="auto"/>
          <w:color w:val="0000EE"/>
        </w:rPr>
        <w:t xml:space="preserve"> </w:t>
      </w:r>
      <w:hyperlink r:id="rId139">
        <w:r>
          <w:rPr>
            <w:rFonts w:ascii="Arial" w:cs="Arial" w:eastAsia="Arial" w:hAnsi="Arial"/>
            <w:sz w:val="14"/>
            <w:szCs w:val="14"/>
            <w:u w:val="single" w:color="auto"/>
            <w:color w:val="0000EE"/>
          </w:rPr>
          <w:t>Applied Optoelectronics, Inc. and Comerica Bank</w:t>
        </w:r>
      </w:hyperlink>
    </w:p>
    <w:p>
      <w:pPr>
        <w:spacing w:after="0" w:line="32" w:lineRule="exact"/>
        <w:rPr>
          <w:sz w:val="20"/>
          <w:szCs w:val="20"/>
          <w:color w:val="auto"/>
        </w:rPr>
      </w:pPr>
    </w:p>
    <w:p>
      <w:pPr>
        <w:ind w:left="1060" w:right="4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10.23.5</w:t>
      </w:r>
      <w:r>
        <w:rPr>
          <w:sz w:val="20"/>
          <w:szCs w:val="20"/>
          <w:color w:val="auto"/>
        </w:rPr>
        <w:tab/>
      </w:r>
      <w:hyperlink r:id="rId140">
        <w:r>
          <w:rPr>
            <w:rFonts w:ascii="Arial" w:cs="Arial" w:eastAsia="Arial" w:hAnsi="Arial"/>
            <w:sz w:val="15"/>
            <w:szCs w:val="15"/>
            <w:u w:val="single" w:color="auto"/>
            <w:color w:val="0000EE"/>
          </w:rPr>
          <w:t>$17,500,000 Amended and Restated Revolving Credit</w:t>
        </w:r>
      </w:hyperlink>
      <w:r>
        <w:rPr>
          <w:rFonts w:ascii="Arial" w:cs="Arial" w:eastAsia="Arial" w:hAnsi="Arial"/>
          <w:sz w:val="15"/>
          <w:szCs w:val="15"/>
          <w:u w:val="single" w:color="auto"/>
          <w:color w:val="0000EE"/>
        </w:rPr>
        <w:t xml:space="preserve"> </w:t>
      </w:r>
      <w:hyperlink r:id="rId140">
        <w:r>
          <w:rPr>
            <w:rFonts w:ascii="Arial" w:cs="Arial" w:eastAsia="Arial" w:hAnsi="Arial"/>
            <w:sz w:val="15"/>
            <w:szCs w:val="15"/>
            <w:u w:val="single" w:color="auto"/>
            <w:color w:val="0000EE"/>
          </w:rPr>
          <w:t>Note, dated June 24, 2016, between Applied</w:t>
        </w:r>
      </w:hyperlink>
      <w:r>
        <w:rPr>
          <w:rFonts w:ascii="Arial" w:cs="Arial" w:eastAsia="Arial" w:hAnsi="Arial"/>
          <w:sz w:val="15"/>
          <w:szCs w:val="15"/>
          <w:u w:val="single" w:color="auto"/>
          <w:color w:val="0000EE"/>
        </w:rPr>
        <w:t xml:space="preserve"> </w:t>
      </w:r>
      <w:hyperlink r:id="rId140">
        <w:r>
          <w:rPr>
            <w:rFonts w:ascii="Arial" w:cs="Arial" w:eastAsia="Arial" w:hAnsi="Arial"/>
            <w:sz w:val="15"/>
            <w:szCs w:val="15"/>
            <w:u w:val="single" w:color="auto"/>
            <w:color w:val="0000EE"/>
          </w:rPr>
          <w:t>Optoelectronics, Inc. and East West Bank</w:t>
        </w:r>
      </w:hyperlink>
    </w:p>
    <w:p>
      <w:pPr>
        <w:spacing w:after="0" w:line="72" w:lineRule="exact"/>
        <w:rPr>
          <w:rFonts w:ascii="Arial" w:cs="Arial" w:eastAsia="Arial" w:hAnsi="Arial"/>
          <w:sz w:val="15"/>
          <w:szCs w:val="15"/>
          <w:u w:val="single" w:color="auto"/>
          <w:color w:val="0000EE"/>
        </w:rPr>
      </w:pPr>
    </w:p>
    <w:p>
      <w:pPr>
        <w:ind w:left="1060" w:right="12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10.23.6</w:t>
      </w:r>
      <w:r>
        <w:rPr>
          <w:sz w:val="20"/>
          <w:szCs w:val="20"/>
          <w:color w:val="auto"/>
        </w:rPr>
        <w:tab/>
      </w:r>
      <w:hyperlink r:id="rId141">
        <w:r>
          <w:rPr>
            <w:rFonts w:ascii="Arial" w:cs="Arial" w:eastAsia="Arial" w:hAnsi="Arial"/>
            <w:sz w:val="15"/>
            <w:szCs w:val="15"/>
            <w:u w:val="single" w:color="auto"/>
            <w:color w:val="0000EE"/>
          </w:rPr>
          <w:t>$2,500,000 Amended and Restated Revolving Credit</w:t>
        </w:r>
      </w:hyperlink>
      <w:r>
        <w:rPr>
          <w:rFonts w:ascii="Arial" w:cs="Arial" w:eastAsia="Arial" w:hAnsi="Arial"/>
          <w:sz w:val="15"/>
          <w:szCs w:val="15"/>
          <w:u w:val="single" w:color="auto"/>
          <w:color w:val="0000EE"/>
        </w:rPr>
        <w:t xml:space="preserve"> </w:t>
      </w:r>
      <w:hyperlink r:id="rId141">
        <w:r>
          <w:rPr>
            <w:rFonts w:ascii="Arial" w:cs="Arial" w:eastAsia="Arial" w:hAnsi="Arial"/>
            <w:sz w:val="15"/>
            <w:szCs w:val="15"/>
            <w:u w:val="single" w:color="auto"/>
            <w:color w:val="0000EE"/>
          </w:rPr>
          <w:t>Note, dated June 24, 2016, between Applied</w:t>
        </w:r>
      </w:hyperlink>
      <w:r>
        <w:rPr>
          <w:rFonts w:ascii="Arial" w:cs="Arial" w:eastAsia="Arial" w:hAnsi="Arial"/>
          <w:sz w:val="15"/>
          <w:szCs w:val="15"/>
          <w:u w:val="single" w:color="auto"/>
          <w:color w:val="0000EE"/>
        </w:rPr>
        <w:t xml:space="preserve"> </w:t>
      </w:r>
      <w:hyperlink r:id="rId141">
        <w:r>
          <w:rPr>
            <w:rFonts w:ascii="Arial" w:cs="Arial" w:eastAsia="Arial" w:hAnsi="Arial"/>
            <w:sz w:val="15"/>
            <w:szCs w:val="15"/>
            <w:u w:val="single" w:color="auto"/>
            <w:color w:val="0000EE"/>
          </w:rPr>
          <w:t>Optoelectronics, Inc. and East West Bank</w:t>
        </w:r>
      </w:hyperlink>
    </w:p>
    <w:p>
      <w:pPr>
        <w:spacing w:after="0" w:line="72" w:lineRule="exact"/>
        <w:rPr>
          <w:rFonts w:ascii="Arial" w:cs="Arial" w:eastAsia="Arial" w:hAnsi="Arial"/>
          <w:sz w:val="15"/>
          <w:szCs w:val="15"/>
          <w:u w:val="single" w:color="auto"/>
          <w:color w:val="0000EE"/>
        </w:rPr>
      </w:pPr>
    </w:p>
    <w:p>
      <w:pPr>
        <w:jc w:val="both"/>
        <w:ind w:left="1060" w:right="8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10.23.7</w:t>
      </w:r>
      <w:r>
        <w:rPr>
          <w:sz w:val="20"/>
          <w:szCs w:val="20"/>
          <w:color w:val="auto"/>
        </w:rPr>
        <w:tab/>
      </w:r>
      <w:hyperlink r:id="rId142">
        <w:r>
          <w:rPr>
            <w:rFonts w:ascii="Arial" w:cs="Arial" w:eastAsia="Arial" w:hAnsi="Arial"/>
            <w:sz w:val="16"/>
            <w:szCs w:val="16"/>
            <w:u w:val="single" w:color="auto"/>
            <w:color w:val="0000EE"/>
          </w:rPr>
          <w:t>$5,000,000 Amended and Restated Term Note, dated</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June 24, 2016, between Applied Optoelectronics, Inc.</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and East West Bank</w:t>
        </w:r>
      </w:hyperlink>
    </w:p>
    <w:p>
      <w:pPr>
        <w:spacing w:after="0" w:line="90" w:lineRule="exact"/>
        <w:rPr>
          <w:rFonts w:ascii="Arial" w:cs="Arial" w:eastAsia="Arial" w:hAnsi="Arial"/>
          <w:sz w:val="16"/>
          <w:szCs w:val="16"/>
          <w:u w:val="single" w:color="auto"/>
          <w:color w:val="0000EE"/>
        </w:rPr>
      </w:pPr>
    </w:p>
    <w:p>
      <w:pPr>
        <w:ind w:left="1060" w:right="100" w:hanging="674"/>
        <w:spacing w:after="0" w:line="369"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10.23.8</w:t>
      </w:r>
      <w:r>
        <w:rPr>
          <w:sz w:val="20"/>
          <w:szCs w:val="20"/>
          <w:color w:val="auto"/>
        </w:rPr>
        <w:tab/>
      </w:r>
      <w:hyperlink r:id="rId143">
        <w:r>
          <w:rPr>
            <w:rFonts w:ascii="Arial" w:cs="Arial" w:eastAsia="Arial" w:hAnsi="Arial"/>
            <w:sz w:val="14"/>
            <w:szCs w:val="14"/>
            <w:u w:val="single" w:color="auto"/>
            <w:color w:val="0000EE"/>
          </w:rPr>
          <w:t>$5,000,000 Term Note, dated June 24, 2016, between</w:t>
        </w:r>
      </w:hyperlink>
      <w:r>
        <w:rPr>
          <w:rFonts w:ascii="Arial" w:cs="Arial" w:eastAsia="Arial" w:hAnsi="Arial"/>
          <w:sz w:val="14"/>
          <w:szCs w:val="14"/>
          <w:u w:val="single" w:color="auto"/>
          <w:color w:val="0000EE"/>
        </w:rPr>
        <w:t xml:space="preserve"> </w:t>
      </w:r>
      <w:hyperlink r:id="rId143">
        <w:r>
          <w:rPr>
            <w:rFonts w:ascii="Arial" w:cs="Arial" w:eastAsia="Arial" w:hAnsi="Arial"/>
            <w:sz w:val="14"/>
            <w:szCs w:val="14"/>
            <w:u w:val="single" w:color="auto"/>
            <w:color w:val="0000EE"/>
          </w:rPr>
          <w:t>Applied Optoelectronics, Inc. and East West Bank</w:t>
        </w:r>
      </w:hyperlink>
    </w:p>
    <w:p>
      <w:pPr>
        <w:spacing w:after="0" w:line="32" w:lineRule="exact"/>
        <w:rPr>
          <w:sz w:val="20"/>
          <w:szCs w:val="20"/>
          <w:color w:val="auto"/>
        </w:rPr>
      </w:pPr>
    </w:p>
    <w:p>
      <w:pPr>
        <w:jc w:val="both"/>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10.23.9</w:t>
      </w:r>
      <w:r>
        <w:rPr>
          <w:sz w:val="20"/>
          <w:szCs w:val="20"/>
          <w:color w:val="auto"/>
        </w:rPr>
        <w:tab/>
      </w:r>
      <w:hyperlink r:id="rId144">
        <w:r>
          <w:rPr>
            <w:rFonts w:ascii="Arial" w:cs="Arial" w:eastAsia="Arial" w:hAnsi="Arial"/>
            <w:sz w:val="16"/>
            <w:szCs w:val="16"/>
            <w:u w:val="single" w:color="auto"/>
            <w:color w:val="0000EE"/>
          </w:rPr>
          <w:t>First Modification to Promissory Note, dated June 24,</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2016, between Applied Optoelectronics, Inc. and East</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West Bank</w:t>
        </w:r>
      </w:hyperlink>
    </w:p>
    <w:p>
      <w:pPr>
        <w:spacing w:after="0" w:line="90" w:lineRule="exact"/>
        <w:rPr>
          <w:rFonts w:ascii="Arial" w:cs="Arial" w:eastAsia="Arial" w:hAnsi="Arial"/>
          <w:sz w:val="16"/>
          <w:szCs w:val="16"/>
          <w:u w:val="single" w:color="auto"/>
          <w:color w:val="0000EE"/>
        </w:rPr>
      </w:pPr>
    </w:p>
    <w:p>
      <w:pPr>
        <w:jc w:val="both"/>
        <w:ind w:left="1060" w:right="12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145">
        <w:r>
          <w:rPr>
            <w:rFonts w:ascii="Arial" w:cs="Arial" w:eastAsia="Arial" w:hAnsi="Arial"/>
            <w:sz w:val="16"/>
            <w:szCs w:val="16"/>
            <w:u w:val="single" w:color="auto"/>
            <w:color w:val="0000EE"/>
          </w:rPr>
          <w:t>Change in Terms Agreement, dated October 5, 2016,</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between Applied Optoelectronics, Inc. and East West</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Bank</w:t>
        </w:r>
      </w:hyperlink>
    </w:p>
    <w:p>
      <w:pPr>
        <w:spacing w:after="0" w:line="90" w:lineRule="exact"/>
        <w:rPr>
          <w:rFonts w:ascii="Arial" w:cs="Arial" w:eastAsia="Arial" w:hAnsi="Arial"/>
          <w:sz w:val="16"/>
          <w:szCs w:val="16"/>
          <w:u w:val="single" w:color="auto"/>
          <w:color w:val="0000EE"/>
        </w:rPr>
      </w:pPr>
    </w:p>
    <w:p>
      <w:pPr>
        <w:ind w:left="1060" w:right="12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10.24.1</w:t>
      </w:r>
      <w:r>
        <w:rPr>
          <w:sz w:val="20"/>
          <w:szCs w:val="20"/>
          <w:color w:val="auto"/>
        </w:rPr>
        <w:tab/>
      </w:r>
      <w:hyperlink r:id="rId146">
        <w:r>
          <w:rPr>
            <w:rFonts w:ascii="Arial" w:cs="Arial" w:eastAsia="Arial" w:hAnsi="Arial"/>
            <w:sz w:val="16"/>
            <w:szCs w:val="16"/>
            <w:u w:val="single" w:color="auto"/>
            <w:color w:val="0000EE"/>
          </w:rPr>
          <w:t>Notice of Final Agreement, dated October 5, 2016,</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between Applied Optoelectronics, Inc. and East West</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Bank</w:t>
        </w:r>
      </w:hyperlink>
    </w:p>
    <w:p>
      <w:pPr>
        <w:spacing w:after="0" w:line="90" w:lineRule="exact"/>
        <w:rPr>
          <w:rFonts w:ascii="Arial" w:cs="Arial" w:eastAsia="Arial" w:hAnsi="Arial"/>
          <w:sz w:val="16"/>
          <w:szCs w:val="16"/>
          <w:u w:val="single" w:color="auto"/>
          <w:color w:val="0000EE"/>
        </w:rPr>
      </w:pPr>
    </w:p>
    <w:p>
      <w:pPr>
        <w:ind w:left="1060" w:right="14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10.24.2</w:t>
      </w:r>
      <w:r>
        <w:rPr>
          <w:sz w:val="20"/>
          <w:szCs w:val="20"/>
          <w:color w:val="auto"/>
        </w:rPr>
        <w:tab/>
      </w:r>
      <w:hyperlink r:id="rId147">
        <w:r>
          <w:rPr>
            <w:rFonts w:ascii="Arial" w:cs="Arial" w:eastAsia="Arial" w:hAnsi="Arial"/>
            <w:sz w:val="15"/>
            <w:szCs w:val="15"/>
            <w:u w:val="single" w:color="auto"/>
            <w:color w:val="0000EE"/>
          </w:rPr>
          <w:t>Second Modification to the Construction Loan</w:t>
        </w:r>
      </w:hyperlink>
      <w:r>
        <w:rPr>
          <w:rFonts w:ascii="Arial" w:cs="Arial" w:eastAsia="Arial" w:hAnsi="Arial"/>
          <w:sz w:val="15"/>
          <w:szCs w:val="15"/>
          <w:u w:val="single" w:color="auto"/>
          <w:color w:val="0000EE"/>
        </w:rPr>
        <w:t xml:space="preserve"> </w:t>
      </w:r>
      <w:hyperlink r:id="rId147">
        <w:r>
          <w:rPr>
            <w:rFonts w:ascii="Arial" w:cs="Arial" w:eastAsia="Arial" w:hAnsi="Arial"/>
            <w:sz w:val="15"/>
            <w:szCs w:val="15"/>
            <w:u w:val="single" w:color="auto"/>
            <w:color w:val="0000EE"/>
          </w:rPr>
          <w:t>Agreement, dated October 5, 2016, between Applied</w:t>
        </w:r>
      </w:hyperlink>
      <w:r>
        <w:rPr>
          <w:rFonts w:ascii="Arial" w:cs="Arial" w:eastAsia="Arial" w:hAnsi="Arial"/>
          <w:sz w:val="15"/>
          <w:szCs w:val="15"/>
          <w:u w:val="single" w:color="auto"/>
          <w:color w:val="0000EE"/>
        </w:rPr>
        <w:t xml:space="preserve"> </w:t>
      </w:r>
      <w:hyperlink r:id="rId147">
        <w:r>
          <w:rPr>
            <w:rFonts w:ascii="Arial" w:cs="Arial" w:eastAsia="Arial" w:hAnsi="Arial"/>
            <w:sz w:val="15"/>
            <w:szCs w:val="15"/>
            <w:u w:val="single" w:color="auto"/>
            <w:color w:val="0000EE"/>
          </w:rPr>
          <w:t>Optoelectronics, Inc. and East West Bank</w:t>
        </w:r>
      </w:hyperlink>
    </w:p>
    <w:p>
      <w:pPr>
        <w:spacing w:after="0" w:line="153" w:lineRule="exact"/>
        <w:rPr>
          <w:rFonts w:ascii="Arial" w:cs="Arial" w:eastAsia="Arial" w:hAnsi="Arial"/>
          <w:sz w:val="15"/>
          <w:szCs w:val="15"/>
          <w:u w:val="single" w:color="auto"/>
          <w:color w:val="0000EE"/>
        </w:rPr>
      </w:pPr>
    </w:p>
    <w:p>
      <w:pPr>
        <w:jc w:val="both"/>
        <w:ind w:left="1060" w:right="160" w:hanging="553"/>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10.25</w:t>
      </w:r>
      <w:r>
        <w:rPr>
          <w:sz w:val="20"/>
          <w:szCs w:val="20"/>
          <w:color w:val="auto"/>
        </w:rPr>
        <w:tab/>
      </w:r>
      <w:hyperlink r:id="rId148">
        <w:r>
          <w:rPr>
            <w:rFonts w:ascii="Arial" w:cs="Arial" w:eastAsia="Arial" w:hAnsi="Arial"/>
            <w:sz w:val="14"/>
            <w:szCs w:val="14"/>
            <w:u w:val="single" w:color="auto"/>
            <w:color w:val="0000EE"/>
          </w:rPr>
          <w:t>Translation of Early Termination Agreement, dated</w:t>
        </w:r>
      </w:hyperlink>
      <w:r>
        <w:rPr>
          <w:rFonts w:ascii="Arial" w:cs="Arial" w:eastAsia="Arial" w:hAnsi="Arial"/>
          <w:sz w:val="14"/>
          <w:szCs w:val="14"/>
          <w:u w:val="single" w:color="auto"/>
          <w:color w:val="0000EE"/>
        </w:rPr>
        <w:t xml:space="preserve"> </w:t>
      </w:r>
      <w:hyperlink r:id="rId148">
        <w:r>
          <w:rPr>
            <w:rFonts w:ascii="Arial" w:cs="Arial" w:eastAsia="Arial" w:hAnsi="Arial"/>
            <w:sz w:val="14"/>
            <w:szCs w:val="14"/>
            <w:u w:val="single" w:color="auto"/>
            <w:color w:val="0000EE"/>
          </w:rPr>
          <w:t>January 25, 2017, between Applied Optoelectronics,</w:t>
        </w:r>
      </w:hyperlink>
      <w:r>
        <w:rPr>
          <w:rFonts w:ascii="Arial" w:cs="Arial" w:eastAsia="Arial" w:hAnsi="Arial"/>
          <w:sz w:val="14"/>
          <w:szCs w:val="14"/>
          <w:u w:val="single" w:color="auto"/>
          <w:color w:val="0000EE"/>
        </w:rPr>
        <w:t xml:space="preserve"> </w:t>
      </w:r>
      <w:hyperlink r:id="rId148">
        <w:r>
          <w:rPr>
            <w:rFonts w:ascii="Arial" w:cs="Arial" w:eastAsia="Arial" w:hAnsi="Arial"/>
            <w:sz w:val="14"/>
            <w:szCs w:val="14"/>
            <w:u w:val="single" w:color="auto"/>
            <w:color w:val="0000EE"/>
          </w:rPr>
          <w:t>Inc. and Chailease Finance Company, Ltd.</w:t>
        </w:r>
      </w:hyperlink>
    </w:p>
    <w:p>
      <w:pPr>
        <w:spacing w:after="0" w:line="136" w:lineRule="exact"/>
        <w:rPr>
          <w:rFonts w:ascii="Arial" w:cs="Arial" w:eastAsia="Arial" w:hAnsi="Arial"/>
          <w:sz w:val="14"/>
          <w:szCs w:val="14"/>
          <w:u w:val="single" w:color="auto"/>
          <w:color w:val="0000EE"/>
        </w:rPr>
      </w:pPr>
    </w:p>
    <w:p>
      <w:pPr>
        <w:ind w:left="1060" w:right="8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149">
        <w:r>
          <w:rPr>
            <w:rFonts w:ascii="Arial" w:cs="Arial" w:eastAsia="Arial" w:hAnsi="Arial"/>
            <w:sz w:val="16"/>
            <w:szCs w:val="16"/>
            <w:u w:val="single" w:color="auto"/>
            <w:color w:val="0000EE"/>
          </w:rPr>
          <w:t>Loan Agreement, dated September 28, 2017, between</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Applied Optoelectronics, Inc. and Branch Banking</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and Trust Company</w:t>
        </w:r>
      </w:hyperlink>
    </w:p>
    <w:p>
      <w:pPr>
        <w:spacing w:after="0" w:line="171" w:lineRule="exact"/>
        <w:rPr>
          <w:rFonts w:ascii="Arial" w:cs="Arial" w:eastAsia="Arial" w:hAnsi="Arial"/>
          <w:sz w:val="16"/>
          <w:szCs w:val="16"/>
          <w:u w:val="single" w:color="auto"/>
          <w:color w:val="0000EE"/>
        </w:rPr>
      </w:pPr>
    </w:p>
    <w:p>
      <w:pPr>
        <w:ind w:left="1060" w:right="8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10.26.1</w:t>
      </w:r>
      <w:r>
        <w:rPr>
          <w:sz w:val="20"/>
          <w:szCs w:val="20"/>
          <w:color w:val="auto"/>
        </w:rPr>
        <w:tab/>
      </w:r>
      <w:hyperlink r:id="rId150">
        <w:r>
          <w:rPr>
            <w:rFonts w:ascii="Arial" w:cs="Arial" w:eastAsia="Arial" w:hAnsi="Arial"/>
            <w:sz w:val="16"/>
            <w:szCs w:val="16"/>
            <w:u w:val="single" w:color="auto"/>
            <w:color w:val="0000EE"/>
          </w:rPr>
          <w:t>Promissory Note, dated September 28, 2017, between</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Applied Optoelectronics, Inc. and Branch Banking</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and Trust Company</w:t>
        </w:r>
      </w:hyperlink>
    </w:p>
    <w:p>
      <w:pPr>
        <w:spacing w:after="0" w:line="171" w:lineRule="exact"/>
        <w:rPr>
          <w:rFonts w:ascii="Arial" w:cs="Arial" w:eastAsia="Arial" w:hAnsi="Arial"/>
          <w:sz w:val="16"/>
          <w:szCs w:val="16"/>
          <w:u w:val="single" w:color="auto"/>
          <w:color w:val="0000EE"/>
        </w:rPr>
      </w:pPr>
    </w:p>
    <w:p>
      <w:pPr>
        <w:jc w:val="both"/>
        <w:ind w:left="1060" w:right="140" w:hanging="674"/>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10.26.2</w:t>
      </w:r>
      <w:r>
        <w:rPr>
          <w:sz w:val="20"/>
          <w:szCs w:val="20"/>
          <w:color w:val="auto"/>
        </w:rPr>
        <w:tab/>
      </w:r>
      <w:hyperlink r:id="rId151">
        <w:r>
          <w:rPr>
            <w:rFonts w:ascii="Arial" w:cs="Arial" w:eastAsia="Arial" w:hAnsi="Arial"/>
            <w:sz w:val="14"/>
            <w:szCs w:val="14"/>
            <w:u w:val="single" w:color="auto"/>
            <w:color w:val="0000EE"/>
          </w:rPr>
          <w:t>Addendum to the Promissory Note, dated September</w:t>
        </w:r>
      </w:hyperlink>
      <w:r>
        <w:rPr>
          <w:rFonts w:ascii="Arial" w:cs="Arial" w:eastAsia="Arial" w:hAnsi="Arial"/>
          <w:sz w:val="14"/>
          <w:szCs w:val="14"/>
          <w:u w:val="single" w:color="auto"/>
          <w:color w:val="0000EE"/>
        </w:rPr>
        <w:t xml:space="preserve"> </w:t>
      </w:r>
      <w:hyperlink r:id="rId151">
        <w:r>
          <w:rPr>
            <w:rFonts w:ascii="Arial" w:cs="Arial" w:eastAsia="Arial" w:hAnsi="Arial"/>
            <w:sz w:val="14"/>
            <w:szCs w:val="14"/>
            <w:u w:val="single" w:color="auto"/>
            <w:color w:val="0000EE"/>
          </w:rPr>
          <w:t>28, 2017, between Applied Optoelectronics, Inc. and</w:t>
        </w:r>
      </w:hyperlink>
      <w:r>
        <w:rPr>
          <w:rFonts w:ascii="Arial" w:cs="Arial" w:eastAsia="Arial" w:hAnsi="Arial"/>
          <w:sz w:val="14"/>
          <w:szCs w:val="14"/>
          <w:u w:val="single" w:color="auto"/>
          <w:color w:val="0000EE"/>
        </w:rPr>
        <w:t xml:space="preserve"> </w:t>
      </w:r>
      <w:hyperlink r:id="rId151">
        <w:r>
          <w:rPr>
            <w:rFonts w:ascii="Arial" w:cs="Arial" w:eastAsia="Arial" w:hAnsi="Arial"/>
            <w:sz w:val="14"/>
            <w:szCs w:val="14"/>
            <w:u w:val="single" w:color="auto"/>
            <w:color w:val="0000EE"/>
          </w:rPr>
          <w:t>Branch Banking and Trust Company</w:t>
        </w:r>
      </w:hyperlink>
    </w:p>
    <w:p>
      <w:pPr>
        <w:spacing w:after="0" w:line="361" w:lineRule="exact"/>
        <w:rPr>
          <w:rFonts w:ascii="Arial" w:cs="Arial" w:eastAsia="Arial" w:hAnsi="Arial"/>
          <w:sz w:val="14"/>
          <w:szCs w:val="14"/>
          <w:u w:val="single" w:color="auto"/>
          <w:color w:val="0000EE"/>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br w:type="column"/>
      </w:r>
    </w:p>
    <w:p>
      <w:pPr>
        <w:spacing w:after="0" w:line="200" w:lineRule="exact"/>
        <w:rPr>
          <w:rFonts w:ascii="Arial" w:cs="Arial" w:eastAsia="Arial" w:hAnsi="Arial"/>
          <w:sz w:val="14"/>
          <w:szCs w:val="14"/>
          <w:u w:val="single" w:color="auto"/>
          <w:color w:val="0000EE"/>
        </w:rPr>
      </w:pPr>
    </w:p>
    <w:p>
      <w:pPr>
        <w:spacing w:after="0" w:line="200" w:lineRule="exact"/>
        <w:rPr>
          <w:rFonts w:ascii="Arial" w:cs="Arial" w:eastAsia="Arial" w:hAnsi="Arial"/>
          <w:sz w:val="14"/>
          <w:szCs w:val="14"/>
          <w:u w:val="single" w:color="auto"/>
          <w:color w:val="0000EE"/>
        </w:rPr>
      </w:pPr>
    </w:p>
    <w:p>
      <w:pPr>
        <w:spacing w:after="0" w:line="329" w:lineRule="exact"/>
        <w:rPr>
          <w:rFonts w:ascii="Arial" w:cs="Arial" w:eastAsia="Arial" w:hAnsi="Arial"/>
          <w:sz w:val="14"/>
          <w:szCs w:val="14"/>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3380" w:type="dxa"/>
            <w:vAlign w:val="bottom"/>
            <w:gridSpan w:val="3"/>
          </w:tcPr>
          <w:p>
            <w:pPr>
              <w:ind w:left="6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jc w:val="center"/>
              <w:ind w:left="18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0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527"/>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10.10</w:t>
            </w:r>
          </w:p>
        </w:tc>
        <w:tc>
          <w:tcPr>
            <w:tcW w:w="1380" w:type="dxa"/>
            <w:vAlign w:val="bottom"/>
          </w:tcPr>
          <w:p>
            <w:pPr>
              <w:jc w:val="center"/>
              <w:ind w:left="160"/>
              <w:spacing w:after="0"/>
              <w:rPr>
                <w:sz w:val="20"/>
                <w:szCs w:val="20"/>
                <w:color w:val="auto"/>
              </w:rPr>
            </w:pPr>
            <w:r>
              <w:rPr>
                <w:rFonts w:ascii="Arial" w:cs="Arial" w:eastAsia="Arial" w:hAnsi="Arial"/>
                <w:sz w:val="16"/>
                <w:szCs w:val="16"/>
                <w:color w:val="auto"/>
                <w:w w:val="88"/>
              </w:rPr>
              <w:t>June 30,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729"/>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January 30,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001-36-83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001-36-83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380" w:type="dxa"/>
            <w:vAlign w:val="bottom"/>
          </w:tcPr>
          <w:p>
            <w:pPr>
              <w:jc w:val="center"/>
              <w:ind w:left="18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bl>
    <w:p>
      <w:pPr>
        <w:sectPr>
          <w:pgSz w:w="11900" w:h="16838" w:orient="portrait"/>
          <w:cols w:equalWidth="0" w:num="2">
            <w:col w:w="4620" w:space="300"/>
            <w:col w:w="411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3" w:lineRule="exact"/>
        <w:rPr>
          <w:sz w:val="20"/>
          <w:szCs w:val="20"/>
          <w:color w:val="auto"/>
        </w:rPr>
      </w:pPr>
    </w:p>
    <w:p>
      <w:pPr>
        <w:jc w:val="both"/>
        <w:ind w:left="1060" w:right="38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10.26.3</w:t>
      </w:r>
      <w:r>
        <w:rPr>
          <w:sz w:val="20"/>
          <w:szCs w:val="20"/>
          <w:color w:val="auto"/>
        </w:rPr>
        <w:tab/>
      </w:r>
      <w:hyperlink r:id="rId153">
        <w:r>
          <w:rPr>
            <w:rFonts w:ascii="Arial" w:cs="Arial" w:eastAsia="Arial" w:hAnsi="Arial"/>
            <w:sz w:val="15"/>
            <w:szCs w:val="15"/>
            <w:u w:val="single" w:color="auto"/>
            <w:color w:val="0000EE"/>
          </w:rPr>
          <w:t>BB&amp;T Security Agreement, dated September 28,</w:t>
        </w:r>
      </w:hyperlink>
      <w:r>
        <w:rPr>
          <w:rFonts w:ascii="Arial" w:cs="Arial" w:eastAsia="Arial" w:hAnsi="Arial"/>
          <w:sz w:val="15"/>
          <w:szCs w:val="15"/>
          <w:u w:val="single" w:color="auto"/>
          <w:color w:val="0000EE"/>
        </w:rPr>
        <w:t xml:space="preserve"> </w:t>
      </w:r>
      <w:hyperlink r:id="rId153">
        <w:r>
          <w:rPr>
            <w:rFonts w:ascii="Arial" w:cs="Arial" w:eastAsia="Arial" w:hAnsi="Arial"/>
            <w:sz w:val="15"/>
            <w:szCs w:val="15"/>
            <w:u w:val="single" w:color="auto"/>
            <w:color w:val="0000EE"/>
          </w:rPr>
          <w:t>2017, between Applied Optoelectronics, Inc. and</w:t>
        </w:r>
      </w:hyperlink>
      <w:r>
        <w:rPr>
          <w:rFonts w:ascii="Arial" w:cs="Arial" w:eastAsia="Arial" w:hAnsi="Arial"/>
          <w:sz w:val="15"/>
          <w:szCs w:val="15"/>
          <w:u w:val="single" w:color="auto"/>
          <w:color w:val="0000EE"/>
        </w:rPr>
        <w:t xml:space="preserve"> </w:t>
      </w:r>
      <w:hyperlink r:id="rId153">
        <w:r>
          <w:rPr>
            <w:rFonts w:ascii="Arial" w:cs="Arial" w:eastAsia="Arial" w:hAnsi="Arial"/>
            <w:sz w:val="15"/>
            <w:szCs w:val="15"/>
            <w:u w:val="single" w:color="auto"/>
            <w:color w:val="0000EE"/>
          </w:rPr>
          <w:t>Branch Banking and Trust Company</w:t>
        </w:r>
      </w:hyperlink>
    </w:p>
    <w:p>
      <w:pPr>
        <w:spacing w:after="0" w:line="153" w:lineRule="exact"/>
        <w:rPr>
          <w:rFonts w:ascii="Arial" w:cs="Arial" w:eastAsia="Arial" w:hAnsi="Arial"/>
          <w:sz w:val="15"/>
          <w:szCs w:val="15"/>
          <w:u w:val="single" w:color="auto"/>
          <w:color w:val="0000EE"/>
        </w:rPr>
      </w:pPr>
    </w:p>
    <w:p>
      <w:pPr>
        <w:ind w:left="1060" w:right="10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10.26.4</w:t>
      </w:r>
      <w:r>
        <w:rPr>
          <w:sz w:val="20"/>
          <w:szCs w:val="20"/>
          <w:color w:val="auto"/>
        </w:rPr>
        <w:tab/>
      </w:r>
      <w:hyperlink r:id="rId154">
        <w:r>
          <w:rPr>
            <w:rFonts w:ascii="Arial" w:cs="Arial" w:eastAsia="Arial" w:hAnsi="Arial"/>
            <w:sz w:val="15"/>
            <w:szCs w:val="15"/>
            <w:u w:val="single" w:color="auto"/>
            <w:color w:val="0000EE"/>
          </w:rPr>
          <w:t>Trademark Security Agreement, dated September 28,</w:t>
        </w:r>
      </w:hyperlink>
      <w:r>
        <w:rPr>
          <w:rFonts w:ascii="Arial" w:cs="Arial" w:eastAsia="Arial" w:hAnsi="Arial"/>
          <w:sz w:val="15"/>
          <w:szCs w:val="15"/>
          <w:u w:val="single" w:color="auto"/>
          <w:color w:val="0000EE"/>
        </w:rPr>
        <w:t xml:space="preserve"> </w:t>
      </w:r>
      <w:hyperlink r:id="rId154">
        <w:r>
          <w:rPr>
            <w:rFonts w:ascii="Arial" w:cs="Arial" w:eastAsia="Arial" w:hAnsi="Arial"/>
            <w:sz w:val="15"/>
            <w:szCs w:val="15"/>
            <w:u w:val="single" w:color="auto"/>
            <w:color w:val="0000EE"/>
          </w:rPr>
          <w:t>2017, between Applied Optoelectronics, Inc. and</w:t>
        </w:r>
      </w:hyperlink>
      <w:r>
        <w:rPr>
          <w:rFonts w:ascii="Arial" w:cs="Arial" w:eastAsia="Arial" w:hAnsi="Arial"/>
          <w:sz w:val="15"/>
          <w:szCs w:val="15"/>
          <w:u w:val="single" w:color="auto"/>
          <w:color w:val="0000EE"/>
        </w:rPr>
        <w:t xml:space="preserve"> </w:t>
      </w:r>
      <w:hyperlink r:id="rId154">
        <w:r>
          <w:rPr>
            <w:rFonts w:ascii="Arial" w:cs="Arial" w:eastAsia="Arial" w:hAnsi="Arial"/>
            <w:sz w:val="15"/>
            <w:szCs w:val="15"/>
            <w:u w:val="single" w:color="auto"/>
            <w:color w:val="0000EE"/>
          </w:rPr>
          <w:t>Branch Banking and Trust Company</w:t>
        </w:r>
      </w:hyperlink>
    </w:p>
    <w:p>
      <w:pPr>
        <w:spacing w:after="0" w:line="153" w:lineRule="exact"/>
        <w:rPr>
          <w:rFonts w:ascii="Arial" w:cs="Arial" w:eastAsia="Arial" w:hAnsi="Arial"/>
          <w:sz w:val="15"/>
          <w:szCs w:val="15"/>
          <w:u w:val="single" w:color="auto"/>
          <w:color w:val="0000EE"/>
        </w:rPr>
      </w:pPr>
    </w:p>
    <w:p>
      <w:pPr>
        <w:jc w:val="both"/>
        <w:ind w:left="1060" w:right="38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10.26.5</w:t>
      </w:r>
      <w:r>
        <w:rPr>
          <w:sz w:val="20"/>
          <w:szCs w:val="20"/>
          <w:color w:val="auto"/>
        </w:rPr>
        <w:tab/>
      </w:r>
      <w:hyperlink r:id="rId155">
        <w:r>
          <w:rPr>
            <w:rFonts w:ascii="Arial" w:cs="Arial" w:eastAsia="Arial" w:hAnsi="Arial"/>
            <w:sz w:val="15"/>
            <w:szCs w:val="15"/>
            <w:u w:val="single" w:color="auto"/>
            <w:color w:val="0000EE"/>
          </w:rPr>
          <w:t>Patent Security Agreement, dated September 28,</w:t>
        </w:r>
      </w:hyperlink>
      <w:r>
        <w:rPr>
          <w:rFonts w:ascii="Arial" w:cs="Arial" w:eastAsia="Arial" w:hAnsi="Arial"/>
          <w:sz w:val="15"/>
          <w:szCs w:val="15"/>
          <w:u w:val="single" w:color="auto"/>
          <w:color w:val="0000EE"/>
        </w:rPr>
        <w:t xml:space="preserve"> </w:t>
      </w:r>
      <w:hyperlink r:id="rId155">
        <w:r>
          <w:rPr>
            <w:rFonts w:ascii="Arial" w:cs="Arial" w:eastAsia="Arial" w:hAnsi="Arial"/>
            <w:sz w:val="15"/>
            <w:szCs w:val="15"/>
            <w:u w:val="single" w:color="auto"/>
            <w:color w:val="0000EE"/>
          </w:rPr>
          <w:t>2017, between Applied Optoelectronics, Inc. and</w:t>
        </w:r>
      </w:hyperlink>
      <w:r>
        <w:rPr>
          <w:rFonts w:ascii="Arial" w:cs="Arial" w:eastAsia="Arial" w:hAnsi="Arial"/>
          <w:sz w:val="15"/>
          <w:szCs w:val="15"/>
          <w:u w:val="single" w:color="auto"/>
          <w:color w:val="0000EE"/>
        </w:rPr>
        <w:t xml:space="preserve"> </w:t>
      </w:r>
      <w:hyperlink r:id="rId155">
        <w:r>
          <w:rPr>
            <w:rFonts w:ascii="Arial" w:cs="Arial" w:eastAsia="Arial" w:hAnsi="Arial"/>
            <w:sz w:val="15"/>
            <w:szCs w:val="15"/>
            <w:u w:val="single" w:color="auto"/>
            <w:color w:val="0000EE"/>
          </w:rPr>
          <w:t>Branch Banking and Trust Company</w:t>
        </w:r>
      </w:hyperlink>
    </w:p>
    <w:p>
      <w:pPr>
        <w:spacing w:after="0" w:line="153" w:lineRule="exact"/>
        <w:rPr>
          <w:rFonts w:ascii="Arial" w:cs="Arial" w:eastAsia="Arial" w:hAnsi="Arial"/>
          <w:sz w:val="15"/>
          <w:szCs w:val="15"/>
          <w:u w:val="single" w:color="auto"/>
          <w:color w:val="0000EE"/>
        </w:rPr>
      </w:pPr>
    </w:p>
    <w:p>
      <w:pPr>
        <w:ind w:left="1060" w:right="160" w:hanging="553"/>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10.27</w:t>
      </w:r>
      <w:r>
        <w:rPr>
          <w:sz w:val="20"/>
          <w:szCs w:val="20"/>
          <w:color w:val="auto"/>
        </w:rPr>
        <w:tab/>
      </w:r>
      <w:hyperlink r:id="rId156">
        <w:r>
          <w:rPr>
            <w:rFonts w:ascii="Arial" w:cs="Arial" w:eastAsia="Arial" w:hAnsi="Arial"/>
            <w:sz w:val="14"/>
            <w:szCs w:val="14"/>
            <w:u w:val="single" w:color="auto"/>
            <w:color w:val="0000EE"/>
          </w:rPr>
          <w:t>Translation of Early Termination Agreement, dated</w:t>
        </w:r>
      </w:hyperlink>
      <w:r>
        <w:rPr>
          <w:rFonts w:ascii="Arial" w:cs="Arial" w:eastAsia="Arial" w:hAnsi="Arial"/>
          <w:sz w:val="14"/>
          <w:szCs w:val="14"/>
          <w:u w:val="single" w:color="auto"/>
          <w:color w:val="0000EE"/>
        </w:rPr>
        <w:t xml:space="preserve"> </w:t>
      </w:r>
      <w:hyperlink r:id="rId156">
        <w:r>
          <w:rPr>
            <w:rFonts w:ascii="Arial" w:cs="Arial" w:eastAsia="Arial" w:hAnsi="Arial"/>
            <w:sz w:val="14"/>
            <w:szCs w:val="14"/>
            <w:u w:val="single" w:color="auto"/>
            <w:color w:val="0000EE"/>
          </w:rPr>
          <w:t>October 5, 2017, between Prime World International</w:t>
        </w:r>
      </w:hyperlink>
      <w:r>
        <w:rPr>
          <w:rFonts w:ascii="Arial" w:cs="Arial" w:eastAsia="Arial" w:hAnsi="Arial"/>
          <w:sz w:val="14"/>
          <w:szCs w:val="14"/>
          <w:u w:val="single" w:color="auto"/>
          <w:color w:val="0000EE"/>
        </w:rPr>
        <w:t xml:space="preserve"> </w:t>
      </w:r>
      <w:hyperlink r:id="rId156">
        <w:r>
          <w:rPr>
            <w:rFonts w:ascii="Arial" w:cs="Arial" w:eastAsia="Arial" w:hAnsi="Arial"/>
            <w:sz w:val="14"/>
            <w:szCs w:val="14"/>
            <w:u w:val="single" w:color="auto"/>
            <w:color w:val="0000EE"/>
          </w:rPr>
          <w:t>Holdings Ltd., and Chailease Finance Co., Ltd.</w:t>
        </w:r>
      </w:hyperlink>
    </w:p>
    <w:p>
      <w:pPr>
        <w:spacing w:after="0" w:line="136" w:lineRule="exact"/>
        <w:rPr>
          <w:rFonts w:ascii="Arial" w:cs="Arial" w:eastAsia="Arial" w:hAnsi="Arial"/>
          <w:sz w:val="14"/>
          <w:szCs w:val="14"/>
          <w:u w:val="single" w:color="auto"/>
          <w:color w:val="0000EE"/>
        </w:rPr>
      </w:pPr>
    </w:p>
    <w:p>
      <w:pPr>
        <w:ind w:left="1060" w:right="8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10.28</w:t>
      </w:r>
      <w:r>
        <w:rPr>
          <w:sz w:val="20"/>
          <w:szCs w:val="20"/>
          <w:color w:val="auto"/>
        </w:rPr>
        <w:tab/>
      </w:r>
      <w:hyperlink r:id="rId157">
        <w:r>
          <w:rPr>
            <w:rFonts w:ascii="Arial" w:cs="Arial" w:eastAsia="Arial" w:hAnsi="Arial"/>
            <w:sz w:val="16"/>
            <w:szCs w:val="16"/>
            <w:u w:val="single" w:color="auto"/>
            <w:color w:val="0000EE"/>
          </w:rPr>
          <w:t>Supply Agreement, effective November 8, 2017,</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between Applied Optoelectronics, Inc. and Facebook,</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Inc.</w:t>
        </w:r>
      </w:hyperlink>
    </w:p>
    <w:p>
      <w:pPr>
        <w:spacing w:after="0" w:line="171" w:lineRule="exact"/>
        <w:rPr>
          <w:rFonts w:ascii="Arial" w:cs="Arial" w:eastAsia="Arial" w:hAnsi="Arial"/>
          <w:sz w:val="16"/>
          <w:szCs w:val="16"/>
          <w:u w:val="single" w:color="auto"/>
          <w:color w:val="0000EE"/>
        </w:rPr>
      </w:pPr>
    </w:p>
    <w:p>
      <w:pPr>
        <w:jc w:val="both"/>
        <w:ind w:left="1060" w:right="380" w:hanging="553"/>
        <w:spacing w:after="0" w:line="278" w:lineRule="auto"/>
        <w:tabs>
          <w:tab w:leader="none" w:pos="1040" w:val="left"/>
        </w:tabs>
        <w:rPr>
          <w:rFonts w:ascii="Arial" w:cs="Arial" w:eastAsia="Arial" w:hAnsi="Arial"/>
          <w:sz w:val="16"/>
          <w:szCs w:val="16"/>
          <w:color w:val="0000EE"/>
        </w:rPr>
      </w:pPr>
      <w:r>
        <w:rPr>
          <w:rFonts w:ascii="Arial" w:cs="Arial" w:eastAsia="Arial" w:hAnsi="Arial"/>
          <w:sz w:val="16"/>
          <w:szCs w:val="16"/>
          <w:color w:val="auto"/>
        </w:rPr>
        <w:t>10.29</w:t>
      </w:r>
      <w:r>
        <w:rPr>
          <w:sz w:val="20"/>
          <w:szCs w:val="20"/>
          <w:color w:val="auto"/>
        </w:rPr>
        <w:tab/>
      </w:r>
      <w:hyperlink r:id="rId158">
        <w:r>
          <w:rPr>
            <w:rFonts w:ascii="Arial" w:cs="Arial" w:eastAsia="Arial" w:hAnsi="Arial"/>
            <w:sz w:val="16"/>
            <w:szCs w:val="16"/>
            <w:u w:val="single" w:color="auto"/>
            <w:color w:val="0000EE"/>
          </w:rPr>
          <w:t>Master Purchase Agreement, effective January 2,</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2018, between Applied Optoelectronics, Inc. and</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Facebook, Inc</w:t>
        </w:r>
        <w:r>
          <w:rPr>
            <w:rFonts w:ascii="Arial" w:cs="Arial" w:eastAsia="Arial" w:hAnsi="Arial"/>
            <w:sz w:val="16"/>
            <w:szCs w:val="16"/>
            <w:color w:val="000000"/>
          </w:rPr>
          <w:t>.</w:t>
        </w:r>
      </w:hyperlink>
    </w:p>
    <w:p>
      <w:pPr>
        <w:spacing w:after="0" w:line="171" w:lineRule="exact"/>
        <w:rPr>
          <w:rFonts w:ascii="Arial" w:cs="Arial" w:eastAsia="Arial" w:hAnsi="Arial"/>
          <w:sz w:val="16"/>
          <w:szCs w:val="16"/>
          <w:u w:val="single" w:color="auto"/>
          <w:color w:val="0000EE"/>
        </w:rPr>
      </w:pPr>
    </w:p>
    <w:p>
      <w:pPr>
        <w:ind w:left="1060" w:right="160" w:hanging="553"/>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10.30</w:t>
      </w:r>
      <w:r>
        <w:rPr>
          <w:sz w:val="20"/>
          <w:szCs w:val="20"/>
          <w:color w:val="auto"/>
        </w:rPr>
        <w:tab/>
      </w:r>
      <w:hyperlink r:id="rId159">
        <w:r>
          <w:rPr>
            <w:rFonts w:ascii="Arial" w:cs="Arial" w:eastAsia="Arial" w:hAnsi="Arial"/>
            <w:sz w:val="16"/>
            <w:szCs w:val="16"/>
            <w:u w:val="single" w:color="auto"/>
            <w:color w:val="0000EE"/>
          </w:rPr>
          <w:t>Translation of Lease Agreement between Global</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Technology, Inc. and the People’s Republic of China</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in Zhejiang Province, Ningbo City, Land Resources</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Bureau</w:t>
        </w:r>
      </w:hyperlink>
    </w:p>
    <w:p>
      <w:pPr>
        <w:spacing w:after="0" w:line="176" w:lineRule="exact"/>
        <w:rPr>
          <w:rFonts w:ascii="Arial" w:cs="Arial" w:eastAsia="Arial" w:hAnsi="Arial"/>
          <w:sz w:val="16"/>
          <w:szCs w:val="16"/>
          <w:u w:val="single" w:color="auto"/>
          <w:color w:val="0000EE"/>
        </w:rPr>
      </w:pPr>
    </w:p>
    <w:p>
      <w:pPr>
        <w:ind w:left="1060" w:right="14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10.30.1</w:t>
      </w:r>
      <w:r>
        <w:rPr>
          <w:sz w:val="20"/>
          <w:szCs w:val="20"/>
          <w:color w:val="auto"/>
        </w:rPr>
        <w:tab/>
      </w:r>
      <w:hyperlink r:id="rId160">
        <w:r>
          <w:rPr>
            <w:rFonts w:ascii="Arial" w:cs="Arial" w:eastAsia="Arial" w:hAnsi="Arial"/>
            <w:sz w:val="16"/>
            <w:szCs w:val="16"/>
            <w:u w:val="single" w:color="auto"/>
            <w:color w:val="0000EE"/>
          </w:rPr>
          <w:t>Translation of Investment and Construction</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Agreement between Global Technology, Inc. and the</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People’s Republic of China in Zhejiang Province,</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Ningbo City, Land Resources Bureau</w:t>
        </w:r>
      </w:hyperlink>
    </w:p>
    <w:p>
      <w:pPr>
        <w:spacing w:after="0" w:line="189" w:lineRule="exact"/>
        <w:rPr>
          <w:rFonts w:ascii="Arial" w:cs="Arial" w:eastAsia="Arial" w:hAnsi="Arial"/>
          <w:sz w:val="16"/>
          <w:szCs w:val="16"/>
          <w:u w:val="single" w:color="auto"/>
          <w:color w:val="0000EE"/>
        </w:rPr>
      </w:pPr>
    </w:p>
    <w:p>
      <w:pPr>
        <w:ind w:left="1060" w:right="120" w:hanging="553"/>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10.31</w:t>
      </w:r>
      <w:r>
        <w:rPr>
          <w:sz w:val="20"/>
          <w:szCs w:val="20"/>
          <w:color w:val="auto"/>
        </w:rPr>
        <w:tab/>
      </w:r>
      <w:hyperlink r:id="rId161">
        <w:r>
          <w:rPr>
            <w:rFonts w:ascii="Arial" w:cs="Arial" w:eastAsia="Arial" w:hAnsi="Arial"/>
            <w:sz w:val="14"/>
            <w:szCs w:val="14"/>
            <w:u w:val="single" w:color="auto"/>
            <w:color w:val="0000EE"/>
          </w:rPr>
          <w:t>Translation of Construction Agreement between</w:t>
        </w:r>
      </w:hyperlink>
      <w:r>
        <w:rPr>
          <w:rFonts w:ascii="Arial" w:cs="Arial" w:eastAsia="Arial" w:hAnsi="Arial"/>
          <w:sz w:val="14"/>
          <w:szCs w:val="14"/>
          <w:u w:val="single" w:color="auto"/>
          <w:color w:val="0000EE"/>
        </w:rPr>
        <w:t xml:space="preserve"> </w:t>
      </w:r>
      <w:hyperlink r:id="rId161">
        <w:r>
          <w:rPr>
            <w:rFonts w:ascii="Arial" w:cs="Arial" w:eastAsia="Arial" w:hAnsi="Arial"/>
            <w:sz w:val="14"/>
            <w:szCs w:val="14"/>
            <w:u w:val="single" w:color="auto"/>
            <w:color w:val="0000EE"/>
          </w:rPr>
          <w:t>Global Technology, Inc. and Zhejiang Xinyu</w:t>
        </w:r>
      </w:hyperlink>
      <w:r>
        <w:rPr>
          <w:rFonts w:ascii="Arial" w:cs="Arial" w:eastAsia="Arial" w:hAnsi="Arial"/>
          <w:sz w:val="14"/>
          <w:szCs w:val="14"/>
          <w:u w:val="single" w:color="auto"/>
          <w:color w:val="0000EE"/>
        </w:rPr>
        <w:t xml:space="preserve"> </w:t>
      </w:r>
      <w:hyperlink r:id="rId161">
        <w:r>
          <w:rPr>
            <w:rFonts w:ascii="Arial" w:cs="Arial" w:eastAsia="Arial" w:hAnsi="Arial"/>
            <w:sz w:val="14"/>
            <w:szCs w:val="14"/>
            <w:u w:val="single" w:color="auto"/>
            <w:color w:val="0000EE"/>
          </w:rPr>
          <w:t>Construction Group Co., Ltd. dated February 8, 2018</w:t>
        </w:r>
      </w:hyperlink>
    </w:p>
    <w:p>
      <w:pPr>
        <w:spacing w:after="0" w:line="150" w:lineRule="exact"/>
        <w:rPr>
          <w:rFonts w:ascii="Arial" w:cs="Arial" w:eastAsia="Arial" w:hAnsi="Arial"/>
          <w:sz w:val="14"/>
          <w:szCs w:val="14"/>
          <w:u w:val="single" w:color="auto"/>
          <w:color w:val="0000EE"/>
        </w:rPr>
      </w:pPr>
    </w:p>
    <w:p>
      <w:pPr>
        <w:ind w:left="1060" w:right="140" w:hanging="553"/>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10.32</w:t>
      </w:r>
      <w:r>
        <w:rPr>
          <w:sz w:val="20"/>
          <w:szCs w:val="20"/>
          <w:color w:val="auto"/>
        </w:rPr>
        <w:tab/>
      </w:r>
      <w:hyperlink r:id="rId162">
        <w:r>
          <w:rPr>
            <w:rFonts w:ascii="Arial" w:cs="Arial" w:eastAsia="Arial" w:hAnsi="Arial"/>
            <w:sz w:val="15"/>
            <w:szCs w:val="15"/>
            <w:u w:val="single" w:color="auto"/>
            <w:color w:val="0000EE"/>
          </w:rPr>
          <w:t>First Amendment to Loan Agreement, dated March</w:t>
        </w:r>
      </w:hyperlink>
      <w:r>
        <w:rPr>
          <w:rFonts w:ascii="Arial" w:cs="Arial" w:eastAsia="Arial" w:hAnsi="Arial"/>
          <w:sz w:val="15"/>
          <w:szCs w:val="15"/>
          <w:u w:val="single" w:color="auto"/>
          <w:color w:val="0000EE"/>
        </w:rPr>
        <w:t xml:space="preserve"> </w:t>
      </w:r>
      <w:hyperlink r:id="rId162">
        <w:r>
          <w:rPr>
            <w:rFonts w:ascii="Arial" w:cs="Arial" w:eastAsia="Arial" w:hAnsi="Arial"/>
            <w:sz w:val="15"/>
            <w:szCs w:val="15"/>
            <w:u w:val="single" w:color="auto"/>
            <w:color w:val="0000EE"/>
          </w:rPr>
          <w:t>30, 2018, between Applied Optoelectronics, Inc. and</w:t>
        </w:r>
      </w:hyperlink>
      <w:r>
        <w:rPr>
          <w:rFonts w:ascii="Arial" w:cs="Arial" w:eastAsia="Arial" w:hAnsi="Arial"/>
          <w:sz w:val="15"/>
          <w:szCs w:val="15"/>
          <w:u w:val="single" w:color="auto"/>
          <w:color w:val="0000EE"/>
        </w:rPr>
        <w:t xml:space="preserve"> </w:t>
      </w:r>
      <w:hyperlink r:id="rId162">
        <w:r>
          <w:rPr>
            <w:rFonts w:ascii="Arial" w:cs="Arial" w:eastAsia="Arial" w:hAnsi="Arial"/>
            <w:sz w:val="15"/>
            <w:szCs w:val="15"/>
            <w:u w:val="single" w:color="auto"/>
            <w:color w:val="0000EE"/>
          </w:rPr>
          <w:t>Branch Banking and Trust Company</w:t>
        </w:r>
      </w:hyperlink>
    </w:p>
    <w:p>
      <w:pPr>
        <w:spacing w:after="0" w:line="153" w:lineRule="exact"/>
        <w:rPr>
          <w:rFonts w:ascii="Arial" w:cs="Arial" w:eastAsia="Arial" w:hAnsi="Arial"/>
          <w:sz w:val="15"/>
          <w:szCs w:val="15"/>
          <w:u w:val="single" w:color="auto"/>
          <w:color w:val="0000EE"/>
        </w:rPr>
      </w:pPr>
    </w:p>
    <w:p>
      <w:pPr>
        <w:ind w:left="1060" w:right="18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10.32.1</w:t>
      </w:r>
      <w:r>
        <w:rPr>
          <w:sz w:val="20"/>
          <w:szCs w:val="20"/>
          <w:color w:val="auto"/>
        </w:rPr>
        <w:tab/>
      </w:r>
      <w:hyperlink r:id="rId163">
        <w:r>
          <w:rPr>
            <w:rFonts w:ascii="Arial" w:cs="Arial" w:eastAsia="Arial" w:hAnsi="Arial"/>
            <w:sz w:val="16"/>
            <w:szCs w:val="16"/>
            <w:u w:val="single" w:color="auto"/>
            <w:color w:val="0000EE"/>
          </w:rPr>
          <w:t>Addendum to the Promissory Note ($60 million),</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dated March 30, 2018, between Applied</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Optoelectronics, Inc. and Branch Banking and Trust</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Company</w:t>
        </w:r>
      </w:hyperlink>
    </w:p>
    <w:p>
      <w:pPr>
        <w:spacing w:after="0" w:line="176" w:lineRule="exact"/>
        <w:rPr>
          <w:rFonts w:ascii="Arial" w:cs="Arial" w:eastAsia="Arial" w:hAnsi="Arial"/>
          <w:sz w:val="16"/>
          <w:szCs w:val="16"/>
          <w:u w:val="single" w:color="auto"/>
          <w:color w:val="0000EE"/>
        </w:rPr>
      </w:pPr>
    </w:p>
    <w:p>
      <w:pPr>
        <w:ind w:left="1060" w:right="2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10.32.2</w:t>
      </w:r>
      <w:r>
        <w:rPr>
          <w:sz w:val="20"/>
          <w:szCs w:val="20"/>
          <w:color w:val="auto"/>
        </w:rPr>
        <w:tab/>
      </w:r>
      <w:hyperlink r:id="rId164">
        <w:r>
          <w:rPr>
            <w:rFonts w:ascii="Arial" w:cs="Arial" w:eastAsia="Arial" w:hAnsi="Arial"/>
            <w:sz w:val="16"/>
            <w:szCs w:val="16"/>
            <w:u w:val="single" w:color="auto"/>
            <w:color w:val="0000EE"/>
          </w:rPr>
          <w:t>Promissory Note ($26 million), dated March 30, 2018,</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between Applied Optoelectronics, Inc. and Branch</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Banking and Trust Company</w:t>
        </w:r>
      </w:hyperlink>
    </w:p>
    <w:p>
      <w:pPr>
        <w:spacing w:after="0" w:line="171" w:lineRule="exact"/>
        <w:rPr>
          <w:rFonts w:ascii="Arial" w:cs="Arial" w:eastAsia="Arial" w:hAnsi="Arial"/>
          <w:sz w:val="16"/>
          <w:szCs w:val="16"/>
          <w:u w:val="single" w:color="auto"/>
          <w:color w:val="0000EE"/>
        </w:rPr>
      </w:pPr>
    </w:p>
    <w:p>
      <w:pPr>
        <w:ind w:left="1060" w:right="18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10.32.3</w:t>
      </w:r>
      <w:r>
        <w:rPr>
          <w:sz w:val="20"/>
          <w:szCs w:val="20"/>
          <w:color w:val="auto"/>
        </w:rPr>
        <w:tab/>
      </w:r>
      <w:hyperlink r:id="rId165">
        <w:r>
          <w:rPr>
            <w:rFonts w:ascii="Arial" w:cs="Arial" w:eastAsia="Arial" w:hAnsi="Arial"/>
            <w:sz w:val="16"/>
            <w:szCs w:val="16"/>
            <w:u w:val="single" w:color="auto"/>
            <w:color w:val="0000EE"/>
          </w:rPr>
          <w:t>Addendum to the Promissory Note ($26 million),</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dated March 30, 2018, between Applied</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Optoelectronics, Inc. and Branch Banking and Trust</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Company</w:t>
        </w:r>
      </w:hyperlink>
    </w:p>
    <w:p>
      <w:pPr>
        <w:spacing w:after="0" w:line="176" w:lineRule="exact"/>
        <w:rPr>
          <w:rFonts w:ascii="Arial" w:cs="Arial" w:eastAsia="Arial" w:hAnsi="Arial"/>
          <w:sz w:val="16"/>
          <w:szCs w:val="16"/>
          <w:u w:val="single" w:color="auto"/>
          <w:color w:val="0000EE"/>
        </w:rPr>
      </w:pPr>
    </w:p>
    <w:p>
      <w:pPr>
        <w:jc w:val="both"/>
        <w:ind w:left="1060" w:right="30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10.32.4</w:t>
      </w:r>
      <w:r>
        <w:rPr>
          <w:sz w:val="20"/>
          <w:szCs w:val="20"/>
          <w:color w:val="auto"/>
        </w:rPr>
        <w:tab/>
      </w:r>
      <w:hyperlink r:id="rId166">
        <w:r>
          <w:rPr>
            <w:rFonts w:ascii="Arial" w:cs="Arial" w:eastAsia="Arial" w:hAnsi="Arial"/>
            <w:sz w:val="16"/>
            <w:szCs w:val="16"/>
            <w:u w:val="single" w:color="auto"/>
            <w:color w:val="0000EE"/>
          </w:rPr>
          <w:t>Promissory Note ($21.5 million), dated March 30,</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2018, between Applied Optoelectronics, Inc. and</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Branch Banking and Trust Company</w:t>
        </w:r>
      </w:hyperlink>
    </w:p>
    <w:p>
      <w:pPr>
        <w:spacing w:after="0" w:line="396"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29"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3420" w:type="dxa"/>
            <w:vAlign w:val="bottom"/>
            <w:gridSpan w:val="3"/>
          </w:tcPr>
          <w:p>
            <w:pPr>
              <w:ind w:left="6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420" w:type="dxa"/>
            <w:vAlign w:val="bottom"/>
          </w:tcPr>
          <w:p>
            <w:pPr>
              <w:jc w:val="center"/>
              <w:ind w:left="14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8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0"/>
              </w:rPr>
              <w:t>October 4,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0"/>
              </w:rPr>
              <w:t>October 11, 2017</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1"/>
              </w:rPr>
              <w:t>February 24,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1"/>
              </w:rPr>
              <w:t>February 21,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4"/>
              </w:rPr>
              <w:t>10-K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10.30</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1"/>
              </w:rPr>
              <w:t>February 28,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4"/>
              </w:rPr>
              <w:t>10-K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10.30.1</w:t>
            </w:r>
          </w:p>
        </w:tc>
        <w:tc>
          <w:tcPr>
            <w:tcW w:w="1420" w:type="dxa"/>
            <w:vAlign w:val="bottom"/>
          </w:tcPr>
          <w:p>
            <w:pPr>
              <w:jc w:val="center"/>
              <w:ind w:left="140"/>
              <w:spacing w:after="0"/>
              <w:rPr>
                <w:sz w:val="20"/>
                <w:szCs w:val="20"/>
                <w:color w:val="auto"/>
              </w:rPr>
            </w:pPr>
            <w:r>
              <w:rPr>
                <w:rFonts w:ascii="Arial" w:cs="Arial" w:eastAsia="Arial" w:hAnsi="Arial"/>
                <w:sz w:val="16"/>
                <w:szCs w:val="16"/>
                <w:color w:val="auto"/>
                <w:w w:val="91"/>
              </w:rPr>
              <w:t>February 28, 2018</w:t>
            </w:r>
          </w:p>
        </w:tc>
        <w:tc>
          <w:tcPr>
            <w:tcW w:w="0" w:type="dxa"/>
            <w:vAlign w:val="bottom"/>
          </w:tcPr>
          <w:p>
            <w:pPr>
              <w:spacing w:after="0"/>
              <w:rPr>
                <w:sz w:val="1"/>
                <w:szCs w:val="1"/>
                <w:color w:val="auto"/>
              </w:rPr>
            </w:pPr>
          </w:p>
        </w:tc>
      </w:tr>
      <w:tr>
        <w:trPr>
          <w:trHeight w:val="1026"/>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89"/>
              </w:rPr>
              <w:t>10-Q</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3"/>
              </w:rPr>
              <w:t>May 8, 2018</w:t>
            </w:r>
          </w:p>
        </w:tc>
        <w:tc>
          <w:tcPr>
            <w:tcW w:w="0" w:type="dxa"/>
            <w:vAlign w:val="bottom"/>
          </w:tcPr>
          <w:p>
            <w:pPr>
              <w:spacing w:after="0"/>
              <w:rPr>
                <w:sz w:val="1"/>
                <w:szCs w:val="1"/>
                <w:color w:val="auto"/>
              </w:rPr>
            </w:pPr>
          </w:p>
        </w:tc>
      </w:tr>
      <w:tr>
        <w:trPr>
          <w:trHeight w:val="82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42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bl>
    <w:p>
      <w:pPr>
        <w:sectPr>
          <w:pgSz w:w="11900" w:h="16838" w:orient="portrait"/>
          <w:cols w:equalWidth="0" w:num="2">
            <w:col w:w="4620" w:space="300"/>
            <w:col w:w="4119"/>
          </w:cols>
          <w:pgMar w:left="1420" w:top="125"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3" w:lineRule="exact"/>
        <w:rPr>
          <w:sz w:val="20"/>
          <w:szCs w:val="20"/>
          <w:color w:val="auto"/>
        </w:rPr>
      </w:pPr>
    </w:p>
    <w:p>
      <w:pPr>
        <w:ind w:left="1060" w:right="18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10.32.5</w:t>
      </w:r>
      <w:r>
        <w:rPr>
          <w:sz w:val="20"/>
          <w:szCs w:val="20"/>
          <w:color w:val="auto"/>
        </w:rPr>
        <w:tab/>
      </w:r>
      <w:hyperlink r:id="rId168">
        <w:r>
          <w:rPr>
            <w:rFonts w:ascii="Arial" w:cs="Arial" w:eastAsia="Arial" w:hAnsi="Arial"/>
            <w:sz w:val="16"/>
            <w:szCs w:val="16"/>
            <w:u w:val="single" w:color="auto"/>
            <w:color w:val="0000EE"/>
          </w:rPr>
          <w:t>Addendum to the Promissory Note ($21.5 million),</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dated March 30, 2018, between Applied</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Optoelectronics, Inc. and Branch Banking and Trust</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Company</w:t>
        </w:r>
      </w:hyperlink>
    </w:p>
    <w:p>
      <w:pPr>
        <w:spacing w:after="0" w:line="176" w:lineRule="exact"/>
        <w:rPr>
          <w:rFonts w:ascii="Arial" w:cs="Arial" w:eastAsia="Arial" w:hAnsi="Arial"/>
          <w:sz w:val="16"/>
          <w:szCs w:val="16"/>
          <w:u w:val="single" w:color="auto"/>
          <w:color w:val="0000EE"/>
        </w:rPr>
      </w:pPr>
    </w:p>
    <w:p>
      <w:pPr>
        <w:ind w:left="1060" w:right="6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10.32.6</w:t>
      </w:r>
      <w:r>
        <w:rPr>
          <w:sz w:val="20"/>
          <w:szCs w:val="20"/>
          <w:color w:val="auto"/>
        </w:rPr>
        <w:tab/>
      </w:r>
      <w:hyperlink r:id="rId169">
        <w:r>
          <w:rPr>
            <w:rFonts w:ascii="Arial" w:cs="Arial" w:eastAsia="Arial" w:hAnsi="Arial"/>
            <w:sz w:val="16"/>
            <w:szCs w:val="16"/>
            <w:u w:val="single" w:color="auto"/>
            <w:color w:val="0000EE"/>
          </w:rPr>
          <w:t>Note Modification Agreement, dated March 30, 2018,</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between Applied Optoelectronics, Inc. and Branch</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Banking and Trust Company</w:t>
        </w:r>
      </w:hyperlink>
    </w:p>
    <w:p>
      <w:pPr>
        <w:spacing w:after="0" w:line="171" w:lineRule="exact"/>
        <w:rPr>
          <w:rFonts w:ascii="Arial" w:cs="Arial" w:eastAsia="Arial" w:hAnsi="Arial"/>
          <w:sz w:val="16"/>
          <w:szCs w:val="16"/>
          <w:u w:val="single" w:color="auto"/>
          <w:color w:val="0000EE"/>
        </w:rPr>
      </w:pPr>
    </w:p>
    <w:p>
      <w:pPr>
        <w:ind w:left="1060" w:right="4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10.32.7</w:t>
      </w:r>
      <w:r>
        <w:rPr>
          <w:sz w:val="20"/>
          <w:szCs w:val="20"/>
          <w:color w:val="auto"/>
        </w:rPr>
        <w:tab/>
      </w:r>
      <w:hyperlink r:id="rId170">
        <w:r>
          <w:rPr>
            <w:rFonts w:ascii="Arial" w:cs="Arial" w:eastAsia="Arial" w:hAnsi="Arial"/>
            <w:sz w:val="16"/>
            <w:szCs w:val="16"/>
            <w:u w:val="single" w:color="auto"/>
            <w:color w:val="0000EE"/>
          </w:rPr>
          <w:t>Assignment of Lease and Rent, dated March 30, 2018,</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between Applied Optoelectronics, Inc. and Branch</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Banking and Trust Company</w:t>
        </w:r>
      </w:hyperlink>
    </w:p>
    <w:p>
      <w:pPr>
        <w:spacing w:after="0" w:line="184" w:lineRule="exact"/>
        <w:rPr>
          <w:rFonts w:ascii="Arial" w:cs="Arial" w:eastAsia="Arial" w:hAnsi="Arial"/>
          <w:sz w:val="16"/>
          <w:szCs w:val="16"/>
          <w:u w:val="single" w:color="auto"/>
          <w:color w:val="0000EE"/>
        </w:rPr>
      </w:pPr>
    </w:p>
    <w:p>
      <w:pPr>
        <w:jc w:val="both"/>
        <w:ind w:left="1060" w:right="200" w:hanging="674"/>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10.32.8</w:t>
      </w:r>
      <w:r>
        <w:rPr>
          <w:sz w:val="20"/>
          <w:szCs w:val="20"/>
          <w:color w:val="auto"/>
        </w:rPr>
        <w:tab/>
      </w:r>
      <w:hyperlink r:id="rId171">
        <w:r>
          <w:rPr>
            <w:rFonts w:ascii="Arial" w:cs="Arial" w:eastAsia="Arial" w:hAnsi="Arial"/>
            <w:sz w:val="14"/>
            <w:szCs w:val="14"/>
            <w:u w:val="single" w:color="auto"/>
            <w:color w:val="0000EE"/>
          </w:rPr>
          <w:t>Texas Deed of Trust and Security Agreement, dated</w:t>
        </w:r>
      </w:hyperlink>
      <w:r>
        <w:rPr>
          <w:rFonts w:ascii="Arial" w:cs="Arial" w:eastAsia="Arial" w:hAnsi="Arial"/>
          <w:sz w:val="14"/>
          <w:szCs w:val="14"/>
          <w:u w:val="single" w:color="auto"/>
          <w:color w:val="0000EE"/>
        </w:rPr>
        <w:t xml:space="preserve"> </w:t>
      </w:r>
      <w:hyperlink r:id="rId171">
        <w:r>
          <w:rPr>
            <w:rFonts w:ascii="Arial" w:cs="Arial" w:eastAsia="Arial" w:hAnsi="Arial"/>
            <w:sz w:val="14"/>
            <w:szCs w:val="14"/>
            <w:u w:val="single" w:color="auto"/>
            <w:color w:val="0000EE"/>
          </w:rPr>
          <w:t>March 30, 2018, between Applied Optoelectronics,</w:t>
        </w:r>
      </w:hyperlink>
      <w:r>
        <w:rPr>
          <w:rFonts w:ascii="Arial" w:cs="Arial" w:eastAsia="Arial" w:hAnsi="Arial"/>
          <w:sz w:val="14"/>
          <w:szCs w:val="14"/>
          <w:u w:val="single" w:color="auto"/>
          <w:color w:val="0000EE"/>
        </w:rPr>
        <w:t xml:space="preserve"> </w:t>
      </w:r>
      <w:hyperlink r:id="rId171">
        <w:r>
          <w:rPr>
            <w:rFonts w:ascii="Arial" w:cs="Arial" w:eastAsia="Arial" w:hAnsi="Arial"/>
            <w:sz w:val="14"/>
            <w:szCs w:val="14"/>
            <w:u w:val="single" w:color="auto"/>
            <w:color w:val="0000EE"/>
          </w:rPr>
          <w:t>Inc. and Branch Banking and Trust Company</w:t>
        </w:r>
      </w:hyperlink>
    </w:p>
    <w:p>
      <w:pPr>
        <w:spacing w:after="0" w:line="136" w:lineRule="exact"/>
        <w:rPr>
          <w:rFonts w:ascii="Arial" w:cs="Arial" w:eastAsia="Arial" w:hAnsi="Arial"/>
          <w:sz w:val="14"/>
          <w:szCs w:val="14"/>
          <w:u w:val="single" w:color="auto"/>
          <w:color w:val="0000EE"/>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10.32.9</w:t>
      </w:r>
      <w:r>
        <w:rPr>
          <w:sz w:val="20"/>
          <w:szCs w:val="20"/>
          <w:color w:val="auto"/>
        </w:rPr>
        <w:tab/>
      </w:r>
      <w:hyperlink r:id="rId172">
        <w:r>
          <w:rPr>
            <w:rFonts w:ascii="Arial" w:cs="Arial" w:eastAsia="Arial" w:hAnsi="Arial"/>
            <w:sz w:val="15"/>
            <w:szCs w:val="15"/>
            <w:u w:val="single" w:color="auto"/>
            <w:color w:val="0000EE"/>
          </w:rPr>
          <w:t>Environmental Certification and Indemnity</w:t>
        </w:r>
      </w:hyperlink>
    </w:p>
    <w:p>
      <w:pPr>
        <w:spacing w:after="0" w:line="22" w:lineRule="exact"/>
        <w:rPr>
          <w:rFonts w:ascii="Arial" w:cs="Arial" w:eastAsia="Arial" w:hAnsi="Arial"/>
          <w:sz w:val="14"/>
          <w:szCs w:val="14"/>
          <w:u w:val="single" w:color="auto"/>
          <w:color w:val="0000EE"/>
        </w:rPr>
      </w:pPr>
    </w:p>
    <w:p>
      <w:pPr>
        <w:ind w:left="1060"/>
        <w:spacing w:after="0"/>
        <w:rPr>
          <w:rFonts w:ascii="Arial" w:cs="Arial" w:eastAsia="Arial" w:hAnsi="Arial"/>
          <w:sz w:val="15"/>
          <w:szCs w:val="15"/>
          <w:u w:val="single" w:color="auto"/>
          <w:color w:val="0000EE"/>
        </w:rPr>
      </w:pPr>
      <w:hyperlink r:id="rId172">
        <w:r>
          <w:rPr>
            <w:rFonts w:ascii="Arial" w:cs="Arial" w:eastAsia="Arial" w:hAnsi="Arial"/>
            <w:sz w:val="15"/>
            <w:szCs w:val="15"/>
            <w:u w:val="single" w:color="auto"/>
            <w:color w:val="0000EE"/>
          </w:rPr>
          <w:t>Agreement, dated March 30, 2018, between Applied</w:t>
        </w:r>
      </w:hyperlink>
    </w:p>
    <w:p>
      <w:pPr>
        <w:spacing w:after="0" w:line="30" w:lineRule="exact"/>
        <w:rPr>
          <w:rFonts w:ascii="Arial" w:cs="Arial" w:eastAsia="Arial" w:hAnsi="Arial"/>
          <w:sz w:val="14"/>
          <w:szCs w:val="14"/>
          <w:u w:val="single" w:color="auto"/>
          <w:color w:val="0000EE"/>
        </w:rPr>
      </w:pPr>
    </w:p>
    <w:p>
      <w:pPr>
        <w:ind w:left="1060"/>
        <w:spacing w:after="0"/>
        <w:rPr>
          <w:rFonts w:ascii="Arial" w:cs="Arial" w:eastAsia="Arial" w:hAnsi="Arial"/>
          <w:sz w:val="15"/>
          <w:szCs w:val="15"/>
          <w:u w:val="single" w:color="auto"/>
          <w:color w:val="0000EE"/>
        </w:rPr>
      </w:pPr>
      <w:hyperlink r:id="rId172">
        <w:r>
          <w:rPr>
            <w:rFonts w:ascii="Arial" w:cs="Arial" w:eastAsia="Arial" w:hAnsi="Arial"/>
            <w:sz w:val="15"/>
            <w:szCs w:val="15"/>
            <w:u w:val="single" w:color="auto"/>
            <w:color w:val="0000EE"/>
          </w:rPr>
          <w:t>Optoelectronics, Inc. and Branch Banking and Trust</w:t>
        </w:r>
      </w:hyperlink>
    </w:p>
    <w:p>
      <w:pPr>
        <w:spacing w:after="0" w:line="30" w:lineRule="exact"/>
        <w:rPr>
          <w:rFonts w:ascii="Arial" w:cs="Arial" w:eastAsia="Arial" w:hAnsi="Arial"/>
          <w:sz w:val="14"/>
          <w:szCs w:val="14"/>
          <w:u w:val="single" w:color="auto"/>
          <w:color w:val="0000EE"/>
        </w:rPr>
      </w:pPr>
    </w:p>
    <w:p>
      <w:pPr>
        <w:ind w:left="1060"/>
        <w:spacing w:after="0"/>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Company</w:t>
        </w:r>
      </w:hyperlink>
    </w:p>
    <w:p>
      <w:pPr>
        <w:spacing w:after="0" w:line="217" w:lineRule="exact"/>
        <w:rPr>
          <w:rFonts w:ascii="Arial" w:cs="Arial" w:eastAsia="Arial" w:hAnsi="Arial"/>
          <w:sz w:val="14"/>
          <w:szCs w:val="14"/>
          <w:u w:val="single" w:color="auto"/>
          <w:color w:val="0000EE"/>
        </w:rPr>
      </w:pPr>
    </w:p>
    <w:p>
      <w:pPr>
        <w:ind w:left="1060" w:right="300" w:hanging="553"/>
        <w:spacing w:after="0" w:line="29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10.33</w:t>
      </w:r>
      <w:r>
        <w:rPr>
          <w:sz w:val="20"/>
          <w:szCs w:val="20"/>
          <w:color w:val="auto"/>
        </w:rPr>
        <w:tab/>
      </w:r>
      <w:hyperlink r:id="rId173">
        <w:r>
          <w:rPr>
            <w:rFonts w:ascii="Arial" w:cs="Arial" w:eastAsia="Arial" w:hAnsi="Arial"/>
            <w:sz w:val="16"/>
            <w:szCs w:val="16"/>
            <w:u w:val="single" w:color="auto"/>
            <w:color w:val="0000EE"/>
          </w:rPr>
          <w:t>Translation of the Approval Notice of Credit Line,</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dated June 12, 2018</w:t>
        </w:r>
      </w:hyperlink>
    </w:p>
    <w:p>
      <w:pPr>
        <w:spacing w:after="0" w:line="159" w:lineRule="exact"/>
        <w:rPr>
          <w:sz w:val="20"/>
          <w:szCs w:val="20"/>
          <w:color w:val="auto"/>
        </w:rPr>
      </w:pPr>
    </w:p>
    <w:p>
      <w:pPr>
        <w:ind w:left="1060" w:right="60" w:hanging="674"/>
        <w:spacing w:after="0" w:line="291"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10.33.1</w:t>
      </w:r>
      <w:r>
        <w:rPr>
          <w:sz w:val="20"/>
          <w:szCs w:val="20"/>
          <w:color w:val="auto"/>
        </w:rPr>
        <w:tab/>
      </w:r>
      <w:hyperlink r:id="rId174">
        <w:r>
          <w:rPr>
            <w:rFonts w:ascii="Arial" w:cs="Arial" w:eastAsia="Arial" w:hAnsi="Arial"/>
            <w:sz w:val="15"/>
            <w:szCs w:val="15"/>
            <w:u w:val="single" w:color="auto"/>
            <w:color w:val="0000EE"/>
          </w:rPr>
          <w:t>Translation of the Credit Facility Agreement, dated</w:t>
        </w:r>
      </w:hyperlink>
      <w:r>
        <w:rPr>
          <w:rFonts w:ascii="Arial" w:cs="Arial" w:eastAsia="Arial" w:hAnsi="Arial"/>
          <w:sz w:val="15"/>
          <w:szCs w:val="15"/>
          <w:u w:val="single" w:color="auto"/>
          <w:color w:val="0000EE"/>
        </w:rPr>
        <w:t xml:space="preserve"> </w:t>
      </w:r>
      <w:hyperlink r:id="rId174">
        <w:r>
          <w:rPr>
            <w:rFonts w:ascii="Arial" w:cs="Arial" w:eastAsia="Arial" w:hAnsi="Arial"/>
            <w:sz w:val="15"/>
            <w:szCs w:val="15"/>
            <w:u w:val="single" w:color="auto"/>
            <w:color w:val="0000EE"/>
          </w:rPr>
          <w:t>June 19, 2018, between Prime World International</w:t>
        </w:r>
      </w:hyperlink>
      <w:r>
        <w:rPr>
          <w:rFonts w:ascii="Arial" w:cs="Arial" w:eastAsia="Arial" w:hAnsi="Arial"/>
          <w:sz w:val="15"/>
          <w:szCs w:val="15"/>
          <w:u w:val="single" w:color="auto"/>
          <w:color w:val="0000EE"/>
        </w:rPr>
        <w:t xml:space="preserve"> </w:t>
      </w:r>
      <w:hyperlink r:id="rId174">
        <w:r>
          <w:rPr>
            <w:rFonts w:ascii="Arial" w:cs="Arial" w:eastAsia="Arial" w:hAnsi="Arial"/>
            <w:sz w:val="15"/>
            <w:szCs w:val="15"/>
            <w:u w:val="single" w:color="auto"/>
            <w:color w:val="0000EE"/>
          </w:rPr>
          <w:t>Holdings Ltd. and Taishin International Bank (filed as</w:t>
        </w:r>
      </w:hyperlink>
      <w:r>
        <w:rPr>
          <w:rFonts w:ascii="Arial" w:cs="Arial" w:eastAsia="Arial" w:hAnsi="Arial"/>
          <w:sz w:val="15"/>
          <w:szCs w:val="15"/>
          <w:u w:val="single" w:color="auto"/>
          <w:color w:val="0000EE"/>
        </w:rPr>
        <w:t xml:space="preserve"> </w:t>
      </w:r>
      <w:hyperlink r:id="rId174">
        <w:r>
          <w:rPr>
            <w:rFonts w:ascii="Arial" w:cs="Arial" w:eastAsia="Arial" w:hAnsi="Arial"/>
            <w:sz w:val="15"/>
            <w:szCs w:val="15"/>
            <w:u w:val="single" w:color="auto"/>
            <w:color w:val="0000EE"/>
          </w:rPr>
          <w:t>Exhibit 10.2 to the Registrant’s Current Report on</w:t>
        </w:r>
      </w:hyperlink>
      <w:r>
        <w:rPr>
          <w:rFonts w:ascii="Arial" w:cs="Arial" w:eastAsia="Arial" w:hAnsi="Arial"/>
          <w:sz w:val="15"/>
          <w:szCs w:val="15"/>
          <w:u w:val="single" w:color="auto"/>
          <w:color w:val="0000EE"/>
        </w:rPr>
        <w:t xml:space="preserve"> </w:t>
      </w:r>
      <w:hyperlink r:id="rId174">
        <w:r>
          <w:rPr>
            <w:rFonts w:ascii="Arial" w:cs="Arial" w:eastAsia="Arial" w:hAnsi="Arial"/>
            <w:sz w:val="15"/>
            <w:szCs w:val="15"/>
            <w:u w:val="single" w:color="auto"/>
            <w:color w:val="0000EE"/>
          </w:rPr>
          <w:t>Form 8-K filed with the Securities and Exchange</w:t>
        </w:r>
      </w:hyperlink>
      <w:r>
        <w:rPr>
          <w:rFonts w:ascii="Arial" w:cs="Arial" w:eastAsia="Arial" w:hAnsi="Arial"/>
          <w:sz w:val="15"/>
          <w:szCs w:val="15"/>
          <w:u w:val="single" w:color="auto"/>
          <w:color w:val="0000EE"/>
        </w:rPr>
        <w:t xml:space="preserve"> </w:t>
      </w:r>
      <w:hyperlink r:id="rId174">
        <w:r>
          <w:rPr>
            <w:rFonts w:ascii="Arial" w:cs="Arial" w:eastAsia="Arial" w:hAnsi="Arial"/>
            <w:sz w:val="15"/>
            <w:szCs w:val="15"/>
            <w:u w:val="single" w:color="auto"/>
            <w:color w:val="0000EE"/>
          </w:rPr>
          <w:t>Commission on June 25, 2018)</w:t>
        </w:r>
      </w:hyperlink>
    </w:p>
    <w:p>
      <w:pPr>
        <w:spacing w:after="0" w:line="163" w:lineRule="exact"/>
        <w:rPr>
          <w:rFonts w:ascii="Arial" w:cs="Arial" w:eastAsia="Arial" w:hAnsi="Arial"/>
          <w:sz w:val="15"/>
          <w:szCs w:val="15"/>
          <w:u w:val="single" w:color="auto"/>
          <w:color w:val="0000EE"/>
        </w:rPr>
      </w:pPr>
    </w:p>
    <w:p>
      <w:pPr>
        <w:ind w:left="1060" w:right="60" w:hanging="674"/>
        <w:spacing w:after="0" w:line="31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10.33.2</w:t>
      </w:r>
      <w:r>
        <w:rPr>
          <w:sz w:val="20"/>
          <w:szCs w:val="20"/>
          <w:color w:val="auto"/>
        </w:rPr>
        <w:tab/>
      </w:r>
      <w:hyperlink r:id="rId175">
        <w:r>
          <w:rPr>
            <w:rFonts w:ascii="Arial" w:cs="Arial" w:eastAsia="Arial" w:hAnsi="Arial"/>
            <w:sz w:val="14"/>
            <w:szCs w:val="14"/>
            <w:u w:val="single" w:color="auto"/>
            <w:color w:val="0000EE"/>
          </w:rPr>
          <w:t>Translation of the Agreement on Providing Collateral,</w:t>
        </w:r>
      </w:hyperlink>
      <w:r>
        <w:rPr>
          <w:rFonts w:ascii="Arial" w:cs="Arial" w:eastAsia="Arial" w:hAnsi="Arial"/>
          <w:sz w:val="14"/>
          <w:szCs w:val="14"/>
          <w:u w:val="single" w:color="auto"/>
          <w:color w:val="0000EE"/>
        </w:rPr>
        <w:t xml:space="preserve"> </w:t>
      </w:r>
      <w:hyperlink r:id="rId175">
        <w:r>
          <w:rPr>
            <w:rFonts w:ascii="Arial" w:cs="Arial" w:eastAsia="Arial" w:hAnsi="Arial"/>
            <w:sz w:val="14"/>
            <w:szCs w:val="14"/>
            <w:u w:val="single" w:color="auto"/>
            <w:color w:val="0000EE"/>
          </w:rPr>
          <w:t>dated June 19, 2018, between Prime World</w:t>
        </w:r>
      </w:hyperlink>
      <w:r>
        <w:rPr>
          <w:rFonts w:ascii="Arial" w:cs="Arial" w:eastAsia="Arial" w:hAnsi="Arial"/>
          <w:sz w:val="14"/>
          <w:szCs w:val="14"/>
          <w:u w:val="single" w:color="auto"/>
          <w:color w:val="0000EE"/>
        </w:rPr>
        <w:t xml:space="preserve"> </w:t>
      </w:r>
      <w:hyperlink r:id="rId175">
        <w:r>
          <w:rPr>
            <w:rFonts w:ascii="Arial" w:cs="Arial" w:eastAsia="Arial" w:hAnsi="Arial"/>
            <w:sz w:val="14"/>
            <w:szCs w:val="14"/>
            <w:u w:val="single" w:color="auto"/>
            <w:color w:val="0000EE"/>
          </w:rPr>
          <w:t>International Holdings Ltd., and Taishin International</w:t>
        </w:r>
      </w:hyperlink>
      <w:r>
        <w:rPr>
          <w:rFonts w:ascii="Arial" w:cs="Arial" w:eastAsia="Arial" w:hAnsi="Arial"/>
          <w:sz w:val="14"/>
          <w:szCs w:val="14"/>
          <w:u w:val="single" w:color="auto"/>
          <w:color w:val="0000EE"/>
        </w:rPr>
        <w:t xml:space="preserve"> </w:t>
      </w:r>
      <w:hyperlink r:id="rId175">
        <w:r>
          <w:rPr>
            <w:rFonts w:ascii="Arial" w:cs="Arial" w:eastAsia="Arial" w:hAnsi="Arial"/>
            <w:sz w:val="14"/>
            <w:szCs w:val="14"/>
            <w:u w:val="single" w:color="auto"/>
            <w:color w:val="0000EE"/>
          </w:rPr>
          <w:t>Bank (filed as Exhibit 10.3 to the Registrant’s Current</w:t>
        </w:r>
      </w:hyperlink>
      <w:r>
        <w:rPr>
          <w:rFonts w:ascii="Arial" w:cs="Arial" w:eastAsia="Arial" w:hAnsi="Arial"/>
          <w:sz w:val="14"/>
          <w:szCs w:val="14"/>
          <w:u w:val="single" w:color="auto"/>
          <w:color w:val="0000EE"/>
        </w:rPr>
        <w:t xml:space="preserve"> </w:t>
      </w:r>
      <w:hyperlink r:id="rId175">
        <w:r>
          <w:rPr>
            <w:rFonts w:ascii="Arial" w:cs="Arial" w:eastAsia="Arial" w:hAnsi="Arial"/>
            <w:sz w:val="14"/>
            <w:szCs w:val="14"/>
            <w:u w:val="single" w:color="auto"/>
            <w:color w:val="0000EE"/>
          </w:rPr>
          <w:t>Report on Form 8-K filed with the Securities and</w:t>
        </w:r>
      </w:hyperlink>
      <w:r>
        <w:rPr>
          <w:rFonts w:ascii="Arial" w:cs="Arial" w:eastAsia="Arial" w:hAnsi="Arial"/>
          <w:sz w:val="14"/>
          <w:szCs w:val="14"/>
          <w:u w:val="single" w:color="auto"/>
          <w:color w:val="0000EE"/>
        </w:rPr>
        <w:t xml:space="preserve"> </w:t>
      </w:r>
      <w:hyperlink r:id="rId175">
        <w:r>
          <w:rPr>
            <w:rFonts w:ascii="Arial" w:cs="Arial" w:eastAsia="Arial" w:hAnsi="Arial"/>
            <w:sz w:val="14"/>
            <w:szCs w:val="14"/>
            <w:u w:val="single" w:color="auto"/>
            <w:color w:val="0000EE"/>
          </w:rPr>
          <w:t>Exchange Commission on June 25, 2018)</w:t>
        </w:r>
      </w:hyperlink>
    </w:p>
    <w:p>
      <w:pPr>
        <w:spacing w:after="0" w:line="150" w:lineRule="exact"/>
        <w:rPr>
          <w:rFonts w:ascii="Arial" w:cs="Arial" w:eastAsia="Arial" w:hAnsi="Arial"/>
          <w:sz w:val="14"/>
          <w:szCs w:val="14"/>
          <w:u w:val="single" w:color="auto"/>
          <w:color w:val="0000EE"/>
        </w:rPr>
      </w:pPr>
    </w:p>
    <w:p>
      <w:pPr>
        <w:jc w:val="center"/>
        <w:ind w:left="240"/>
        <w:spacing w:after="0"/>
        <w:tabs>
          <w:tab w:leader="none" w:pos="180" w:val="left"/>
        </w:tabs>
        <w:rPr>
          <w:rFonts w:ascii="Arial" w:cs="Arial" w:eastAsia="Arial" w:hAnsi="Arial"/>
          <w:sz w:val="15"/>
          <w:szCs w:val="15"/>
          <w:u w:val="single" w:color="auto"/>
          <w:color w:val="0000EE"/>
        </w:rPr>
      </w:pPr>
      <w:r>
        <w:rPr>
          <w:rFonts w:ascii="Arial" w:cs="Arial" w:eastAsia="Arial" w:hAnsi="Arial"/>
          <w:sz w:val="16"/>
          <w:szCs w:val="16"/>
          <w:color w:val="auto"/>
        </w:rPr>
        <w:t>10.33.3</w:t>
      </w:r>
      <w:r>
        <w:rPr>
          <w:sz w:val="20"/>
          <w:szCs w:val="20"/>
          <w:color w:val="auto"/>
        </w:rPr>
        <w:tab/>
      </w:r>
      <w:hyperlink r:id="rId176">
        <w:r>
          <w:rPr>
            <w:rFonts w:ascii="Arial" w:cs="Arial" w:eastAsia="Arial" w:hAnsi="Arial"/>
            <w:sz w:val="15"/>
            <w:szCs w:val="15"/>
            <w:u w:val="single" w:color="auto"/>
            <w:color w:val="0000EE"/>
          </w:rPr>
          <w:t>Translation of the NT$300 Million Promissory Note,</w:t>
        </w:r>
      </w:hyperlink>
    </w:p>
    <w:p>
      <w:pPr>
        <w:spacing w:after="0" w:line="22" w:lineRule="exact"/>
        <w:rPr>
          <w:rFonts w:ascii="Arial" w:cs="Arial" w:eastAsia="Arial" w:hAnsi="Arial"/>
          <w:sz w:val="14"/>
          <w:szCs w:val="14"/>
          <w:u w:val="single" w:color="auto"/>
          <w:color w:val="0000EE"/>
        </w:rPr>
      </w:pPr>
    </w:p>
    <w:p>
      <w:pPr>
        <w:ind w:left="1060" w:right="60"/>
        <w:spacing w:after="0" w:line="292" w:lineRule="auto"/>
        <w:rPr>
          <w:rFonts w:ascii="Arial" w:cs="Arial" w:eastAsia="Arial" w:hAnsi="Arial"/>
          <w:sz w:val="15"/>
          <w:szCs w:val="15"/>
          <w:u w:val="single" w:color="auto"/>
          <w:color w:val="0000EE"/>
        </w:rPr>
      </w:pPr>
      <w:hyperlink r:id="rId176">
        <w:r>
          <w:rPr>
            <w:rFonts w:ascii="Arial" w:cs="Arial" w:eastAsia="Arial" w:hAnsi="Arial"/>
            <w:sz w:val="15"/>
            <w:szCs w:val="15"/>
            <w:u w:val="single" w:color="auto"/>
            <w:color w:val="0000EE"/>
          </w:rPr>
          <w:t>dated June 19, 2018, between Prime World</w:t>
        </w:r>
      </w:hyperlink>
      <w:r>
        <w:rPr>
          <w:rFonts w:ascii="Arial" w:cs="Arial" w:eastAsia="Arial" w:hAnsi="Arial"/>
          <w:sz w:val="15"/>
          <w:szCs w:val="15"/>
          <w:u w:val="single" w:color="auto"/>
          <w:color w:val="0000EE"/>
        </w:rPr>
        <w:t xml:space="preserve"> </w:t>
      </w:r>
      <w:hyperlink r:id="rId176">
        <w:r>
          <w:rPr>
            <w:rFonts w:ascii="Arial" w:cs="Arial" w:eastAsia="Arial" w:hAnsi="Arial"/>
            <w:sz w:val="15"/>
            <w:szCs w:val="15"/>
            <w:u w:val="single" w:color="auto"/>
            <w:color w:val="0000EE"/>
          </w:rPr>
          <w:t>International Holdings Ltd. and Taishin International</w:t>
        </w:r>
      </w:hyperlink>
      <w:r>
        <w:rPr>
          <w:rFonts w:ascii="Arial" w:cs="Arial" w:eastAsia="Arial" w:hAnsi="Arial"/>
          <w:sz w:val="15"/>
          <w:szCs w:val="15"/>
          <w:u w:val="single" w:color="auto"/>
          <w:color w:val="0000EE"/>
        </w:rPr>
        <w:t xml:space="preserve"> </w:t>
      </w:r>
      <w:hyperlink r:id="rId176">
        <w:r>
          <w:rPr>
            <w:rFonts w:ascii="Arial" w:cs="Arial" w:eastAsia="Arial" w:hAnsi="Arial"/>
            <w:sz w:val="15"/>
            <w:szCs w:val="15"/>
            <w:u w:val="single" w:color="auto"/>
            <w:color w:val="0000EE"/>
          </w:rPr>
          <w:t>Bank (filed as Exhibit 10.4 to the Registrant’s Current</w:t>
        </w:r>
      </w:hyperlink>
      <w:r>
        <w:rPr>
          <w:rFonts w:ascii="Arial" w:cs="Arial" w:eastAsia="Arial" w:hAnsi="Arial"/>
          <w:sz w:val="15"/>
          <w:szCs w:val="15"/>
          <w:u w:val="single" w:color="auto"/>
          <w:color w:val="0000EE"/>
        </w:rPr>
        <w:t xml:space="preserve"> </w:t>
      </w:r>
      <w:hyperlink r:id="rId176">
        <w:r>
          <w:rPr>
            <w:rFonts w:ascii="Arial" w:cs="Arial" w:eastAsia="Arial" w:hAnsi="Arial"/>
            <w:sz w:val="15"/>
            <w:szCs w:val="15"/>
            <w:u w:val="single" w:color="auto"/>
            <w:color w:val="0000EE"/>
          </w:rPr>
          <w:t>Report on Form 8-K filed with the Securities and</w:t>
        </w:r>
      </w:hyperlink>
      <w:r>
        <w:rPr>
          <w:rFonts w:ascii="Arial" w:cs="Arial" w:eastAsia="Arial" w:hAnsi="Arial"/>
          <w:sz w:val="15"/>
          <w:szCs w:val="15"/>
          <w:u w:val="single" w:color="auto"/>
          <w:color w:val="0000EE"/>
        </w:rPr>
        <w:t xml:space="preserve"> </w:t>
      </w:r>
      <w:hyperlink r:id="rId176">
        <w:r>
          <w:rPr>
            <w:rFonts w:ascii="Arial" w:cs="Arial" w:eastAsia="Arial" w:hAnsi="Arial"/>
            <w:sz w:val="15"/>
            <w:szCs w:val="15"/>
            <w:u w:val="single" w:color="auto"/>
            <w:color w:val="0000EE"/>
          </w:rPr>
          <w:t>Exchange Commission on June 25, 2018)</w:t>
        </w:r>
      </w:hyperlink>
    </w:p>
    <w:p>
      <w:pPr>
        <w:spacing w:after="0" w:line="162" w:lineRule="exact"/>
        <w:rPr>
          <w:rFonts w:ascii="Arial" w:cs="Arial" w:eastAsia="Arial" w:hAnsi="Arial"/>
          <w:sz w:val="15"/>
          <w:szCs w:val="15"/>
          <w:u w:val="single" w:color="auto"/>
          <w:color w:val="0000EE"/>
        </w:rPr>
      </w:pPr>
    </w:p>
    <w:p>
      <w:pPr>
        <w:ind w:left="1060" w:right="40" w:hanging="674"/>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10.33.4</w:t>
      </w:r>
      <w:r>
        <w:rPr>
          <w:sz w:val="20"/>
          <w:szCs w:val="20"/>
          <w:color w:val="auto"/>
        </w:rPr>
        <w:tab/>
      </w:r>
      <w:hyperlink r:id="rId177">
        <w:r>
          <w:rPr>
            <w:rFonts w:ascii="Arial" w:cs="Arial" w:eastAsia="Arial" w:hAnsi="Arial"/>
            <w:sz w:val="16"/>
            <w:szCs w:val="16"/>
            <w:u w:val="single" w:color="auto"/>
            <w:color w:val="0000EE"/>
          </w:rPr>
          <w:t>Translation of the Maximum Loan (Credit Line)</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Agreement, dated September 21, 2018, between</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Global Technology, Inc. and China Construction Bank</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Co., Ltd.</w:t>
        </w:r>
      </w:hyperlink>
    </w:p>
    <w:p>
      <w:pPr>
        <w:spacing w:after="0" w:line="176" w:lineRule="exact"/>
        <w:rPr>
          <w:rFonts w:ascii="Arial" w:cs="Arial" w:eastAsia="Arial" w:hAnsi="Arial"/>
          <w:sz w:val="16"/>
          <w:szCs w:val="16"/>
          <w:u w:val="single" w:color="auto"/>
          <w:color w:val="0000EE"/>
        </w:rPr>
      </w:pPr>
    </w:p>
    <w:p>
      <w:pPr>
        <w:ind w:left="1060" w:right="40" w:hanging="674"/>
        <w:spacing w:after="0" w:line="305"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10.33.5</w:t>
      </w:r>
      <w:r>
        <w:rPr>
          <w:sz w:val="20"/>
          <w:szCs w:val="20"/>
          <w:color w:val="auto"/>
        </w:rPr>
        <w:tab/>
      </w:r>
      <w:hyperlink r:id="rId178">
        <w:r>
          <w:rPr>
            <w:rFonts w:ascii="Arial" w:cs="Arial" w:eastAsia="Arial" w:hAnsi="Arial"/>
            <w:sz w:val="15"/>
            <w:szCs w:val="15"/>
            <w:u w:val="single" w:color="auto"/>
            <w:color w:val="0000EE"/>
          </w:rPr>
          <w:t>Translation of the Security Agreement, dated</w:t>
        </w:r>
      </w:hyperlink>
      <w:r>
        <w:rPr>
          <w:rFonts w:ascii="Arial" w:cs="Arial" w:eastAsia="Arial" w:hAnsi="Arial"/>
          <w:sz w:val="15"/>
          <w:szCs w:val="15"/>
          <w:u w:val="single" w:color="auto"/>
          <w:color w:val="0000EE"/>
        </w:rPr>
        <w:t xml:space="preserve"> </w:t>
      </w:r>
      <w:hyperlink r:id="rId178">
        <w:r>
          <w:rPr>
            <w:rFonts w:ascii="Arial" w:cs="Arial" w:eastAsia="Arial" w:hAnsi="Arial"/>
            <w:sz w:val="15"/>
            <w:szCs w:val="15"/>
            <w:u w:val="single" w:color="auto"/>
            <w:color w:val="0000EE"/>
          </w:rPr>
          <w:t>September 21, 2018, between Global Technology, Inc.</w:t>
        </w:r>
      </w:hyperlink>
      <w:r>
        <w:rPr>
          <w:rFonts w:ascii="Arial" w:cs="Arial" w:eastAsia="Arial" w:hAnsi="Arial"/>
          <w:sz w:val="15"/>
          <w:szCs w:val="15"/>
          <w:u w:val="single" w:color="auto"/>
          <w:color w:val="0000EE"/>
        </w:rPr>
        <w:t xml:space="preserve"> </w:t>
      </w:r>
      <w:hyperlink r:id="rId178">
        <w:r>
          <w:rPr>
            <w:rFonts w:ascii="Arial" w:cs="Arial" w:eastAsia="Arial" w:hAnsi="Arial"/>
            <w:sz w:val="15"/>
            <w:szCs w:val="15"/>
            <w:u w:val="single" w:color="auto"/>
            <w:color w:val="0000EE"/>
          </w:rPr>
          <w:t>and China Construction Bank Co., Ltd.</w:t>
        </w:r>
      </w:hyperlink>
    </w:p>
    <w:p>
      <w:pPr>
        <w:spacing w:after="0" w:line="153" w:lineRule="exact"/>
        <w:rPr>
          <w:rFonts w:ascii="Arial" w:cs="Arial" w:eastAsia="Arial" w:hAnsi="Arial"/>
          <w:sz w:val="15"/>
          <w:szCs w:val="15"/>
          <w:u w:val="single" w:color="auto"/>
          <w:color w:val="0000EE"/>
        </w:rPr>
      </w:pPr>
    </w:p>
    <w:p>
      <w:pPr>
        <w:jc w:val="center"/>
        <w:ind w:left="280"/>
        <w:spacing w:after="0"/>
        <w:tabs>
          <w:tab w:leader="none" w:pos="180" w:val="left"/>
        </w:tabs>
        <w:rPr>
          <w:rFonts w:ascii="Arial" w:cs="Arial" w:eastAsia="Arial" w:hAnsi="Arial"/>
          <w:sz w:val="14"/>
          <w:szCs w:val="14"/>
          <w:u w:val="single" w:color="auto"/>
          <w:color w:val="0000EE"/>
        </w:rPr>
      </w:pPr>
      <w:r>
        <w:rPr>
          <w:rFonts w:ascii="Arial" w:cs="Arial" w:eastAsia="Arial" w:hAnsi="Arial"/>
          <w:sz w:val="16"/>
          <w:szCs w:val="16"/>
          <w:color w:val="auto"/>
        </w:rPr>
        <w:t>10.34</w:t>
      </w:r>
      <w:r>
        <w:rPr>
          <w:sz w:val="20"/>
          <w:szCs w:val="20"/>
          <w:color w:val="auto"/>
        </w:rPr>
        <w:tab/>
      </w:r>
      <w:hyperlink r:id="rId179">
        <w:r>
          <w:rPr>
            <w:rFonts w:ascii="Arial" w:cs="Arial" w:eastAsia="Arial" w:hAnsi="Arial"/>
            <w:sz w:val="14"/>
            <w:szCs w:val="14"/>
            <w:u w:val="single" w:color="auto"/>
            <w:color w:val="0000EE"/>
          </w:rPr>
          <w:t>Letter of Offer, dated July 26, 2018, between Prime</w:t>
        </w:r>
      </w:hyperlink>
    </w:p>
    <w:p>
      <w:pPr>
        <w:spacing w:after="0" w:line="22" w:lineRule="exact"/>
        <w:rPr>
          <w:rFonts w:ascii="Arial" w:cs="Arial" w:eastAsia="Arial" w:hAnsi="Arial"/>
          <w:sz w:val="15"/>
          <w:szCs w:val="15"/>
          <w:u w:val="single" w:color="auto"/>
          <w:color w:val="0000EE"/>
        </w:rPr>
      </w:pPr>
    </w:p>
    <w:p>
      <w:pPr>
        <w:ind w:left="1060" w:right="500"/>
        <w:spacing w:after="0" w:line="363" w:lineRule="auto"/>
        <w:rPr>
          <w:rFonts w:ascii="Arial" w:cs="Arial" w:eastAsia="Arial" w:hAnsi="Arial"/>
          <w:sz w:val="14"/>
          <w:szCs w:val="14"/>
          <w:u w:val="single" w:color="auto"/>
          <w:color w:val="0000EE"/>
        </w:rPr>
      </w:pPr>
      <w:hyperlink r:id="rId179">
        <w:r>
          <w:rPr>
            <w:rFonts w:ascii="Arial" w:cs="Arial" w:eastAsia="Arial" w:hAnsi="Arial"/>
            <w:sz w:val="14"/>
            <w:szCs w:val="14"/>
            <w:u w:val="single" w:color="auto"/>
            <w:color w:val="0000EE"/>
          </w:rPr>
          <w:t>World International Holdings, Ltd. and the</w:t>
        </w:r>
      </w:hyperlink>
      <w:r>
        <w:rPr>
          <w:rFonts w:ascii="Arial" w:cs="Arial" w:eastAsia="Arial" w:hAnsi="Arial"/>
          <w:sz w:val="14"/>
          <w:szCs w:val="14"/>
          <w:u w:val="single" w:color="auto"/>
          <w:color w:val="0000EE"/>
        </w:rPr>
        <w:t xml:space="preserve"> </w:t>
      </w:r>
      <w:hyperlink r:id="rId179">
        <w:r>
          <w:rPr>
            <w:rFonts w:ascii="Arial" w:cs="Arial" w:eastAsia="Arial" w:hAnsi="Arial"/>
            <w:sz w:val="14"/>
            <w:szCs w:val="14"/>
            <w:u w:val="single" w:color="auto"/>
            <w:color w:val="0000EE"/>
          </w:rPr>
          <w:t>Development Bank of Singapore (Taiwan) Ltd.</w:t>
        </w:r>
      </w:hyperlink>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3460" w:type="dxa"/>
            <w:vAlign w:val="bottom"/>
            <w:gridSpan w:val="3"/>
          </w:tcPr>
          <w:p>
            <w:pPr>
              <w:ind w:left="6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jc w:val="center"/>
              <w:ind w:left="14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8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824"/>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10.10</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95"/>
              </w:rPr>
              <w:t>April 5,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8"/>
              </w:rPr>
              <w:t>June 25, 2018</w:t>
            </w:r>
          </w:p>
        </w:tc>
        <w:tc>
          <w:tcPr>
            <w:tcW w:w="0" w:type="dxa"/>
            <w:vAlign w:val="bottom"/>
          </w:tcPr>
          <w:p>
            <w:pPr>
              <w:spacing w:after="0"/>
              <w:rPr>
                <w:sz w:val="1"/>
                <w:szCs w:val="1"/>
                <w:color w:val="auto"/>
              </w:rPr>
            </w:pPr>
          </w:p>
        </w:tc>
      </w:tr>
      <w:tr>
        <w:trPr>
          <w:trHeight w:val="608"/>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8"/>
              </w:rPr>
              <w:t>June 25, 2018</w:t>
            </w:r>
          </w:p>
        </w:tc>
        <w:tc>
          <w:tcPr>
            <w:tcW w:w="0" w:type="dxa"/>
            <w:vAlign w:val="bottom"/>
          </w:tcPr>
          <w:p>
            <w:pPr>
              <w:spacing w:after="0"/>
              <w:rPr>
                <w:sz w:val="1"/>
                <w:szCs w:val="1"/>
                <w:color w:val="auto"/>
              </w:rPr>
            </w:pPr>
          </w:p>
        </w:tc>
      </w:tr>
      <w:tr>
        <w:trPr>
          <w:trHeight w:val="1418"/>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8"/>
              </w:rPr>
              <w:t>June 25, 2018</w:t>
            </w:r>
          </w:p>
        </w:tc>
        <w:tc>
          <w:tcPr>
            <w:tcW w:w="0" w:type="dxa"/>
            <w:vAlign w:val="bottom"/>
          </w:tcPr>
          <w:p>
            <w:pPr>
              <w:spacing w:after="0"/>
              <w:rPr>
                <w:sz w:val="1"/>
                <w:szCs w:val="1"/>
                <w:color w:val="auto"/>
              </w:rPr>
            </w:pPr>
          </w:p>
        </w:tc>
      </w:tr>
      <w:tr>
        <w:trPr>
          <w:trHeight w:val="1418"/>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8"/>
              </w:rPr>
              <w:t>June 25, 2018</w:t>
            </w:r>
          </w:p>
        </w:tc>
        <w:tc>
          <w:tcPr>
            <w:tcW w:w="0" w:type="dxa"/>
            <w:vAlign w:val="bottom"/>
          </w:tcPr>
          <w:p>
            <w:pPr>
              <w:spacing w:after="0"/>
              <w:rPr>
                <w:sz w:val="1"/>
                <w:szCs w:val="1"/>
                <w:color w:val="auto"/>
              </w:rPr>
            </w:pPr>
          </w:p>
        </w:tc>
      </w:tr>
      <w:tr>
        <w:trPr>
          <w:trHeight w:val="1418"/>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9"/>
              </w:rPr>
              <w:t>September 27, 2018</w:t>
            </w:r>
          </w:p>
        </w:tc>
        <w:tc>
          <w:tcPr>
            <w:tcW w:w="0" w:type="dxa"/>
            <w:vAlign w:val="bottom"/>
          </w:tcPr>
          <w:p>
            <w:pPr>
              <w:spacing w:after="0"/>
              <w:rPr>
                <w:sz w:val="1"/>
                <w:szCs w:val="1"/>
                <w:color w:val="auto"/>
              </w:rPr>
            </w:pPr>
          </w:p>
        </w:tc>
      </w:tr>
      <w:tr>
        <w:trPr>
          <w:trHeight w:val="1013"/>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00" w:type="dxa"/>
            <w:vAlign w:val="bottom"/>
          </w:tcPr>
          <w:p>
            <w:pPr>
              <w:jc w:val="center"/>
              <w:ind w:left="120"/>
              <w:spacing w:after="0"/>
              <w:rPr>
                <w:sz w:val="20"/>
                <w:szCs w:val="20"/>
                <w:color w:val="auto"/>
              </w:rPr>
            </w:pPr>
            <w:r>
              <w:rPr>
                <w:rFonts w:ascii="Arial" w:cs="Arial" w:eastAsia="Arial" w:hAnsi="Arial"/>
                <w:sz w:val="16"/>
                <w:szCs w:val="16"/>
                <w:color w:val="auto"/>
                <w:w w:val="89"/>
              </w:rPr>
              <w:t>September 27, 2018</w:t>
            </w:r>
          </w:p>
        </w:tc>
        <w:tc>
          <w:tcPr>
            <w:tcW w:w="0" w:type="dxa"/>
            <w:vAlign w:val="bottom"/>
          </w:tcPr>
          <w:p>
            <w:pPr>
              <w:spacing w:after="0"/>
              <w:rPr>
                <w:sz w:val="1"/>
                <w:szCs w:val="1"/>
                <w:color w:val="auto"/>
              </w:rPr>
            </w:pPr>
          </w:p>
        </w:tc>
      </w:tr>
      <w:tr>
        <w:trPr>
          <w:trHeight w:val="810"/>
        </w:trPr>
        <w:tc>
          <w:tcPr>
            <w:tcW w:w="56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00" w:type="dxa"/>
            <w:vAlign w:val="bottom"/>
          </w:tcPr>
          <w:p>
            <w:pPr>
              <w:jc w:val="center"/>
              <w:ind w:left="140"/>
              <w:spacing w:after="0"/>
              <w:rPr>
                <w:sz w:val="20"/>
                <w:szCs w:val="20"/>
                <w:color w:val="auto"/>
              </w:rPr>
            </w:pPr>
            <w:r>
              <w:rPr>
                <w:rFonts w:ascii="Arial" w:cs="Arial" w:eastAsia="Arial" w:hAnsi="Arial"/>
                <w:sz w:val="16"/>
                <w:szCs w:val="16"/>
                <w:color w:val="auto"/>
                <w:w w:val="90"/>
              </w:rPr>
              <w:t>October 9, 2018</w:t>
            </w:r>
          </w:p>
        </w:tc>
        <w:tc>
          <w:tcPr>
            <w:tcW w:w="0" w:type="dxa"/>
            <w:vAlign w:val="bottom"/>
          </w:tcPr>
          <w:p>
            <w:pPr>
              <w:spacing w:after="0"/>
              <w:rPr>
                <w:sz w:val="1"/>
                <w:szCs w:val="1"/>
                <w:color w:val="auto"/>
              </w:rPr>
            </w:pPr>
          </w:p>
        </w:tc>
      </w:tr>
    </w:tbl>
    <w:p>
      <w:pPr>
        <w:sectPr>
          <w:pgSz w:w="11900" w:h="16838" w:orient="portrait"/>
          <w:cols w:equalWidth="0" w:num="2">
            <w:col w:w="4620" w:space="300"/>
            <w:col w:w="4119"/>
          </w:cols>
          <w:pgMar w:left="1420" w:top="125" w:right="1440"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17" w:lineRule="exact"/>
        <w:rPr>
          <w:sz w:val="20"/>
          <w:szCs w:val="20"/>
          <w:color w:val="auto"/>
        </w:rPr>
      </w:pPr>
    </w:p>
    <w:p>
      <w:pPr>
        <w:ind w:left="1060" w:right="220" w:hanging="674"/>
        <w:spacing w:after="0" w:line="293"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10.34.1</w:t>
      </w:r>
      <w:r>
        <w:rPr>
          <w:sz w:val="20"/>
          <w:szCs w:val="20"/>
          <w:color w:val="auto"/>
        </w:rPr>
        <w:tab/>
      </w:r>
      <w:hyperlink r:id="rId181">
        <w:r>
          <w:rPr>
            <w:rFonts w:ascii="Arial" w:cs="Arial" w:eastAsia="Arial" w:hAnsi="Arial"/>
            <w:sz w:val="15"/>
            <w:szCs w:val="15"/>
            <w:u w:val="single" w:color="auto"/>
            <w:color w:val="0000EE"/>
          </w:rPr>
          <w:t>Conditions Governing Facilities Granted by and</w:t>
        </w:r>
      </w:hyperlink>
      <w:r>
        <w:rPr>
          <w:rFonts w:ascii="Arial" w:cs="Arial" w:eastAsia="Arial" w:hAnsi="Arial"/>
          <w:sz w:val="15"/>
          <w:szCs w:val="15"/>
          <w:u w:val="single" w:color="auto"/>
          <w:color w:val="0000EE"/>
        </w:rPr>
        <w:t xml:space="preserve"> </w:t>
      </w:r>
      <w:hyperlink r:id="rId181">
        <w:r>
          <w:rPr>
            <w:rFonts w:ascii="Arial" w:cs="Arial" w:eastAsia="Arial" w:hAnsi="Arial"/>
            <w:sz w:val="15"/>
            <w:szCs w:val="15"/>
            <w:u w:val="single" w:color="auto"/>
            <w:color w:val="0000EE"/>
          </w:rPr>
          <w:t>Transactions Entered into with DBS Bank (Taiwan)</w:t>
        </w:r>
      </w:hyperlink>
      <w:r>
        <w:rPr>
          <w:rFonts w:ascii="Arial" w:cs="Arial" w:eastAsia="Arial" w:hAnsi="Arial"/>
          <w:sz w:val="15"/>
          <w:szCs w:val="15"/>
          <w:u w:val="single" w:color="auto"/>
          <w:color w:val="0000EE"/>
        </w:rPr>
        <w:t xml:space="preserve"> </w:t>
      </w:r>
      <w:hyperlink r:id="rId181">
        <w:r>
          <w:rPr>
            <w:rFonts w:ascii="Arial" w:cs="Arial" w:eastAsia="Arial" w:hAnsi="Arial"/>
            <w:sz w:val="15"/>
            <w:szCs w:val="15"/>
            <w:u w:val="single" w:color="auto"/>
            <w:color w:val="0000EE"/>
          </w:rPr>
          <w:t>Ltd., dated October 3, 2018, between Prime World</w:t>
        </w:r>
      </w:hyperlink>
      <w:r>
        <w:rPr>
          <w:rFonts w:ascii="Arial" w:cs="Arial" w:eastAsia="Arial" w:hAnsi="Arial"/>
          <w:sz w:val="15"/>
          <w:szCs w:val="15"/>
          <w:u w:val="single" w:color="auto"/>
          <w:color w:val="0000EE"/>
        </w:rPr>
        <w:t xml:space="preserve"> </w:t>
      </w:r>
      <w:hyperlink r:id="rId181">
        <w:r>
          <w:rPr>
            <w:rFonts w:ascii="Arial" w:cs="Arial" w:eastAsia="Arial" w:hAnsi="Arial"/>
            <w:sz w:val="15"/>
            <w:szCs w:val="15"/>
            <w:u w:val="single" w:color="auto"/>
            <w:color w:val="0000EE"/>
          </w:rPr>
          <w:t>International Holdings Ltd. and the Development</w:t>
        </w:r>
      </w:hyperlink>
      <w:r>
        <w:rPr>
          <w:rFonts w:ascii="Arial" w:cs="Arial" w:eastAsia="Arial" w:hAnsi="Arial"/>
          <w:sz w:val="15"/>
          <w:szCs w:val="15"/>
          <w:u w:val="single" w:color="auto"/>
          <w:color w:val="0000EE"/>
        </w:rPr>
        <w:t xml:space="preserve"> </w:t>
      </w:r>
      <w:hyperlink r:id="rId181">
        <w:r>
          <w:rPr>
            <w:rFonts w:ascii="Arial" w:cs="Arial" w:eastAsia="Arial" w:hAnsi="Arial"/>
            <w:sz w:val="15"/>
            <w:szCs w:val="15"/>
            <w:u w:val="single" w:color="auto"/>
            <w:color w:val="0000EE"/>
          </w:rPr>
          <w:t>Bank of Singapore (Taiwan) Ltd.</w:t>
        </w:r>
      </w:hyperlink>
    </w:p>
    <w:p>
      <w:pPr>
        <w:spacing w:after="0" w:line="163" w:lineRule="exact"/>
        <w:rPr>
          <w:rFonts w:ascii="Arial" w:cs="Arial" w:eastAsia="Arial" w:hAnsi="Arial"/>
          <w:sz w:val="15"/>
          <w:szCs w:val="15"/>
          <w:u w:val="single" w:color="auto"/>
          <w:color w:val="0000EE"/>
        </w:rPr>
      </w:pPr>
    </w:p>
    <w:p>
      <w:pPr>
        <w:ind w:left="1060" w:right="40" w:hanging="553"/>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10.35</w:t>
      </w:r>
      <w:r>
        <w:rPr>
          <w:sz w:val="20"/>
          <w:szCs w:val="20"/>
          <w:color w:val="auto"/>
        </w:rPr>
        <w:tab/>
      </w:r>
      <w:hyperlink r:id="rId182">
        <w:r>
          <w:rPr>
            <w:rFonts w:ascii="Arial" w:cs="Arial" w:eastAsia="Arial" w:hAnsi="Arial"/>
            <w:sz w:val="16"/>
            <w:szCs w:val="16"/>
            <w:u w:val="single" w:color="auto"/>
            <w:color w:val="0000EE"/>
          </w:rPr>
          <w:t>First Amendment to Lease, dated October 8, 2018,</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between Applied Optoelectronics, Inc. and GIG VAOI</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Breckinridge, LLC.</w:t>
        </w:r>
      </w:hyperlink>
    </w:p>
    <w:p>
      <w:pPr>
        <w:spacing w:after="0" w:line="171" w:lineRule="exact"/>
        <w:rPr>
          <w:rFonts w:ascii="Arial" w:cs="Arial" w:eastAsia="Arial" w:hAnsi="Arial"/>
          <w:sz w:val="16"/>
          <w:szCs w:val="16"/>
          <w:u w:val="single" w:color="auto"/>
          <w:color w:val="0000EE"/>
        </w:rPr>
      </w:pPr>
    </w:p>
    <w:p>
      <w:pPr>
        <w:ind w:left="1060" w:right="240" w:hanging="553"/>
        <w:spacing w:after="0" w:line="297" w:lineRule="auto"/>
        <w:tabs>
          <w:tab w:leader="none" w:pos="1040" w:val="left"/>
        </w:tabs>
        <w:rPr>
          <w:rFonts w:ascii="Arial" w:cs="Arial" w:eastAsia="Arial" w:hAnsi="Arial"/>
          <w:sz w:val="15"/>
          <w:szCs w:val="15"/>
          <w:u w:val="single" w:color="auto"/>
          <w:color w:val="0000EE"/>
        </w:rPr>
      </w:pPr>
      <w:r>
        <w:rPr>
          <w:rFonts w:ascii="Arial" w:cs="Arial" w:eastAsia="Arial" w:hAnsi="Arial"/>
          <w:sz w:val="16"/>
          <w:szCs w:val="16"/>
          <w:color w:val="auto"/>
        </w:rPr>
        <w:t>10.36</w:t>
      </w:r>
      <w:r>
        <w:rPr>
          <w:sz w:val="20"/>
          <w:szCs w:val="20"/>
          <w:color w:val="auto"/>
        </w:rPr>
        <w:tab/>
      </w:r>
      <w:hyperlink r:id="rId183">
        <w:r>
          <w:rPr>
            <w:rFonts w:ascii="Arial" w:cs="Arial" w:eastAsia="Arial" w:hAnsi="Arial"/>
            <w:sz w:val="15"/>
            <w:szCs w:val="15"/>
            <w:u w:val="single" w:color="auto"/>
            <w:color w:val="0000EE"/>
          </w:rPr>
          <w:t>Translation of Purchase and Sale Contract, Finance</w:t>
        </w:r>
      </w:hyperlink>
      <w:r>
        <w:rPr>
          <w:rFonts w:ascii="Arial" w:cs="Arial" w:eastAsia="Arial" w:hAnsi="Arial"/>
          <w:sz w:val="15"/>
          <w:szCs w:val="15"/>
          <w:u w:val="single" w:color="auto"/>
          <w:color w:val="0000EE"/>
        </w:rPr>
        <w:t xml:space="preserve"> </w:t>
      </w:r>
      <w:hyperlink r:id="rId183">
        <w:r>
          <w:rPr>
            <w:rFonts w:ascii="Arial" w:cs="Arial" w:eastAsia="Arial" w:hAnsi="Arial"/>
            <w:sz w:val="15"/>
            <w:szCs w:val="15"/>
            <w:u w:val="single" w:color="auto"/>
            <w:color w:val="0000EE"/>
          </w:rPr>
          <w:t>Lease Agreement and Promissory Note between,</w:t>
        </w:r>
      </w:hyperlink>
      <w:r>
        <w:rPr>
          <w:rFonts w:ascii="Arial" w:cs="Arial" w:eastAsia="Arial" w:hAnsi="Arial"/>
          <w:sz w:val="15"/>
          <w:szCs w:val="15"/>
          <w:u w:val="single" w:color="auto"/>
          <w:color w:val="0000EE"/>
        </w:rPr>
        <w:t xml:space="preserve"> </w:t>
      </w:r>
      <w:hyperlink r:id="rId183">
        <w:r>
          <w:rPr>
            <w:rFonts w:ascii="Arial" w:cs="Arial" w:eastAsia="Arial" w:hAnsi="Arial"/>
            <w:sz w:val="15"/>
            <w:szCs w:val="15"/>
            <w:u w:val="single" w:color="auto"/>
            <w:color w:val="0000EE"/>
          </w:rPr>
          <w:t>Prime World International Holdings, Ltd., and</w:t>
        </w:r>
      </w:hyperlink>
      <w:r>
        <w:rPr>
          <w:rFonts w:ascii="Arial" w:cs="Arial" w:eastAsia="Arial" w:hAnsi="Arial"/>
          <w:sz w:val="15"/>
          <w:szCs w:val="15"/>
          <w:u w:val="single" w:color="auto"/>
          <w:color w:val="0000EE"/>
        </w:rPr>
        <w:t xml:space="preserve"> </w:t>
      </w:r>
      <w:hyperlink r:id="rId183">
        <w:r>
          <w:rPr>
            <w:rFonts w:ascii="Arial" w:cs="Arial" w:eastAsia="Arial" w:hAnsi="Arial"/>
            <w:sz w:val="15"/>
            <w:szCs w:val="15"/>
            <w:u w:val="single" w:color="auto"/>
            <w:color w:val="0000EE"/>
          </w:rPr>
          <w:t>Chailease Finance Co., Ltd.</w:t>
        </w:r>
      </w:hyperlink>
    </w:p>
    <w:p>
      <w:pPr>
        <w:spacing w:after="0" w:line="159" w:lineRule="exact"/>
        <w:rPr>
          <w:rFonts w:ascii="Arial" w:cs="Arial" w:eastAsia="Arial" w:hAnsi="Arial"/>
          <w:sz w:val="15"/>
          <w:szCs w:val="15"/>
          <w:u w:val="single" w:color="auto"/>
          <w:color w:val="0000EE"/>
        </w:rPr>
      </w:pPr>
    </w:p>
    <w:p>
      <w:pPr>
        <w:jc w:val="center"/>
        <w:ind w:left="420"/>
        <w:spacing w:after="0"/>
        <w:tabs>
          <w:tab w:leader="none" w:pos="180" w:val="left"/>
        </w:tabs>
        <w:rPr>
          <w:rFonts w:ascii="Arial" w:cs="Arial" w:eastAsia="Arial" w:hAnsi="Arial"/>
          <w:sz w:val="15"/>
          <w:szCs w:val="15"/>
          <w:u w:val="single" w:color="auto"/>
          <w:color w:val="0000EE"/>
        </w:rPr>
      </w:pPr>
      <w:r>
        <w:rPr>
          <w:rFonts w:ascii="Arial" w:cs="Arial" w:eastAsia="Arial" w:hAnsi="Arial"/>
          <w:sz w:val="16"/>
          <w:szCs w:val="16"/>
          <w:color w:val="auto"/>
        </w:rPr>
        <w:t>10.37</w:t>
      </w:r>
      <w:r>
        <w:rPr>
          <w:sz w:val="20"/>
          <w:szCs w:val="20"/>
          <w:color w:val="auto"/>
        </w:rPr>
        <w:tab/>
      </w:r>
      <w:hyperlink r:id="rId184">
        <w:r>
          <w:rPr>
            <w:rFonts w:ascii="Arial" w:cs="Arial" w:eastAsia="Arial" w:hAnsi="Arial"/>
            <w:sz w:val="15"/>
            <w:szCs w:val="15"/>
            <w:u w:val="single" w:color="auto"/>
            <w:color w:val="0000EE"/>
          </w:rPr>
          <w:t>Translation of Agreement for Individually Negotiated</w:t>
        </w:r>
      </w:hyperlink>
    </w:p>
    <w:p>
      <w:pPr>
        <w:spacing w:after="0" w:line="22" w:lineRule="exact"/>
        <w:rPr>
          <w:rFonts w:ascii="Arial" w:cs="Arial" w:eastAsia="Arial" w:hAnsi="Arial"/>
          <w:sz w:val="15"/>
          <w:szCs w:val="15"/>
          <w:u w:val="single" w:color="auto"/>
          <w:color w:val="0000EE"/>
        </w:rPr>
      </w:pPr>
    </w:p>
    <w:p>
      <w:pPr>
        <w:ind w:left="1060" w:right="240"/>
        <w:spacing w:after="0" w:line="323" w:lineRule="auto"/>
        <w:rPr>
          <w:rFonts w:ascii="Arial" w:cs="Arial" w:eastAsia="Arial" w:hAnsi="Arial"/>
          <w:sz w:val="15"/>
          <w:szCs w:val="15"/>
          <w:u w:val="single" w:color="auto"/>
          <w:color w:val="0000EE"/>
        </w:rPr>
      </w:pPr>
      <w:hyperlink r:id="rId184">
        <w:r>
          <w:rPr>
            <w:rFonts w:ascii="Arial" w:cs="Arial" w:eastAsia="Arial" w:hAnsi="Arial"/>
            <w:sz w:val="15"/>
            <w:szCs w:val="15"/>
            <w:u w:val="single" w:color="auto"/>
            <w:color w:val="0000EE"/>
          </w:rPr>
          <w:t>Terms and Conditions between, Prime World</w:t>
        </w:r>
      </w:hyperlink>
      <w:r>
        <w:rPr>
          <w:rFonts w:ascii="Arial" w:cs="Arial" w:eastAsia="Arial" w:hAnsi="Arial"/>
          <w:sz w:val="15"/>
          <w:szCs w:val="15"/>
          <w:u w:val="single" w:color="auto"/>
          <w:color w:val="0000EE"/>
        </w:rPr>
        <w:t xml:space="preserve"> </w:t>
      </w:r>
      <w:hyperlink r:id="rId184">
        <w:r>
          <w:rPr>
            <w:rFonts w:ascii="Arial" w:cs="Arial" w:eastAsia="Arial" w:hAnsi="Arial"/>
            <w:sz w:val="15"/>
            <w:szCs w:val="15"/>
            <w:u w:val="single" w:color="auto"/>
            <w:color w:val="0000EE"/>
          </w:rPr>
          <w:t>International Holdings, Ltd., and CTBC Bank, Ltd.</w:t>
        </w:r>
      </w:hyperlink>
    </w:p>
    <w:p>
      <w:pPr>
        <w:spacing w:after="0" w:line="140" w:lineRule="exact"/>
        <w:rPr>
          <w:sz w:val="20"/>
          <w:szCs w:val="20"/>
          <w:color w:val="auto"/>
        </w:rPr>
      </w:pPr>
    </w:p>
    <w:p>
      <w:pPr>
        <w:ind w:left="1060" w:right="40" w:hanging="674"/>
        <w:spacing w:after="0" w:line="369"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10.37.1</w:t>
      </w:r>
      <w:r>
        <w:rPr>
          <w:sz w:val="20"/>
          <w:szCs w:val="20"/>
          <w:color w:val="auto"/>
        </w:rPr>
        <w:tab/>
      </w:r>
      <w:hyperlink r:id="rId185">
        <w:r>
          <w:rPr>
            <w:rFonts w:ascii="Arial" w:cs="Arial" w:eastAsia="Arial" w:hAnsi="Arial"/>
            <w:sz w:val="14"/>
            <w:szCs w:val="14"/>
            <w:u w:val="single" w:color="auto"/>
            <w:color w:val="0000EE"/>
          </w:rPr>
          <w:t>Translation of Approval Notice between, Prime World</w:t>
        </w:r>
      </w:hyperlink>
      <w:r>
        <w:rPr>
          <w:rFonts w:ascii="Arial" w:cs="Arial" w:eastAsia="Arial" w:hAnsi="Arial"/>
          <w:sz w:val="14"/>
          <w:szCs w:val="14"/>
          <w:u w:val="single" w:color="auto"/>
          <w:color w:val="0000EE"/>
        </w:rPr>
        <w:t xml:space="preserve"> </w:t>
      </w:r>
      <w:hyperlink r:id="rId185">
        <w:r>
          <w:rPr>
            <w:rFonts w:ascii="Arial" w:cs="Arial" w:eastAsia="Arial" w:hAnsi="Arial"/>
            <w:sz w:val="14"/>
            <w:szCs w:val="14"/>
            <w:u w:val="single" w:color="auto"/>
            <w:color w:val="0000EE"/>
          </w:rPr>
          <w:t>International Holdings, Ltd., and CTBC Bank, Ltd.</w:t>
        </w:r>
      </w:hyperlink>
    </w:p>
    <w:p>
      <w:pPr>
        <w:spacing w:after="0" w:line="113" w:lineRule="exact"/>
        <w:rPr>
          <w:sz w:val="20"/>
          <w:szCs w:val="20"/>
          <w:color w:val="auto"/>
        </w:rPr>
      </w:pPr>
    </w:p>
    <w:p>
      <w:pPr>
        <w:ind w:left="1060" w:right="40" w:hanging="674"/>
        <w:spacing w:after="0" w:line="278"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10.37.2</w:t>
      </w:r>
      <w:r>
        <w:rPr>
          <w:sz w:val="20"/>
          <w:szCs w:val="20"/>
          <w:color w:val="auto"/>
        </w:rPr>
        <w:tab/>
      </w:r>
      <w:hyperlink r:id="rId186">
        <w:r>
          <w:rPr>
            <w:rFonts w:ascii="Arial" w:cs="Arial" w:eastAsia="Arial" w:hAnsi="Arial"/>
            <w:sz w:val="16"/>
            <w:szCs w:val="16"/>
            <w:u w:val="single" w:color="auto"/>
            <w:color w:val="0000EE"/>
          </w:rPr>
          <w:t>Translation of General Agreement for Omnibus Credit</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Lines between, Prime World International Holdings,</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Ltd., and CTBC Bank, Ltd.</w:t>
        </w:r>
      </w:hyperlink>
    </w:p>
    <w:p>
      <w:pPr>
        <w:spacing w:after="0" w:line="184" w:lineRule="exact"/>
        <w:rPr>
          <w:rFonts w:ascii="Arial" w:cs="Arial" w:eastAsia="Arial" w:hAnsi="Arial"/>
          <w:sz w:val="16"/>
          <w:szCs w:val="16"/>
          <w:u w:val="single" w:color="auto"/>
          <w:color w:val="0000EE"/>
        </w:rPr>
      </w:pPr>
    </w:p>
    <w:p>
      <w:pPr>
        <w:ind w:left="1060" w:right="40" w:hanging="674"/>
        <w:spacing w:after="0" w:line="369" w:lineRule="auto"/>
        <w:tabs>
          <w:tab w:leader="none" w:pos="1040" w:val="left"/>
        </w:tabs>
        <w:rPr>
          <w:rFonts w:ascii="Arial" w:cs="Arial" w:eastAsia="Arial" w:hAnsi="Arial"/>
          <w:sz w:val="14"/>
          <w:szCs w:val="14"/>
          <w:color w:val="0000EE"/>
        </w:rPr>
      </w:pPr>
      <w:r>
        <w:rPr>
          <w:rFonts w:ascii="Arial" w:cs="Arial" w:eastAsia="Arial" w:hAnsi="Arial"/>
          <w:sz w:val="16"/>
          <w:szCs w:val="16"/>
          <w:color w:val="auto"/>
        </w:rPr>
        <w:t>10.37.3</w:t>
      </w:r>
      <w:r>
        <w:rPr>
          <w:sz w:val="20"/>
          <w:szCs w:val="20"/>
          <w:color w:val="auto"/>
        </w:rPr>
        <w:tab/>
      </w:r>
      <w:hyperlink r:id="rId187">
        <w:r>
          <w:rPr>
            <w:rFonts w:ascii="Arial" w:cs="Arial" w:eastAsia="Arial" w:hAnsi="Arial"/>
            <w:sz w:val="14"/>
            <w:szCs w:val="14"/>
            <w:u w:val="single" w:color="auto"/>
            <w:color w:val="0000EE"/>
          </w:rPr>
          <w:t>Translation of Promissory Note between, Prime World</w:t>
        </w:r>
      </w:hyperlink>
      <w:r>
        <w:rPr>
          <w:rFonts w:ascii="Arial" w:cs="Arial" w:eastAsia="Arial" w:hAnsi="Arial"/>
          <w:sz w:val="14"/>
          <w:szCs w:val="14"/>
          <w:u w:val="single" w:color="auto"/>
          <w:color w:val="0000EE"/>
        </w:rPr>
        <w:t xml:space="preserve"> </w:t>
      </w:r>
      <w:hyperlink r:id="rId187">
        <w:r>
          <w:rPr>
            <w:rFonts w:ascii="Arial" w:cs="Arial" w:eastAsia="Arial" w:hAnsi="Arial"/>
            <w:sz w:val="14"/>
            <w:szCs w:val="14"/>
            <w:u w:val="single" w:color="auto"/>
            <w:color w:val="0000EE"/>
          </w:rPr>
          <w:t>International Holdings, Ltd., and CTBC Bank, Ltd</w:t>
        </w:r>
        <w:r>
          <w:rPr>
            <w:rFonts w:ascii="Arial" w:cs="Arial" w:eastAsia="Arial" w:hAnsi="Arial"/>
            <w:sz w:val="14"/>
            <w:szCs w:val="14"/>
            <w:color w:val="000000"/>
          </w:rPr>
          <w:t>.</w:t>
        </w:r>
      </w:hyperlink>
    </w:p>
    <w:p>
      <w:pPr>
        <w:spacing w:after="0" w:line="113" w:lineRule="exact"/>
        <w:rPr>
          <w:sz w:val="20"/>
          <w:szCs w:val="20"/>
          <w:color w:val="auto"/>
        </w:rPr>
      </w:pPr>
    </w:p>
    <w:p>
      <w:pPr>
        <w:ind w:left="1060" w:right="240" w:hanging="553"/>
        <w:spacing w:after="0" w:line="273" w:lineRule="auto"/>
        <w:tabs>
          <w:tab w:leader="none" w:pos="1040" w:val="left"/>
        </w:tabs>
        <w:rPr>
          <w:rFonts w:ascii="Arial" w:cs="Arial" w:eastAsia="Arial" w:hAnsi="Arial"/>
          <w:sz w:val="16"/>
          <w:szCs w:val="16"/>
          <w:u w:val="single" w:color="auto"/>
          <w:color w:val="0000EE"/>
        </w:rPr>
      </w:pPr>
      <w:r>
        <w:rPr>
          <w:rFonts w:ascii="Arial" w:cs="Arial" w:eastAsia="Arial" w:hAnsi="Arial"/>
          <w:sz w:val="16"/>
          <w:szCs w:val="16"/>
          <w:color w:val="auto"/>
        </w:rPr>
        <w:t>10.38</w:t>
      </w:r>
      <w:r>
        <w:rPr>
          <w:sz w:val="20"/>
          <w:szCs w:val="20"/>
          <w:color w:val="auto"/>
        </w:rPr>
        <w:tab/>
      </w:r>
      <w:hyperlink r:id="rId188">
        <w:r>
          <w:rPr>
            <w:rFonts w:ascii="Arial" w:cs="Arial" w:eastAsia="Arial" w:hAnsi="Arial"/>
            <w:sz w:val="16"/>
            <w:szCs w:val="16"/>
            <w:u w:val="single" w:color="auto"/>
            <w:color w:val="0000EE"/>
          </w:rPr>
          <w:t>Translation of Purchase and Sale Contract, Finance</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Lease Agreement and Promissory Note between,</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Prime World International Holdings, Ltd. and</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Chailease Finance Co., Ltd.</w:t>
        </w:r>
      </w:hyperlink>
    </w:p>
    <w:p>
      <w:pPr>
        <w:spacing w:after="0" w:line="176" w:lineRule="exact"/>
        <w:rPr>
          <w:rFonts w:ascii="Arial" w:cs="Arial" w:eastAsia="Arial" w:hAnsi="Arial"/>
          <w:sz w:val="16"/>
          <w:szCs w:val="16"/>
          <w:u w:val="single" w:color="auto"/>
          <w:color w:val="0000EE"/>
        </w:rPr>
      </w:pPr>
    </w:p>
    <w:p>
      <w:pPr>
        <w:ind w:left="1060" w:right="160" w:hanging="553"/>
        <w:spacing w:after="0" w:line="335" w:lineRule="auto"/>
        <w:tabs>
          <w:tab w:leader="none" w:pos="1040" w:val="left"/>
        </w:tabs>
        <w:rPr>
          <w:rFonts w:ascii="Arial" w:cs="Arial" w:eastAsia="Arial" w:hAnsi="Arial"/>
          <w:sz w:val="14"/>
          <w:szCs w:val="14"/>
          <w:u w:val="single" w:color="auto"/>
          <w:color w:val="0000EE"/>
        </w:rPr>
      </w:pPr>
      <w:r>
        <w:rPr>
          <w:rFonts w:ascii="Arial" w:cs="Arial" w:eastAsia="Arial" w:hAnsi="Arial"/>
          <w:sz w:val="16"/>
          <w:szCs w:val="16"/>
          <w:color w:val="auto"/>
        </w:rPr>
        <w:t>10.39</w:t>
      </w:r>
      <w:r>
        <w:rPr>
          <w:sz w:val="20"/>
          <w:szCs w:val="20"/>
          <w:color w:val="auto"/>
        </w:rPr>
        <w:tab/>
      </w:r>
      <w:hyperlink r:id="rId189">
        <w:r>
          <w:rPr>
            <w:rFonts w:ascii="Arial" w:cs="Arial" w:eastAsia="Arial" w:hAnsi="Arial"/>
            <w:sz w:val="14"/>
            <w:szCs w:val="14"/>
            <w:u w:val="single" w:color="auto"/>
            <w:color w:val="0000EE"/>
          </w:rPr>
          <w:t>Second Amendment to Loan Agreement, dated</w:t>
        </w:r>
      </w:hyperlink>
      <w:r>
        <w:rPr>
          <w:rFonts w:ascii="Arial" w:cs="Arial" w:eastAsia="Arial" w:hAnsi="Arial"/>
          <w:sz w:val="14"/>
          <w:szCs w:val="14"/>
          <w:u w:val="single" w:color="auto"/>
          <w:color w:val="0000EE"/>
        </w:rPr>
        <w:t xml:space="preserve"> </w:t>
      </w:r>
      <w:hyperlink r:id="rId189">
        <w:r>
          <w:rPr>
            <w:rFonts w:ascii="Arial" w:cs="Arial" w:eastAsia="Arial" w:hAnsi="Arial"/>
            <w:sz w:val="14"/>
            <w:szCs w:val="14"/>
            <w:u w:val="single" w:color="auto"/>
            <w:color w:val="0000EE"/>
          </w:rPr>
          <w:t>February 1, 2019, between Applied Optoelectronics,</w:t>
        </w:r>
      </w:hyperlink>
      <w:r>
        <w:rPr>
          <w:rFonts w:ascii="Arial" w:cs="Arial" w:eastAsia="Arial" w:hAnsi="Arial"/>
          <w:sz w:val="14"/>
          <w:szCs w:val="14"/>
          <w:u w:val="single" w:color="auto"/>
          <w:color w:val="0000EE"/>
        </w:rPr>
        <w:t xml:space="preserve"> </w:t>
      </w:r>
      <w:hyperlink r:id="rId189">
        <w:r>
          <w:rPr>
            <w:rFonts w:ascii="Arial" w:cs="Arial" w:eastAsia="Arial" w:hAnsi="Arial"/>
            <w:sz w:val="14"/>
            <w:szCs w:val="14"/>
            <w:u w:val="single" w:color="auto"/>
            <w:color w:val="0000EE"/>
          </w:rPr>
          <w:t>Inc. and Branch Banking and Trust Company</w:t>
        </w:r>
      </w:hyperlink>
    </w:p>
    <w:p>
      <w:pPr>
        <w:spacing w:after="0" w:line="150" w:lineRule="exact"/>
        <w:rPr>
          <w:rFonts w:ascii="Arial" w:cs="Arial" w:eastAsia="Arial" w:hAnsi="Arial"/>
          <w:sz w:val="14"/>
          <w:szCs w:val="14"/>
          <w:u w:val="single" w:color="auto"/>
          <w:color w:val="0000EE"/>
        </w:rPr>
      </w:pPr>
    </w:p>
    <w:p>
      <w:pPr>
        <w:ind w:left="580"/>
        <w:spacing w:after="0"/>
        <w:rPr>
          <w:rFonts w:ascii="Arial" w:cs="Arial" w:eastAsia="Arial" w:hAnsi="Arial"/>
          <w:sz w:val="16"/>
          <w:szCs w:val="16"/>
          <w:color w:val="auto"/>
        </w:rPr>
      </w:pPr>
      <w:r>
        <w:rPr>
          <w:rFonts w:ascii="Arial" w:cs="Arial" w:eastAsia="Arial" w:hAnsi="Arial"/>
          <w:sz w:val="16"/>
          <w:szCs w:val="16"/>
          <w:color w:val="auto"/>
        </w:rPr>
        <w:t xml:space="preserve">23.1*  </w:t>
      </w:r>
      <w:hyperlink w:anchor="page107">
        <w:r>
          <w:rPr>
            <w:rFonts w:ascii="Arial" w:cs="Arial" w:eastAsia="Arial" w:hAnsi="Arial"/>
            <w:sz w:val="16"/>
            <w:szCs w:val="16"/>
            <w:u w:val="single" w:color="auto"/>
            <w:color w:val="0000EE"/>
          </w:rPr>
          <w:t>Consent of Grant Thornton LLP</w:t>
        </w:r>
      </w:hyperlink>
    </w:p>
    <w:p>
      <w:pPr>
        <w:spacing w:after="0" w:line="140" w:lineRule="exact"/>
        <w:rPr>
          <w:rFonts w:ascii="Arial" w:cs="Arial" w:eastAsia="Arial" w:hAnsi="Arial"/>
          <w:sz w:val="14"/>
          <w:szCs w:val="14"/>
          <w:u w:val="single" w:color="auto"/>
          <w:color w:val="0000EE"/>
        </w:rPr>
      </w:pPr>
    </w:p>
    <w:p>
      <w:pPr>
        <w:ind w:left="1060" w:right="400" w:hanging="472"/>
        <w:spacing w:after="0" w:line="293" w:lineRule="auto"/>
        <w:tabs>
          <w:tab w:leader="none" w:pos="1040" w:val="left"/>
        </w:tabs>
        <w:rPr>
          <w:sz w:val="20"/>
          <w:szCs w:val="20"/>
          <w:color w:val="auto"/>
        </w:rPr>
      </w:pPr>
      <w:r>
        <w:rPr>
          <w:rFonts w:ascii="Arial" w:cs="Arial" w:eastAsia="Arial" w:hAnsi="Arial"/>
          <w:sz w:val="16"/>
          <w:szCs w:val="16"/>
          <w:color w:val="auto"/>
        </w:rPr>
        <w:t>24.1</w:t>
        <w:tab/>
        <w:t>Power of Attorney (see the signature page in this Annual Report on Form 10-K).</w:t>
      </w:r>
    </w:p>
    <w:p>
      <w:pPr>
        <w:spacing w:after="0" w:line="77" w:lineRule="exact"/>
        <w:rPr>
          <w:rFonts w:ascii="Arial" w:cs="Arial" w:eastAsia="Arial" w:hAnsi="Arial"/>
          <w:sz w:val="14"/>
          <w:szCs w:val="14"/>
          <w:u w:val="single" w:color="auto"/>
          <w:color w:val="0000EE"/>
        </w:rPr>
      </w:pPr>
    </w:p>
    <w:p>
      <w:pPr>
        <w:ind w:left="1060" w:right="40" w:hanging="472"/>
        <w:spacing w:after="0" w:line="27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31.1* </w:t>
      </w:r>
      <w:hyperlink w:anchor="page108">
        <w:r>
          <w:rPr>
            <w:rFonts w:ascii="Arial" w:cs="Arial" w:eastAsia="Arial" w:hAnsi="Arial"/>
            <w:sz w:val="16"/>
            <w:szCs w:val="16"/>
            <w:u w:val="single" w:color="auto"/>
            <w:color w:val="0000EE"/>
          </w:rPr>
          <w:t>Certification of Principal Executive Officer Required</w:t>
        </w:r>
      </w:hyperlink>
      <w:r>
        <w:rPr>
          <w:rFonts w:ascii="Arial" w:cs="Arial" w:eastAsia="Arial" w:hAnsi="Arial"/>
          <w:sz w:val="16"/>
          <w:szCs w:val="16"/>
          <w:color w:val="auto"/>
        </w:rPr>
        <w:t xml:space="preserve"> </w:t>
      </w:r>
      <w:hyperlink w:anchor="page108">
        <w:r>
          <w:rPr>
            <w:rFonts w:ascii="Arial" w:cs="Arial" w:eastAsia="Arial" w:hAnsi="Arial"/>
            <w:sz w:val="16"/>
            <w:szCs w:val="16"/>
            <w:u w:val="single" w:color="auto"/>
            <w:color w:val="0000EE"/>
          </w:rPr>
          <w:t>Under Rule 13a-14(a) and 15d-14(a) of the Securities</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Exchange Act of 1934, as amended, as adopted</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pursuant to Section 302 of The Sarbanes-Oxley Act of</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2002.</w:t>
        </w:r>
      </w:hyperlink>
    </w:p>
    <w:p>
      <w:pPr>
        <w:spacing w:after="0" w:line="190" w:lineRule="exact"/>
        <w:rPr>
          <w:rFonts w:ascii="Arial" w:cs="Arial" w:eastAsia="Arial" w:hAnsi="Arial"/>
          <w:sz w:val="16"/>
          <w:szCs w:val="16"/>
          <w:u w:val="single" w:color="auto"/>
          <w:color w:val="0000EE"/>
        </w:rPr>
      </w:pPr>
    </w:p>
    <w:p>
      <w:pPr>
        <w:ind w:left="1060" w:right="40" w:hanging="472"/>
        <w:spacing w:after="0" w:line="27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31.2* </w:t>
      </w:r>
      <w:hyperlink w:anchor="page109">
        <w:r>
          <w:rPr>
            <w:rFonts w:ascii="Arial" w:cs="Arial" w:eastAsia="Arial" w:hAnsi="Arial"/>
            <w:sz w:val="16"/>
            <w:szCs w:val="16"/>
            <w:u w:val="single" w:color="auto"/>
            <w:color w:val="0000EE"/>
          </w:rPr>
          <w:t>Certification of Principal Financial Officer Required</w:t>
        </w:r>
      </w:hyperlink>
      <w:r>
        <w:rPr>
          <w:rFonts w:ascii="Arial" w:cs="Arial" w:eastAsia="Arial" w:hAnsi="Arial"/>
          <w:sz w:val="16"/>
          <w:szCs w:val="16"/>
          <w:color w:val="auto"/>
        </w:rPr>
        <w:t xml:space="preserve"> </w:t>
      </w:r>
      <w:hyperlink w:anchor="page109">
        <w:r>
          <w:rPr>
            <w:rFonts w:ascii="Arial" w:cs="Arial" w:eastAsia="Arial" w:hAnsi="Arial"/>
            <w:sz w:val="16"/>
            <w:szCs w:val="16"/>
            <w:u w:val="single" w:color="auto"/>
            <w:color w:val="0000EE"/>
          </w:rPr>
          <w:t>Under Rule 13a-14(a) and 15d-14(a) of the Securities</w:t>
        </w:r>
      </w:hyperlink>
      <w:r>
        <w:rPr>
          <w:rFonts w:ascii="Arial" w:cs="Arial" w:eastAsia="Arial" w:hAnsi="Arial"/>
          <w:sz w:val="16"/>
          <w:szCs w:val="16"/>
          <w:u w:val="single" w:color="auto"/>
          <w:color w:val="0000EE"/>
        </w:rPr>
        <w:t xml:space="preserve"> </w:t>
      </w:r>
      <w:hyperlink w:anchor="page109">
        <w:r>
          <w:rPr>
            <w:rFonts w:ascii="Arial" w:cs="Arial" w:eastAsia="Arial" w:hAnsi="Arial"/>
            <w:sz w:val="16"/>
            <w:szCs w:val="16"/>
            <w:u w:val="single" w:color="auto"/>
            <w:color w:val="0000EE"/>
          </w:rPr>
          <w:t>Exchange Act of 1934, as amended, as adopted</w:t>
        </w:r>
      </w:hyperlink>
      <w:r>
        <w:rPr>
          <w:rFonts w:ascii="Arial" w:cs="Arial" w:eastAsia="Arial" w:hAnsi="Arial"/>
          <w:sz w:val="16"/>
          <w:szCs w:val="16"/>
          <w:u w:val="single" w:color="auto"/>
          <w:color w:val="0000EE"/>
        </w:rPr>
        <w:t xml:space="preserve"> </w:t>
      </w:r>
      <w:hyperlink w:anchor="page109">
        <w:r>
          <w:rPr>
            <w:rFonts w:ascii="Arial" w:cs="Arial" w:eastAsia="Arial" w:hAnsi="Arial"/>
            <w:sz w:val="16"/>
            <w:szCs w:val="16"/>
            <w:u w:val="single" w:color="auto"/>
            <w:color w:val="0000EE"/>
          </w:rPr>
          <w:t>pursuant to Section 302 of The Sarbanes-Oxley Act of</w:t>
        </w:r>
      </w:hyperlink>
      <w:r>
        <w:rPr>
          <w:rFonts w:ascii="Arial" w:cs="Arial" w:eastAsia="Arial" w:hAnsi="Arial"/>
          <w:sz w:val="16"/>
          <w:szCs w:val="16"/>
          <w:u w:val="single" w:color="auto"/>
          <w:color w:val="0000EE"/>
        </w:rPr>
        <w:t xml:space="preserve"> </w:t>
      </w:r>
      <w:hyperlink w:anchor="page109">
        <w:r>
          <w:rPr>
            <w:rFonts w:ascii="Arial" w:cs="Arial" w:eastAsia="Arial" w:hAnsi="Arial"/>
            <w:sz w:val="16"/>
            <w:szCs w:val="16"/>
            <w:u w:val="single" w:color="auto"/>
            <w:color w:val="0000EE"/>
          </w:rPr>
          <w:t>2002.</w:t>
        </w:r>
      </w:hyperlink>
    </w:p>
    <w:p>
      <w:pPr>
        <w:spacing w:after="0" w:line="200" w:lineRule="exact"/>
        <w:rPr>
          <w:rFonts w:ascii="Arial" w:cs="Arial" w:eastAsia="Arial" w:hAnsi="Arial"/>
          <w:sz w:val="16"/>
          <w:szCs w:val="16"/>
          <w:u w:val="single" w:color="auto"/>
          <w:color w:val="0000EE"/>
        </w:rPr>
      </w:pPr>
    </w:p>
    <w:p>
      <w:pPr>
        <w:spacing w:after="0" w:line="202"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29"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Form</w:t>
            </w:r>
          </w:p>
        </w:tc>
        <w:tc>
          <w:tcPr>
            <w:tcW w:w="2280" w:type="dxa"/>
            <w:vAlign w:val="bottom"/>
            <w:gridSpan w:val="2"/>
          </w:tcPr>
          <w:p>
            <w:pPr>
              <w:ind w:left="620"/>
              <w:spacing w:after="0"/>
              <w:rPr>
                <w:sz w:val="20"/>
                <w:szCs w:val="20"/>
                <w:color w:val="auto"/>
              </w:rPr>
            </w:pPr>
            <w:r>
              <w:rPr>
                <w:rFonts w:ascii="Arial" w:cs="Arial" w:eastAsia="Arial" w:hAnsi="Arial"/>
                <w:sz w:val="14"/>
                <w:szCs w:val="14"/>
                <w:b w:val="1"/>
                <w:bCs w:val="1"/>
                <w:color w:val="auto"/>
                <w:w w:val="91"/>
              </w:rPr>
              <w:t>Incorporated By Reference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160" w:type="dxa"/>
            <w:vAlign w:val="bottom"/>
          </w:tcPr>
          <w:p>
            <w:pPr>
              <w:jc w:val="center"/>
              <w:ind w:right="263"/>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60" w:type="dxa"/>
            <w:vAlign w:val="bottom"/>
          </w:tcPr>
          <w:p>
            <w:pPr>
              <w:jc w:val="center"/>
              <w:ind w:right="123"/>
              <w:spacing w:after="0"/>
              <w:rPr>
                <w:sz w:val="20"/>
                <w:szCs w:val="20"/>
                <w:color w:val="auto"/>
              </w:rPr>
            </w:pPr>
            <w:r>
              <w:rPr>
                <w:rFonts w:ascii="Arial" w:cs="Arial" w:eastAsia="Arial" w:hAnsi="Arial"/>
                <w:sz w:val="16"/>
                <w:szCs w:val="16"/>
                <w:color w:val="auto"/>
                <w:w w:val="96"/>
              </w:rPr>
              <w:t>8-K</w:t>
            </w:r>
          </w:p>
        </w:tc>
        <w:tc>
          <w:tcPr>
            <w:tcW w:w="1120" w:type="dxa"/>
            <w:vAlign w:val="bottom"/>
          </w:tcPr>
          <w:p>
            <w:pPr>
              <w:jc w:val="right"/>
              <w:ind w:right="125"/>
              <w:spacing w:after="0"/>
              <w:rPr>
                <w:sz w:val="20"/>
                <w:szCs w:val="20"/>
                <w:color w:val="auto"/>
              </w:rPr>
            </w:pPr>
            <w:r>
              <w:rPr>
                <w:rFonts w:ascii="Arial" w:cs="Arial" w:eastAsia="Arial" w:hAnsi="Arial"/>
                <w:sz w:val="16"/>
                <w:szCs w:val="16"/>
                <w:color w:val="auto"/>
              </w:rPr>
              <w:t>001-36083</w:t>
            </w:r>
          </w:p>
        </w:tc>
        <w:tc>
          <w:tcPr>
            <w:tcW w:w="1160" w:type="dxa"/>
            <w:vAlign w:val="bottom"/>
          </w:tcPr>
          <w:p>
            <w:pPr>
              <w:jc w:val="right"/>
              <w:ind w:right="523"/>
              <w:spacing w:after="0"/>
              <w:rPr>
                <w:sz w:val="20"/>
                <w:szCs w:val="20"/>
                <w:color w:val="auto"/>
              </w:rPr>
            </w:pPr>
            <w:r>
              <w:rPr>
                <w:rFonts w:ascii="Arial" w:cs="Arial" w:eastAsia="Arial" w:hAnsi="Arial"/>
                <w:sz w:val="16"/>
                <w:szCs w:val="16"/>
                <w:color w:val="auto"/>
              </w:rPr>
              <w:t>10.2</w:t>
            </w:r>
          </w:p>
        </w:tc>
        <w:tc>
          <w:tcPr>
            <w:tcW w:w="1060" w:type="dxa"/>
            <w:vAlign w:val="bottom"/>
          </w:tcPr>
          <w:p>
            <w:pPr>
              <w:jc w:val="center"/>
              <w:spacing w:after="0"/>
              <w:rPr>
                <w:sz w:val="20"/>
                <w:szCs w:val="20"/>
                <w:color w:val="auto"/>
              </w:rPr>
            </w:pPr>
            <w:r>
              <w:rPr>
                <w:rFonts w:ascii="Arial" w:cs="Arial" w:eastAsia="Arial" w:hAnsi="Arial"/>
                <w:sz w:val="16"/>
                <w:szCs w:val="16"/>
                <w:color w:val="auto"/>
                <w:w w:val="90"/>
              </w:rPr>
              <w:t>October 9, 2018</w:t>
            </w: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9" w:lineRule="exact"/>
        <w:rPr>
          <w:rFonts w:ascii="Arial" w:cs="Arial" w:eastAsia="Arial" w:hAnsi="Arial"/>
          <w:sz w:val="16"/>
          <w:szCs w:val="16"/>
          <w:u w:val="single" w:color="auto"/>
          <w:color w:val="0000EE"/>
        </w:rPr>
      </w:pPr>
    </w:p>
    <w:tbl>
      <w:tblPr>
        <w:tblLayout w:type="fixed"/>
        <w:tblInd w:w="60" w:type="dxa"/>
        <w:tblCellMar>
          <w:top w:w="0" w:type="dxa"/>
          <w:left w:w="0" w:type="dxa"/>
          <w:bottom w:w="0" w:type="dxa"/>
          <w:right w:w="0" w:type="dxa"/>
        </w:tblCellMar>
      </w:tblPr>
      <w:tr>
        <w:trPr>
          <w:trHeight w:val="206"/>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0"/>
              </w:rPr>
              <w:t>October 12, 2018</w:t>
            </w:r>
          </w:p>
        </w:tc>
      </w:tr>
      <w:tr>
        <w:trPr>
          <w:trHeight w:val="810"/>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December 6, 2018</w:t>
            </w:r>
          </w:p>
        </w:tc>
      </w:tr>
      <w:tr>
        <w:trPr>
          <w:trHeight w:val="1013"/>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December 17, 2018</w:t>
            </w:r>
          </w:p>
        </w:tc>
      </w:tr>
      <w:tr>
        <w:trPr>
          <w:trHeight w:val="810"/>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10.2</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December 17, 2018</w:t>
            </w:r>
          </w:p>
        </w:tc>
      </w:tr>
      <w:tr>
        <w:trPr>
          <w:trHeight w:val="608"/>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10.3</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December 17, 2018</w:t>
            </w:r>
          </w:p>
        </w:tc>
      </w:tr>
      <w:tr>
        <w:trPr>
          <w:trHeight w:val="824"/>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10.4</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December 17, 2018</w:t>
            </w:r>
          </w:p>
        </w:tc>
      </w:tr>
      <w:tr>
        <w:trPr>
          <w:trHeight w:val="608"/>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0"/>
              </w:rPr>
              <w:t>January 25, 2019</w:t>
            </w:r>
          </w:p>
        </w:tc>
      </w:tr>
      <w:tr>
        <w:trPr>
          <w:trHeight w:val="1013"/>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001-36083</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540" w:type="dxa"/>
            <w:vAlign w:val="bottom"/>
          </w:tcPr>
          <w:p>
            <w:pPr>
              <w:jc w:val="center"/>
              <w:ind w:left="179"/>
              <w:spacing w:after="0"/>
              <w:rPr>
                <w:sz w:val="20"/>
                <w:szCs w:val="20"/>
                <w:color w:val="auto"/>
              </w:rPr>
            </w:pPr>
            <w:r>
              <w:rPr>
                <w:rFonts w:ascii="Arial" w:cs="Arial" w:eastAsia="Arial" w:hAnsi="Arial"/>
                <w:sz w:val="16"/>
                <w:szCs w:val="16"/>
                <w:color w:val="auto"/>
                <w:w w:val="91"/>
              </w:rPr>
              <w:t>February 7, 2019</w:t>
            </w:r>
          </w:p>
        </w:tc>
      </w:tr>
    </w:tbl>
    <w:p>
      <w:pPr>
        <w:sectPr>
          <w:pgSz w:w="11900" w:h="16838" w:orient="portrait"/>
          <w:cols w:equalWidth="0" w:num="2">
            <w:col w:w="4620" w:space="300"/>
            <w:col w:w="4119"/>
          </w:cols>
          <w:pgMar w:left="1420" w:top="125" w:right="1440"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27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Form</w:t>
            </w:r>
          </w:p>
        </w:tc>
        <w:tc>
          <w:tcPr>
            <w:tcW w:w="2320" w:type="dxa"/>
            <w:vAlign w:val="bottom"/>
            <w:gridSpan w:val="2"/>
          </w:tcPr>
          <w:p>
            <w:pPr>
              <w:ind w:left="560"/>
              <w:spacing w:after="0"/>
              <w:rPr>
                <w:sz w:val="20"/>
                <w:szCs w:val="20"/>
                <w:color w:val="auto"/>
              </w:rPr>
            </w:pPr>
            <w:r>
              <w:rPr>
                <w:rFonts w:ascii="Arial" w:cs="Arial" w:eastAsia="Arial" w:hAnsi="Arial"/>
                <w:sz w:val="14"/>
                <w:szCs w:val="14"/>
                <w:b w:val="1"/>
                <w:bCs w:val="1"/>
                <w:color w:val="auto"/>
                <w:w w:val="97"/>
              </w:rPr>
              <w:t>Incorporated By Reference</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186"/>
        </w:trPr>
        <w:tc>
          <w:tcPr>
            <w:tcW w:w="128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File No.</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 xml:space="preserve">32.1*  </w:t>
      </w:r>
      <w:hyperlink w:anchor="page110">
        <w:r>
          <w:rPr>
            <w:rFonts w:ascii="Arial" w:cs="Arial" w:eastAsia="Arial" w:hAnsi="Arial"/>
            <w:sz w:val="16"/>
            <w:szCs w:val="16"/>
            <w:u w:val="single" w:color="auto"/>
            <w:color w:val="0000EE"/>
          </w:rPr>
          <w:t>Certification of Principal Executive Officer and</w:t>
        </w:r>
      </w:hyperlink>
    </w:p>
    <w:p>
      <w:pPr>
        <w:spacing w:after="0" w:line="22" w:lineRule="exact"/>
        <w:rPr>
          <w:sz w:val="20"/>
          <w:szCs w:val="20"/>
          <w:color w:val="auto"/>
        </w:rPr>
      </w:pPr>
    </w:p>
    <w:p>
      <w:pPr>
        <w:ind w:left="10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Principal Financial Officer Required Under Rule 13a-</w:t>
        </w:r>
      </w:hyperlink>
    </w:p>
    <w:p>
      <w:pPr>
        <w:spacing w:after="0" w:line="19" w:lineRule="exact"/>
        <w:rPr>
          <w:sz w:val="20"/>
          <w:szCs w:val="20"/>
          <w:color w:val="auto"/>
        </w:rPr>
      </w:pPr>
    </w:p>
    <w:p>
      <w:pPr>
        <w:ind w:left="10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14(a) and 15d-14(a) of the Securities Exchange Act of</w:t>
        </w:r>
      </w:hyperlink>
    </w:p>
    <w:p>
      <w:pPr>
        <w:spacing w:after="0" w:line="19" w:lineRule="exact"/>
        <w:rPr>
          <w:sz w:val="20"/>
          <w:szCs w:val="20"/>
          <w:color w:val="auto"/>
        </w:rPr>
      </w:pPr>
    </w:p>
    <w:p>
      <w:pPr>
        <w:ind w:left="10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1934, as amended, and 18 U.S.C. §1350 as adopted</w:t>
        </w:r>
      </w:hyperlink>
    </w:p>
    <w:p>
      <w:pPr>
        <w:spacing w:after="0" w:line="19" w:lineRule="exact"/>
        <w:rPr>
          <w:sz w:val="20"/>
          <w:szCs w:val="20"/>
          <w:color w:val="auto"/>
        </w:rPr>
      </w:pPr>
    </w:p>
    <w:p>
      <w:pPr>
        <w:ind w:left="10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pursuant to Section 906 of The Sarbanes-Oxley Act of</w:t>
        </w:r>
      </w:hyperlink>
    </w:p>
    <w:p>
      <w:pPr>
        <w:spacing w:after="0" w:line="19" w:lineRule="exact"/>
        <w:rPr>
          <w:sz w:val="20"/>
          <w:szCs w:val="20"/>
          <w:color w:val="auto"/>
        </w:rPr>
      </w:pPr>
    </w:p>
    <w:p>
      <w:pPr>
        <w:ind w:left="1060"/>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2002.</w:t>
        </w:r>
      </w:hyperlink>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206"/>
        </w:trPr>
        <w:tc>
          <w:tcPr>
            <w:tcW w:w="700" w:type="dxa"/>
            <w:vAlign w:val="bottom"/>
          </w:tcPr>
          <w:p>
            <w:pPr>
              <w:jc w:val="right"/>
              <w:ind w:right="19"/>
              <w:spacing w:after="0"/>
              <w:rPr>
                <w:sz w:val="20"/>
                <w:szCs w:val="20"/>
                <w:color w:val="auto"/>
              </w:rPr>
            </w:pPr>
            <w:r>
              <w:rPr>
                <w:rFonts w:ascii="Arial" w:cs="Arial" w:eastAsia="Arial" w:hAnsi="Arial"/>
                <w:sz w:val="16"/>
                <w:szCs w:val="16"/>
                <w:color w:val="auto"/>
              </w:rPr>
              <w:t>101.INS</w:t>
            </w:r>
          </w:p>
        </w:tc>
        <w:tc>
          <w:tcPr>
            <w:tcW w:w="3420" w:type="dxa"/>
            <w:vAlign w:val="bottom"/>
          </w:tcPr>
          <w:p>
            <w:pPr>
              <w:ind w:left="100"/>
              <w:spacing w:after="0"/>
              <w:rPr>
                <w:sz w:val="20"/>
                <w:szCs w:val="20"/>
                <w:color w:val="auto"/>
              </w:rPr>
            </w:pPr>
            <w:r>
              <w:rPr>
                <w:rFonts w:ascii="Arial" w:cs="Arial" w:eastAsia="Arial" w:hAnsi="Arial"/>
                <w:sz w:val="16"/>
                <w:szCs w:val="16"/>
                <w:color w:val="auto"/>
              </w:rPr>
              <w:t>XBRL Instance Document</w:t>
            </w:r>
          </w:p>
        </w:tc>
      </w:tr>
      <w:tr>
        <w:trPr>
          <w:trHeight w:val="324"/>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89"/>
              </w:rPr>
              <w:t>101.SCH</w:t>
            </w:r>
          </w:p>
        </w:tc>
        <w:tc>
          <w:tcPr>
            <w:tcW w:w="3420" w:type="dxa"/>
            <w:vAlign w:val="bottom"/>
          </w:tcPr>
          <w:p>
            <w:pPr>
              <w:ind w:left="100"/>
              <w:spacing w:after="0"/>
              <w:rPr>
                <w:sz w:val="20"/>
                <w:szCs w:val="20"/>
                <w:color w:val="auto"/>
              </w:rPr>
            </w:pPr>
            <w:r>
              <w:rPr>
                <w:rFonts w:ascii="Arial" w:cs="Arial" w:eastAsia="Arial" w:hAnsi="Arial"/>
                <w:sz w:val="16"/>
                <w:szCs w:val="16"/>
                <w:color w:val="auto"/>
                <w:w w:val="98"/>
              </w:rPr>
              <w:t>XBRL Taxonomy Extension Schema Document</w:t>
            </w:r>
          </w:p>
        </w:tc>
      </w:tr>
      <w:tr>
        <w:trPr>
          <w:trHeight w:val="320"/>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3"/>
              </w:rPr>
              <w:t>101.CAL</w:t>
            </w:r>
          </w:p>
        </w:tc>
        <w:tc>
          <w:tcPr>
            <w:tcW w:w="3420" w:type="dxa"/>
            <w:vAlign w:val="bottom"/>
          </w:tcPr>
          <w:p>
            <w:pPr>
              <w:ind w:left="100"/>
              <w:spacing w:after="0"/>
              <w:rPr>
                <w:sz w:val="20"/>
                <w:szCs w:val="20"/>
                <w:color w:val="auto"/>
              </w:rPr>
            </w:pPr>
            <w:r>
              <w:rPr>
                <w:rFonts w:ascii="Arial" w:cs="Arial" w:eastAsia="Arial" w:hAnsi="Arial"/>
                <w:sz w:val="16"/>
                <w:szCs w:val="16"/>
                <w:color w:val="auto"/>
                <w:w w:val="94"/>
              </w:rPr>
              <w:t>XBRL Taxonomy Extension Calculation Linkbase</w:t>
            </w:r>
          </w:p>
        </w:tc>
      </w:tr>
      <w:tr>
        <w:trPr>
          <w:trHeight w:val="206"/>
        </w:trPr>
        <w:tc>
          <w:tcPr>
            <w:tcW w:w="7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6"/>
                <w:szCs w:val="16"/>
                <w:color w:val="auto"/>
              </w:rPr>
              <w:t>Document</w:t>
            </w:r>
          </w:p>
        </w:tc>
      </w:tr>
      <w:tr>
        <w:trPr>
          <w:trHeight w:val="320"/>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1"/>
              </w:rPr>
              <w:t>101.DEF</w:t>
            </w:r>
          </w:p>
        </w:tc>
        <w:tc>
          <w:tcPr>
            <w:tcW w:w="3420" w:type="dxa"/>
            <w:vAlign w:val="bottom"/>
          </w:tcPr>
          <w:p>
            <w:pPr>
              <w:ind w:left="100"/>
              <w:spacing w:after="0"/>
              <w:rPr>
                <w:sz w:val="20"/>
                <w:szCs w:val="20"/>
                <w:color w:val="auto"/>
              </w:rPr>
            </w:pPr>
            <w:r>
              <w:rPr>
                <w:rFonts w:ascii="Arial" w:cs="Arial" w:eastAsia="Arial" w:hAnsi="Arial"/>
                <w:sz w:val="16"/>
                <w:szCs w:val="16"/>
                <w:color w:val="auto"/>
                <w:w w:val="98"/>
              </w:rPr>
              <w:t>XBRL Taxonomy Extension Definition Linkbase</w:t>
            </w:r>
          </w:p>
        </w:tc>
      </w:tr>
      <w:tr>
        <w:trPr>
          <w:trHeight w:val="206"/>
        </w:trPr>
        <w:tc>
          <w:tcPr>
            <w:tcW w:w="7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6"/>
                <w:szCs w:val="16"/>
                <w:color w:val="auto"/>
              </w:rPr>
              <w:t>Document</w:t>
            </w:r>
          </w:p>
        </w:tc>
      </w:tr>
      <w:tr>
        <w:trPr>
          <w:trHeight w:val="320"/>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4"/>
              </w:rPr>
              <w:t>101.LAB</w:t>
            </w:r>
          </w:p>
        </w:tc>
        <w:tc>
          <w:tcPr>
            <w:tcW w:w="3420" w:type="dxa"/>
            <w:vAlign w:val="bottom"/>
          </w:tcPr>
          <w:p>
            <w:pPr>
              <w:ind w:left="100"/>
              <w:spacing w:after="0"/>
              <w:rPr>
                <w:sz w:val="20"/>
                <w:szCs w:val="20"/>
                <w:color w:val="auto"/>
              </w:rPr>
            </w:pPr>
            <w:r>
              <w:rPr>
                <w:rFonts w:ascii="Arial" w:cs="Arial" w:eastAsia="Arial" w:hAnsi="Arial"/>
                <w:sz w:val="16"/>
                <w:szCs w:val="16"/>
                <w:color w:val="auto"/>
              </w:rPr>
              <w:t>XBRL Taxonomy Extension Label Linkbase</w:t>
            </w:r>
          </w:p>
        </w:tc>
      </w:tr>
      <w:tr>
        <w:trPr>
          <w:trHeight w:val="206"/>
        </w:trPr>
        <w:tc>
          <w:tcPr>
            <w:tcW w:w="7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6"/>
                <w:szCs w:val="16"/>
                <w:color w:val="auto"/>
              </w:rPr>
              <w:t>Document</w:t>
            </w:r>
          </w:p>
        </w:tc>
      </w:tr>
      <w:tr>
        <w:trPr>
          <w:trHeight w:val="320"/>
        </w:trPr>
        <w:tc>
          <w:tcPr>
            <w:tcW w:w="700" w:type="dxa"/>
            <w:vAlign w:val="bottom"/>
          </w:tcPr>
          <w:p>
            <w:pPr>
              <w:jc w:val="right"/>
              <w:ind w:right="19"/>
              <w:spacing w:after="0"/>
              <w:rPr>
                <w:sz w:val="20"/>
                <w:szCs w:val="20"/>
                <w:color w:val="auto"/>
              </w:rPr>
            </w:pPr>
            <w:r>
              <w:rPr>
                <w:rFonts w:ascii="Arial" w:cs="Arial" w:eastAsia="Arial" w:hAnsi="Arial"/>
                <w:sz w:val="16"/>
                <w:szCs w:val="16"/>
                <w:color w:val="auto"/>
                <w:w w:val="90"/>
              </w:rPr>
              <w:t>101.PRE</w:t>
            </w:r>
          </w:p>
        </w:tc>
        <w:tc>
          <w:tcPr>
            <w:tcW w:w="3420" w:type="dxa"/>
            <w:vAlign w:val="bottom"/>
          </w:tcPr>
          <w:p>
            <w:pPr>
              <w:ind w:left="100"/>
              <w:spacing w:after="0"/>
              <w:rPr>
                <w:sz w:val="20"/>
                <w:szCs w:val="20"/>
                <w:color w:val="auto"/>
              </w:rPr>
            </w:pPr>
            <w:r>
              <w:rPr>
                <w:rFonts w:ascii="Arial" w:cs="Arial" w:eastAsia="Arial" w:hAnsi="Arial"/>
                <w:sz w:val="16"/>
                <w:szCs w:val="16"/>
                <w:color w:val="auto"/>
                <w:w w:val="92"/>
              </w:rPr>
              <w:t>XBRL Taxonomy Extension Presentation Linkbase</w:t>
            </w:r>
          </w:p>
        </w:tc>
      </w:tr>
      <w:tr>
        <w:trPr>
          <w:trHeight w:val="206"/>
        </w:trPr>
        <w:tc>
          <w:tcPr>
            <w:tcW w:w="7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14408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1"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February 26, 2019.</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APPLIED OPTOELECTRONICS, INC.</w:t>
      </w:r>
    </w:p>
    <w:p>
      <w:pPr>
        <w:spacing w:after="0" w:line="121" w:lineRule="exact"/>
        <w:rPr>
          <w:sz w:val="20"/>
          <w:szCs w:val="20"/>
          <w:color w:val="auto"/>
        </w:rPr>
      </w:pPr>
    </w:p>
    <w:p>
      <w:pPr>
        <w:ind w:left="516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6350</wp:posOffset>
            </wp:positionV>
            <wp:extent cx="31299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jc w:val="center"/>
        <w:ind w:left="5460"/>
        <w:spacing w:after="0" w:line="232" w:lineRule="auto"/>
        <w:rPr>
          <w:sz w:val="20"/>
          <w:szCs w:val="20"/>
          <w:color w:val="auto"/>
        </w:rPr>
      </w:pPr>
      <w:r>
        <w:rPr>
          <w:rFonts w:ascii="Arial" w:cs="Arial" w:eastAsia="Arial" w:hAnsi="Arial"/>
          <w:sz w:val="18"/>
          <w:szCs w:val="18"/>
          <w:color w:val="auto"/>
        </w:rPr>
        <w:t>Chih-Hsiang (Thompson) Lin,</w:t>
      </w:r>
    </w:p>
    <w:p>
      <w:pPr>
        <w:jc w:val="center"/>
        <w:ind w:left="5460"/>
        <w:spacing w:after="0" w:line="219" w:lineRule="auto"/>
        <w:rPr>
          <w:sz w:val="20"/>
          <w:szCs w:val="20"/>
          <w:color w:val="auto"/>
        </w:rPr>
      </w:pPr>
      <w:r>
        <w:rPr>
          <w:rFonts w:ascii="Arial" w:cs="Arial" w:eastAsia="Arial" w:hAnsi="Arial"/>
          <w:sz w:val="18"/>
          <w:szCs w:val="18"/>
          <w:i w:val="1"/>
          <w:iCs w:val="1"/>
          <w:color w:val="auto"/>
        </w:rPr>
        <w:t>President and Chief Executive Officer and</w:t>
      </w:r>
    </w:p>
    <w:p>
      <w:pPr>
        <w:jc w:val="center"/>
        <w:ind w:left="5460"/>
        <w:spacing w:after="0" w:line="220" w:lineRule="auto"/>
        <w:rPr>
          <w:sz w:val="20"/>
          <w:szCs w:val="20"/>
          <w:color w:val="auto"/>
        </w:rPr>
      </w:pPr>
      <w:r>
        <w:rPr>
          <w:rFonts w:ascii="Arial" w:cs="Arial" w:eastAsia="Arial" w:hAnsi="Arial"/>
          <w:sz w:val="18"/>
          <w:szCs w:val="18"/>
          <w:i w:val="1"/>
          <w:iCs w:val="1"/>
          <w:color w:val="auto"/>
        </w:rPr>
        <w:t>Chairman of the Board of Directors</w:t>
      </w:r>
    </w:p>
    <w:p>
      <w:pPr>
        <w:spacing w:after="0"/>
        <w:rPr>
          <w:sz w:val="20"/>
          <w:szCs w:val="20"/>
          <w:color w:val="auto"/>
        </w:rPr>
      </w:pPr>
      <w:r>
        <w:rPr>
          <w:rFonts w:ascii="Arial" w:cs="Arial" w:eastAsia="Arial" w:hAnsi="Arial"/>
          <w:sz w:val="18"/>
          <w:szCs w:val="18"/>
          <w:color w:val="auto"/>
        </w:rPr>
        <w:t>February 26, 2019</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6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53" w:lineRule="exact"/>
        <w:rPr>
          <w:sz w:val="20"/>
          <w:szCs w:val="20"/>
          <w:color w:val="auto"/>
        </w:rPr>
      </w:pPr>
    </w:p>
    <w:p>
      <w:pPr>
        <w:ind w:left="2200"/>
        <w:spacing w:after="0"/>
        <w:tabs>
          <w:tab w:leader="none" w:pos="76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ectPr>
          <w:pgSz w:w="11900" w:h="16838" w:orient="portrait"/>
          <w:cols w:equalWidth="0" w:num="1">
            <w:col w:w="10360"/>
          </w:cols>
          <w:pgMar w:left="760" w:top="125" w:right="779" w:bottom="1440" w:gutter="0" w:footer="0" w:header="0"/>
        </w:sectPr>
      </w:pPr>
    </w:p>
    <w:p>
      <w:pPr>
        <w:spacing w:after="0" w:line="199"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3302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220"/>
        <w:spacing w:after="0"/>
        <w:rPr>
          <w:sz w:val="20"/>
          <w:szCs w:val="20"/>
          <w:color w:val="auto"/>
        </w:rPr>
      </w:pPr>
      <w:r>
        <w:rPr>
          <w:rFonts w:ascii="Arial" w:cs="Arial" w:eastAsia="Arial" w:hAnsi="Arial"/>
          <w:sz w:val="17"/>
          <w:szCs w:val="17"/>
          <w:color w:val="auto"/>
        </w:rPr>
        <w:t>CHIH-HSIANG (THOMPSON) LIN,</w:t>
      </w:r>
    </w:p>
    <w:p>
      <w:pPr>
        <w:jc w:val="center"/>
        <w:ind w:right="1400"/>
        <w:spacing w:after="0" w:line="232" w:lineRule="auto"/>
        <w:rPr>
          <w:sz w:val="20"/>
          <w:szCs w:val="20"/>
          <w:color w:val="auto"/>
        </w:rPr>
      </w:pPr>
      <w:r>
        <w:rPr>
          <w:rFonts w:ascii="Arial" w:cs="Arial" w:eastAsia="Arial" w:hAnsi="Arial"/>
          <w:sz w:val="17"/>
          <w:szCs w:val="17"/>
          <w:i w:val="1"/>
          <w:iCs w:val="1"/>
          <w:color w:val="auto"/>
        </w:rPr>
        <w:t>President, Chief Executive Officer and</w:t>
      </w:r>
    </w:p>
    <w:p>
      <w:pPr>
        <w:jc w:val="center"/>
        <w:ind w:right="1400"/>
        <w:spacing w:after="0" w:line="219" w:lineRule="auto"/>
        <w:rPr>
          <w:sz w:val="20"/>
          <w:szCs w:val="20"/>
          <w:color w:val="auto"/>
        </w:rPr>
      </w:pPr>
      <w:r>
        <w:rPr>
          <w:rFonts w:ascii="Arial" w:cs="Arial" w:eastAsia="Arial" w:hAnsi="Arial"/>
          <w:sz w:val="18"/>
          <w:szCs w:val="18"/>
          <w:i w:val="1"/>
          <w:iCs w:val="1"/>
          <w:color w:val="auto"/>
        </w:rPr>
        <w:t>Chairman of the Board of Directors</w:t>
      </w:r>
    </w:p>
    <w:p>
      <w:pPr>
        <w:jc w:val="center"/>
        <w:ind w:right="140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720"/>
        <w:spacing w:after="0" w:line="232" w:lineRule="auto"/>
        <w:rPr>
          <w:sz w:val="20"/>
          <w:szCs w:val="20"/>
          <w:color w:val="auto"/>
        </w:rPr>
      </w:pPr>
      <w:r>
        <w:rPr>
          <w:rFonts w:ascii="Arial" w:cs="Arial" w:eastAsia="Arial" w:hAnsi="Arial"/>
          <w:sz w:val="18"/>
          <w:szCs w:val="18"/>
          <w:color w:val="auto"/>
        </w:rPr>
        <w:t>STEFAN J. MURRY,</w:t>
      </w:r>
    </w:p>
    <w:p>
      <w:pPr>
        <w:jc w:val="center"/>
        <w:ind w:right="1400"/>
        <w:spacing w:after="0" w:line="219" w:lineRule="auto"/>
        <w:rPr>
          <w:sz w:val="20"/>
          <w:szCs w:val="20"/>
          <w:color w:val="auto"/>
        </w:rPr>
      </w:pPr>
      <w:r>
        <w:rPr>
          <w:rFonts w:ascii="Arial" w:cs="Arial" w:eastAsia="Arial" w:hAnsi="Arial"/>
          <w:sz w:val="18"/>
          <w:szCs w:val="18"/>
          <w:i w:val="1"/>
          <w:iCs w:val="1"/>
          <w:color w:val="auto"/>
        </w:rPr>
        <w:t>Chief Financial Officer</w:t>
      </w:r>
    </w:p>
    <w:p>
      <w:pPr>
        <w:jc w:val="center"/>
        <w:ind w:right="1400"/>
        <w:spacing w:after="0" w:line="220" w:lineRule="auto"/>
        <w:rPr>
          <w:sz w:val="20"/>
          <w:szCs w:val="20"/>
          <w:color w:val="auto"/>
        </w:rPr>
      </w:pPr>
      <w:r>
        <w:rPr>
          <w:rFonts w:ascii="Arial" w:cs="Arial" w:eastAsia="Arial" w:hAnsi="Arial"/>
          <w:sz w:val="18"/>
          <w:szCs w:val="18"/>
          <w:i w:val="1"/>
          <w:iCs w:val="1"/>
          <w:color w:val="auto"/>
        </w:rPr>
        <w:t>(principal financial officer and</w:t>
      </w:r>
    </w:p>
    <w:p>
      <w:pPr>
        <w:jc w:val="center"/>
        <w:ind w:right="1400"/>
        <w:spacing w:after="0"/>
        <w:rPr>
          <w:sz w:val="20"/>
          <w:szCs w:val="20"/>
          <w:color w:val="auto"/>
        </w:rPr>
      </w:pPr>
      <w:r>
        <w:rPr>
          <w:rFonts w:ascii="Arial" w:cs="Arial" w:eastAsia="Arial" w:hAnsi="Arial"/>
          <w:sz w:val="18"/>
          <w:szCs w:val="18"/>
          <w:i w:val="1"/>
          <w:iCs w:val="1"/>
          <w:color w:val="auto"/>
        </w:rPr>
        <w:t>principal accounting officer)</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WILLIAM H. YEH,</w:t>
      </w:r>
    </w:p>
    <w:p>
      <w:pPr>
        <w:spacing w:after="0" w:line="1" w:lineRule="exact"/>
        <w:rPr>
          <w:sz w:val="20"/>
          <w:szCs w:val="20"/>
          <w:color w:val="auto"/>
        </w:rPr>
      </w:pPr>
    </w:p>
    <w:p>
      <w:pPr>
        <w:jc w:val="center"/>
        <w:ind w:right="14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RICHARD B. BLACK,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CHE-WEI LIN,</w:t>
      </w:r>
    </w:p>
    <w:p>
      <w:pPr>
        <w:spacing w:after="0" w:line="1" w:lineRule="exact"/>
        <w:rPr>
          <w:sz w:val="20"/>
          <w:szCs w:val="20"/>
          <w:color w:val="auto"/>
        </w:rPr>
      </w:pPr>
    </w:p>
    <w:p>
      <w:pPr>
        <w:jc w:val="center"/>
        <w:ind w:right="14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800"/>
        <w:spacing w:after="0" w:line="232" w:lineRule="auto"/>
        <w:rPr>
          <w:sz w:val="20"/>
          <w:szCs w:val="20"/>
          <w:color w:val="auto"/>
        </w:rPr>
      </w:pPr>
      <w:r>
        <w:rPr>
          <w:rFonts w:ascii="Arial" w:cs="Arial" w:eastAsia="Arial" w:hAnsi="Arial"/>
          <w:sz w:val="18"/>
          <w:szCs w:val="18"/>
          <w:color w:val="auto"/>
        </w:rPr>
        <w:t>ALEX IGNATIEV,</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ALAN MOORE,</w:t>
      </w:r>
    </w:p>
    <w:p>
      <w:pPr>
        <w:spacing w:after="0" w:line="1" w:lineRule="exact"/>
        <w:rPr>
          <w:sz w:val="20"/>
          <w:szCs w:val="20"/>
          <w:color w:val="auto"/>
        </w:rPr>
      </w:pPr>
    </w:p>
    <w:p>
      <w:pPr>
        <w:jc w:val="center"/>
        <w:ind w:right="14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400"/>
        <w:spacing w:after="0" w:line="232" w:lineRule="auto"/>
        <w:rPr>
          <w:sz w:val="20"/>
          <w:szCs w:val="20"/>
          <w:color w:val="auto"/>
        </w:rPr>
      </w:pPr>
      <w:r>
        <w:rPr>
          <w:rFonts w:ascii="Arial" w:cs="Arial" w:eastAsia="Arial" w:hAnsi="Arial"/>
          <w:sz w:val="18"/>
          <w:szCs w:val="18"/>
          <w:color w:val="auto"/>
        </w:rPr>
        <w:t>MIN-CHU (MIKE) CHEN,</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441" w:lineRule="exact"/>
        <w:rPr>
          <w:sz w:val="20"/>
          <w:szCs w:val="20"/>
          <w:color w:val="auto"/>
        </w:rPr>
      </w:pPr>
    </w:p>
    <w:p>
      <w:pPr>
        <w:sectPr>
          <w:pgSz w:w="11900" w:h="16838" w:orient="portrait"/>
          <w:cols w:equalWidth="0" w:num="2">
            <w:col w:w="6400" w:space="720"/>
            <w:col w:w="3240"/>
          </w:cols>
          <w:pgMar w:left="760" w:top="125" w:right="77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0"/>
          </w:cols>
          <w:pgMar w:left="760" w:top="125" w:right="779" w:bottom="1440" w:gutter="0" w:footer="0" w:header="0"/>
          <w:type w:val="continuous"/>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Pages</w:t>
            </w:r>
          </w:p>
        </w:tc>
      </w:tr>
      <w:tr>
        <w:trPr>
          <w:trHeight w:val="385"/>
        </w:trPr>
        <w:tc>
          <w:tcPr>
            <w:tcW w:w="4300" w:type="dxa"/>
            <w:vAlign w:val="bottom"/>
            <w:gridSpan w:val="8"/>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Report of Independent Registered Public Accounting Firm</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12"/>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80" w:type="dxa"/>
            <w:vAlign w:val="bottom"/>
            <w:gridSpan w:val="2"/>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2"/>
        </w:trPr>
        <w:tc>
          <w:tcPr>
            <w:tcW w:w="28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Operations</w:t>
              </w:r>
            </w:hyperlink>
          </w:p>
        </w:tc>
        <w:tc>
          <w:tcPr>
            <w:tcW w:w="1480" w:type="dxa"/>
            <w:vAlign w:val="bottom"/>
            <w:gridSpan w:val="6"/>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12"/>
        </w:trPr>
        <w:tc>
          <w:tcPr>
            <w:tcW w:w="4300" w:type="dxa"/>
            <w:vAlign w:val="bottom"/>
            <w:gridSpan w:val="8"/>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Consolidated Statements of Comprehensive Income (Loss)</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2"/>
        </w:trPr>
        <w:tc>
          <w:tcPr>
            <w:tcW w:w="3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Consolidated Statements of Stockholders’ Equity</w:t>
              </w:r>
            </w:hyperlink>
          </w:p>
        </w:tc>
        <w:tc>
          <w:tcPr>
            <w:tcW w:w="680" w:type="dxa"/>
            <w:vAlign w:val="bottom"/>
            <w:tcBorders>
              <w:top w:val="single" w:sz="8" w:color="0000EE"/>
            </w:tcBorders>
            <w:gridSpan w:val="2"/>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2"/>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Cash Flows</w:t>
              </w:r>
            </w:hyperlink>
          </w:p>
        </w:tc>
        <w:tc>
          <w:tcPr>
            <w:tcW w:w="1420" w:type="dxa"/>
            <w:vAlign w:val="bottom"/>
            <w:gridSpan w:val="5"/>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430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898"/>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F - 1</w:t>
            </w:r>
          </w:p>
        </w:tc>
      </w:tr>
      <w:tr>
        <w:trPr>
          <w:trHeight w:val="129"/>
        </w:trPr>
        <w:tc>
          <w:tcPr>
            <w:tcW w:w="2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audited the accompanying consolidated balance sheets of Applied Optoelectronics, Inc. (a Delaware corporation) and subsidiaries (the “Company”) as of December 31, 2018 and 2017, the related consolidated statements of operations, comprehensive income, changes in shareholders’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2018, based on criteria established in the 2013 Internal Control—Integrated Framework issued by the Committee of Sponsoring Organizations of the Treadway Commission (“COSO”), and our report dated February 26, 2019 expressed an unqualified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$32 and $33, respectively</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59,850</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Prepaid income tax</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194,275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229,661</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234,211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197,943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r>
      <w:tr>
        <w:trPr>
          <w:trHeight w:val="217"/>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466,840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452,948</w:t>
            </w:r>
          </w:p>
        </w:tc>
        <w:tc>
          <w:tcPr>
            <w:tcW w:w="100" w:type="dxa"/>
            <w:vAlign w:val="bottom"/>
            <w:tcBorders>
              <w:bottom w:val="single" w:sz="8" w:color="CCEEFF"/>
            </w:tcBorders>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23,589</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43,624</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70,708</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48,964</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137,746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119,672</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100" w:type="dxa"/>
            <w:vAlign w:val="bottom"/>
          </w:tcPr>
          <w:p>
            <w:pPr>
              <w:ind w:left="120"/>
              <w:spacing w:after="0" w:line="201" w:lineRule="exact"/>
              <w:rPr>
                <w:sz w:val="20"/>
                <w:szCs w:val="20"/>
                <w:color w:val="auto"/>
              </w:rPr>
            </w:pPr>
            <w:r>
              <w:rPr>
                <w:rFonts w:ascii="Arial" w:cs="Arial" w:eastAsia="Arial" w:hAnsi="Arial"/>
                <w:sz w:val="18"/>
                <w:szCs w:val="18"/>
                <w:color w:val="auto"/>
              </w:rPr>
              <w:t>Preferred Stock; 5,000 shares authorized at $0.001 par value; no shares issued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100" w:type="dxa"/>
            <w:vAlign w:val="bottom"/>
          </w:tcPr>
          <w:p>
            <w:pPr>
              <w:ind w:left="120"/>
              <w:spacing w:after="0"/>
              <w:rPr>
                <w:sz w:val="20"/>
                <w:szCs w:val="20"/>
                <w:color w:val="auto"/>
              </w:rPr>
            </w:pPr>
            <w:r>
              <w:rPr>
                <w:rFonts w:ascii="Arial" w:cs="Arial" w:eastAsia="Arial" w:hAnsi="Arial"/>
                <w:sz w:val="18"/>
                <w:szCs w:val="18"/>
                <w:color w:val="auto"/>
              </w:rPr>
              <w:t>outstanding at December 31, 2018 and December 31, 2017, respectively</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Common Stock; 45,000 shares authorized at $0.001 par value; 19,810 and 19,451 shares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and outstanding at December 31, 2018 and December 31, 2017, respectively</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292,480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285,376</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38,138</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329,094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333,276</w:t>
            </w:r>
          </w:p>
        </w:tc>
        <w:tc>
          <w:tcPr>
            <w:tcW w:w="100" w:type="dxa"/>
            <w:vAlign w:val="bottom"/>
            <w:shd w:val="clear" w:color="auto" w:fill="CCEEFF"/>
          </w:tcPr>
          <w:p>
            <w:pPr>
              <w:spacing w:after="0"/>
              <w:rPr>
                <w:sz w:val="18"/>
                <w:szCs w:val="18"/>
                <w:color w:val="auto"/>
              </w:rPr>
            </w:pPr>
          </w:p>
        </w:tc>
      </w:tr>
      <w:tr>
        <w:trPr>
          <w:trHeight w:val="217"/>
        </w:trPr>
        <w:tc>
          <w:tcPr>
            <w:tcW w:w="7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466,840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452,948</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260,713</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179,692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216,049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173,759</w:t>
            </w:r>
          </w:p>
        </w:tc>
        <w:tc>
          <w:tcPr>
            <w:tcW w:w="14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86,954</w:t>
            </w:r>
          </w:p>
        </w:tc>
        <w:tc>
          <w:tcPr>
            <w:tcW w:w="140" w:type="dxa"/>
            <w:vAlign w:val="bottom"/>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6,627</w:t>
            </w: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40" w:type="dxa"/>
            <w:vAlign w:val="bottom"/>
            <w:shd w:val="clear" w:color="auto" w:fill="CCEEFF"/>
          </w:tcPr>
          <w:p>
            <w:pPr>
              <w:spacing w:after="0"/>
              <w:rPr>
                <w:sz w:val="18"/>
                <w:szCs w:val="18"/>
                <w:color w:val="auto"/>
              </w:rPr>
            </w:pPr>
          </w:p>
        </w:tc>
      </w:tr>
      <w:tr>
        <w:trPr>
          <w:trHeight w:val="21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140" w:type="dxa"/>
            <w:vAlign w:val="bottom"/>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(1,717)</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(10,575)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10,231</w:t>
            </w:r>
          </w:p>
        </w:tc>
        <w:tc>
          <w:tcPr>
            <w:tcW w:w="140" w:type="dxa"/>
            <w:vAlign w:val="bottom"/>
          </w:tcPr>
          <w:p>
            <w:pPr>
              <w:spacing w:after="0"/>
              <w:rPr>
                <w:sz w:val="18"/>
                <w:szCs w:val="18"/>
                <w:color w:val="auto"/>
              </w:rPr>
            </w:pPr>
          </w:p>
        </w:tc>
      </w:tr>
      <w:tr>
        <w:trPr>
          <w:trHeight w:val="23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5140" w:type="dxa"/>
            <w:vAlign w:val="bottom"/>
          </w:tcPr>
          <w:p>
            <w:pPr>
              <w:spacing w:after="0" w:line="203" w:lineRule="exact"/>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w w:val="99"/>
              </w:rPr>
              <w:t>Weighted average shares used to compute net income (loss) per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19,646,646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19,097,355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17,201,731</w:t>
            </w:r>
          </w:p>
        </w:tc>
        <w:tc>
          <w:tcPr>
            <w:tcW w:w="140" w:type="dxa"/>
            <w:vAlign w:val="bottom"/>
            <w:shd w:val="clear" w:color="auto" w:fill="CCEEFF"/>
          </w:tcPr>
          <w:p>
            <w:pPr>
              <w:spacing w:after="0"/>
              <w:rPr>
                <w:sz w:val="18"/>
                <w:szCs w:val="18"/>
                <w:color w:val="auto"/>
              </w:rPr>
            </w:pP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19,646,646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20,139,105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17,712,928</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480"/>
        <w:spacing w:after="0" w:line="275" w:lineRule="auto"/>
        <w:rPr>
          <w:sz w:val="20"/>
          <w:szCs w:val="20"/>
          <w:color w:val="auto"/>
        </w:rPr>
      </w:pPr>
      <w:r>
        <w:rPr>
          <w:rFonts w:ascii="Arial" w:cs="Arial" w:eastAsia="Arial" w:hAnsi="Arial"/>
          <w:sz w:val="18"/>
          <w:szCs w:val="18"/>
          <w:b w:val="1"/>
          <w:bCs w:val="1"/>
          <w:color w:val="auto"/>
        </w:rPr>
        <w:t>Applied Optoelectronics, Inc. and Subsidiaries CONSOLIDATED STATEMENTS OF COMPREHENSIVE INCOME (LOSS)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$ 73,951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31,234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Gain (loss) on foreign currency translation adjustment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(9,141)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17"/>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$ 84,579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b w:val="1"/>
          <w:bCs w:val="1"/>
          <w:color w:val="auto"/>
        </w:rPr>
        <w:t>Applied Optoelectronics, Inc. and Subsidiaries CONSOLIDATED STATEMENTS OF STOCKHOLDERS’ EQUITY Years ended December 2016, 2017 and 2018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4080" w:type="dxa"/>
            <w:vAlign w:val="bottom"/>
          </w:tcPr>
          <w:p>
            <w:pPr>
              <w:spacing w:after="0"/>
              <w:rPr>
                <w:sz w:val="13"/>
                <w:szCs w:val="13"/>
                <w:color w:val="auto"/>
              </w:rPr>
            </w:pPr>
          </w:p>
        </w:tc>
        <w:tc>
          <w:tcPr>
            <w:tcW w:w="1440" w:type="dxa"/>
            <w:vAlign w:val="bottom"/>
            <w:gridSpan w:val="6"/>
          </w:tcPr>
          <w:p>
            <w:pPr>
              <w:ind w:left="220"/>
              <w:spacing w:after="0"/>
              <w:rPr>
                <w:sz w:val="20"/>
                <w:szCs w:val="20"/>
                <w:color w:val="auto"/>
              </w:rPr>
            </w:pPr>
            <w:r>
              <w:rPr>
                <w:rFonts w:ascii="Arial" w:cs="Arial" w:eastAsia="Arial" w:hAnsi="Arial"/>
                <w:sz w:val="13"/>
                <w:szCs w:val="13"/>
                <w:b w:val="1"/>
                <w:bCs w:val="1"/>
                <w:color w:val="auto"/>
              </w:rPr>
              <w:t>Preferred Stock</w:t>
            </w:r>
          </w:p>
        </w:tc>
        <w:tc>
          <w:tcPr>
            <w:tcW w:w="1000" w:type="dxa"/>
            <w:vAlign w:val="bottom"/>
            <w:gridSpan w:val="4"/>
          </w:tcPr>
          <w:p>
            <w:pPr>
              <w:ind w:left="160"/>
              <w:spacing w:after="0"/>
              <w:rPr>
                <w:sz w:val="20"/>
                <w:szCs w:val="20"/>
                <w:color w:val="auto"/>
              </w:rPr>
            </w:pPr>
            <w:r>
              <w:rPr>
                <w:rFonts w:ascii="Arial" w:cs="Arial" w:eastAsia="Arial" w:hAnsi="Arial"/>
                <w:sz w:val="13"/>
                <w:szCs w:val="13"/>
                <w:b w:val="1"/>
                <w:bCs w:val="1"/>
                <w:color w:val="auto"/>
                <w:w w:val="85"/>
              </w:rPr>
              <w:t>Common Stock</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earnings/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0"/>
        </w:trPr>
        <w:tc>
          <w:tcPr>
            <w:tcW w:w="4080" w:type="dxa"/>
            <w:vAlign w:val="bottom"/>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Number</w:t>
            </w: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1"/>
              </w:rPr>
              <w:t>paid-in</w:t>
            </w:r>
          </w:p>
        </w:tc>
        <w:tc>
          <w:tcPr>
            <w:tcW w:w="98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comprehensive</w:t>
            </w:r>
          </w:p>
        </w:tc>
        <w:tc>
          <w:tcPr>
            <w:tcW w:w="1020" w:type="dxa"/>
            <w:vAlign w:val="bottom"/>
            <w:gridSpan w:val="3"/>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880" w:type="dxa"/>
            <w:vAlign w:val="bottom"/>
            <w:gridSpan w:val="3"/>
          </w:tcPr>
          <w:p>
            <w:pPr>
              <w:jc w:val="right"/>
              <w:ind w:right="10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40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6"/>
              </w:rPr>
              <w:t>of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6"/>
              </w:rPr>
              <w:t>of shares</w:t>
            </w:r>
          </w:p>
        </w:tc>
        <w:tc>
          <w:tcPr>
            <w:tcW w:w="160" w:type="dxa"/>
            <w:vAlign w:val="bottom"/>
          </w:tcPr>
          <w:p>
            <w:pPr>
              <w:spacing w:after="0"/>
              <w:rPr>
                <w:sz w:val="13"/>
                <w:szCs w:val="13"/>
                <w:color w:val="auto"/>
              </w:rPr>
            </w:pPr>
          </w:p>
        </w:tc>
        <w:tc>
          <w:tcPr>
            <w:tcW w:w="460" w:type="dxa"/>
            <w:vAlign w:val="bottom"/>
            <w:gridSpan w:val="3"/>
          </w:tcPr>
          <w:p>
            <w:pPr>
              <w:ind w:left="20"/>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gain (loss)</w:t>
            </w: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deficit)</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r>
      <w:tr>
        <w:trPr>
          <w:trHeight w:val="129"/>
        </w:trPr>
        <w:tc>
          <w:tcPr>
            <w:tcW w:w="40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January 1, 2016</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16,839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233,336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(68,247)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165,398</w:t>
            </w: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Public offering of common stock, net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27,236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27,237</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shares under equity plans</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Stock options exercised</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859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859</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3,833</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31,234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31,234</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Loss on foreign currency translation adjustment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(1,177)</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(1,177)</w:t>
            </w: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Other</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9"/>
        </w:trPr>
        <w:tc>
          <w:tcPr>
            <w:tcW w:w="40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December 31, 2016</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265,264</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(885)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(37,013)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227,384</w:t>
            </w: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Public offering of common stock, net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459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21,571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21,572</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options exercised, net of shares withheld for employee tax</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(6,630)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(6,630)</w:t>
            </w: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 net of shares withheld for employee tax</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174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(2,631)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(2,631)</w:t>
            </w: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Share-based compensation</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7,795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7,795</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Cumulative effect of previously unrecognized tax benefits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1,207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1,207</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73,951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73,951</w:t>
            </w:r>
          </w:p>
        </w:tc>
        <w:tc>
          <w:tcPr>
            <w:tcW w:w="80" w:type="dxa"/>
            <w:vAlign w:val="bottom"/>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Foreign currency translation adjustment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10,628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10,628</w:t>
            </w:r>
          </w:p>
        </w:tc>
        <w:tc>
          <w:tcPr>
            <w:tcW w:w="80" w:type="dxa"/>
            <w:vAlign w:val="bottom"/>
          </w:tcPr>
          <w:p>
            <w:pPr>
              <w:spacing w:after="0"/>
              <w:rPr>
                <w:sz w:val="11"/>
                <w:szCs w:val="11"/>
                <w:color w:val="auto"/>
              </w:rPr>
            </w:pPr>
          </w:p>
        </w:tc>
      </w:tr>
      <w:tr>
        <w:trPr>
          <w:trHeight w:val="129"/>
        </w:trPr>
        <w:tc>
          <w:tcPr>
            <w:tcW w:w="40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December 31, 2017</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19,451</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285,376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9,743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38,138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333,276</w:t>
            </w: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Stock options exercised, net of shares withheld for employee tax</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(2,073)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(2,073)</w:t>
            </w: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 net of shares withheld for employee tax</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(1,942)</w:t>
            </w: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Share-based compensation</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11,120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11,120</w:t>
            </w:r>
          </w:p>
        </w:tc>
        <w:tc>
          <w:tcPr>
            <w:tcW w:w="80" w:type="dxa"/>
            <w:vAlign w:val="bottom"/>
          </w:tcPr>
          <w:p>
            <w:pPr>
              <w:spacing w:after="0"/>
              <w:rPr>
                <w:sz w:val="11"/>
                <w:szCs w:val="11"/>
                <w:color w:val="auto"/>
              </w:rPr>
            </w:pPr>
          </w:p>
        </w:tc>
      </w:tr>
      <w:tr>
        <w:trPr>
          <w:trHeight w:val="135"/>
        </w:trPr>
        <w:tc>
          <w:tcPr>
            <w:tcW w:w="40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Foreign currency translation adjustment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(9,141)</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(9,141)</w:t>
            </w:r>
          </w:p>
        </w:tc>
      </w:tr>
      <w:tr>
        <w:trPr>
          <w:trHeight w:val="135"/>
        </w:trPr>
        <w:tc>
          <w:tcPr>
            <w:tcW w:w="408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(2,146)</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(2,146)</w:t>
            </w:r>
          </w:p>
        </w:tc>
      </w:tr>
      <w:tr>
        <w:trPr>
          <w:trHeight w:val="136"/>
        </w:trPr>
        <w:tc>
          <w:tcPr>
            <w:tcW w:w="40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December 31, 2018</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19,810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292,480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329,094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80"/>
          </w:cols>
          <w:pgMar w:left="740" w:top="125" w:right="67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jc w:val="center"/>
        <w:spacing w:after="0" w:line="221" w:lineRule="auto"/>
        <w:rPr>
          <w:sz w:val="20"/>
          <w:szCs w:val="20"/>
          <w:color w:val="auto"/>
        </w:rPr>
      </w:pPr>
      <w:r>
        <w:rPr>
          <w:rFonts w:ascii="Arial" w:cs="Arial" w:eastAsia="Arial" w:hAnsi="Arial"/>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(2,146)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73,951</w:t>
            </w: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31,234</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29,698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14,188</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(8,964)</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(11,426)</w:t>
            </w: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(gain) on disposal of assets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3,833</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exchange gain</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trade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(10,080)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(11,147)</w:t>
            </w: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Prepaid income tax</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(1,386)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(28,403)</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(21,876)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(2,939)</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(4,266)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(13,714)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Accrued income taxes</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(7,390)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00" w:type="dxa"/>
            <w:vAlign w:val="bottom"/>
            <w:shd w:val="clear" w:color="auto" w:fill="CCEEFF"/>
          </w:tcPr>
          <w:p>
            <w:pPr>
              <w:spacing w:after="0"/>
              <w:rPr>
                <w:sz w:val="17"/>
                <w:szCs w:val="17"/>
                <w:color w:val="auto"/>
              </w:rPr>
            </w:pPr>
          </w:p>
        </w:tc>
      </w:tr>
      <w:tr>
        <w:trPr>
          <w:trHeight w:val="19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84,284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57,104</w:t>
            </w:r>
          </w:p>
        </w:tc>
        <w:tc>
          <w:tcPr>
            <w:tcW w:w="10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Maturities of short-term investments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7,752</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(71,854)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(66,968)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(49,442)</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Purchase of land use rights</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(5,591)</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disposal of equipment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Deposits and prepaid for equipment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(2,871)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intangible assets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w:t>
            </w:r>
          </w:p>
        </w:tc>
      </w:tr>
      <w:tr>
        <w:trPr>
          <w:trHeight w:val="19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(76,514)</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(70,159)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(41,535)</w:t>
            </w:r>
          </w:p>
        </w:tc>
        <w:tc>
          <w:tcPr>
            <w:tcW w:w="10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w w:val="99"/>
              </w:rPr>
              <w:t>Proceeds from issuance of notes payable and long-term debt, net of debt issuance costs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47,849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28,858</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(3,133)</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(42,758)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(5,855)</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155,078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88,003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117,172</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(165,569)</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(39,003)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(163,068)</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Proceeds from bank acceptance payable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(8,398)</w:t>
            </w: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Repayments of note payable</w:t>
            </w:r>
          </w:p>
        </w:tc>
        <w:tc>
          <w:tcPr>
            <w:tcW w:w="1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w w:val="97"/>
              </w:rPr>
              <w:t>Payments of tax withholding on behalf of employees related to share-based compensation</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(4,137)</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(10,721)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27,237</w:t>
            </w:r>
          </w:p>
        </w:tc>
        <w:tc>
          <w:tcPr>
            <w:tcW w:w="100" w:type="dxa"/>
            <w:vAlign w:val="bottom"/>
            <w:shd w:val="clear" w:color="auto" w:fill="CCEEFF"/>
          </w:tcPr>
          <w:p>
            <w:pPr>
              <w:spacing w:after="0"/>
              <w:rPr>
                <w:sz w:val="17"/>
                <w:szCs w:val="17"/>
                <w:color w:val="auto"/>
              </w:rPr>
            </w:pPr>
          </w:p>
        </w:tc>
      </w:tr>
      <w:tr>
        <w:trPr>
          <w:trHeight w:val="19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34,803</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CCEEFF"/>
          </w:tcPr>
          <w:p>
            <w:pPr>
              <w:spacing w:after="0"/>
              <w:rPr>
                <w:sz w:val="17"/>
                <w:szCs w:val="17"/>
                <w:color w:val="auto"/>
              </w:rPr>
            </w:pPr>
          </w:p>
        </w:tc>
      </w:tr>
      <w:tr>
        <w:trPr>
          <w:trHeight w:val="196"/>
        </w:trPr>
        <w:tc>
          <w:tcPr>
            <w:tcW w:w="634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19,171</w:t>
            </w: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32,793</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51,964</w:t>
            </w:r>
          </w:p>
        </w:tc>
        <w:tc>
          <w:tcPr>
            <w:tcW w:w="100" w:type="dxa"/>
            <w:vAlign w:val="bottom"/>
            <w:tcBorders>
              <w:bottom w:val="single" w:sz="8" w:color="CCEEFF"/>
            </w:tcBorders>
          </w:tcPr>
          <w:p>
            <w:pPr>
              <w:spacing w:after="0"/>
              <w:rPr>
                <w:sz w:val="17"/>
                <w:szCs w:val="17"/>
                <w:color w:val="auto"/>
              </w:rPr>
            </w:pPr>
          </w:p>
        </w:tc>
      </w:tr>
      <w:tr>
        <w:trPr>
          <w:trHeight w:val="203"/>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Arial" w:cs="Arial" w:eastAsia="Arial" w:hAnsi="Arial"/>
                <w:sz w:val="16"/>
                <w:szCs w:val="16"/>
                <w:color w:val="auto"/>
              </w:rPr>
              <w:t>Cash paid for: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0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r>
      <w:tr>
        <w:trPr>
          <w:trHeight w:val="203"/>
        </w:trPr>
        <w:tc>
          <w:tcPr>
            <w:tcW w:w="6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340" w:type="dxa"/>
            <w:vAlign w:val="bottom"/>
          </w:tcPr>
          <w:p>
            <w:pPr>
              <w:ind w:left="220"/>
              <w:spacing w:after="0"/>
              <w:rPr>
                <w:sz w:val="20"/>
                <w:szCs w:val="20"/>
                <w:color w:val="auto"/>
              </w:rPr>
            </w:pPr>
            <w:r>
              <w:rPr>
                <w:rFonts w:ascii="Arial" w:cs="Arial" w:eastAsia="Arial" w:hAnsi="Arial"/>
                <w:sz w:val="16"/>
                <w:szCs w:val="16"/>
                <w:color w:val="auto"/>
              </w:rPr>
              <w:t>Net change in accounts payable related to property and equipment additions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4,582</w:t>
            </w: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80" w:hanging="67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80" w:hanging="677"/>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3" w:lineRule="exact"/>
        <w:rPr>
          <w:sz w:val="20"/>
          <w:szCs w:val="20"/>
          <w:color w:val="auto"/>
        </w:rPr>
      </w:pPr>
    </w:p>
    <w:p>
      <w:pPr>
        <w:ind w:left="680" w:hanging="677"/>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67" w:lineRule="exact"/>
        <w:rPr>
          <w:sz w:val="20"/>
          <w:szCs w:val="20"/>
          <w:color w:val="auto"/>
        </w:rPr>
      </w:pPr>
    </w:p>
    <w:p>
      <w:pPr>
        <w:ind w:left="680" w:hanging="677"/>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rates. Management believes that the interest rates in effect at each year end represent the current market rates for similar borrowings.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300" w:firstLine="648"/>
        <w:spacing w:after="0" w:line="286" w:lineRule="auto"/>
        <w:rPr>
          <w:sz w:val="20"/>
          <w:szCs w:val="20"/>
          <w:color w:val="auto"/>
        </w:rPr>
      </w:pPr>
      <w:r>
        <w:rPr>
          <w:rFonts w:ascii="Arial" w:cs="Arial" w:eastAsia="Arial" w:hAnsi="Arial"/>
          <w:sz w:val="17"/>
          <w:szCs w:val="17"/>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6"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80" w:hanging="677"/>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considers all highly liquid securities with an original maturity of ninety days or less from the date of purchase to be cash equivalents. Cash in foreign accounts was approximately $8.0 million and $21.0 million at December 31, 2018 and 2017, respectively.</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2018, approximately $46.1 million of U.S. deposits were not covered by FDIC insurance. The Company has not experienced any losses and believes it is not exposed to any significant risk with such accounts.</w:t>
      </w:r>
    </w:p>
    <w:p>
      <w:pPr>
        <w:spacing w:after="0" w:line="158"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 is required to maintain a compensation deposit equal to 30% of its bank acceptance notes to vendors. The Company’s Taiwan and China subsidiaries also use time deposits for customs guarantees. As of December 31, 2018 and 2017, the amount of restricted cash was $2.4 million and $1.0 million, respectively.</w:t>
      </w:r>
    </w:p>
    <w:p>
      <w:pPr>
        <w:spacing w:after="0" w:line="166"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66" w:lineRule="exact"/>
        <w:rPr>
          <w:sz w:val="20"/>
          <w:szCs w:val="20"/>
          <w:color w:val="auto"/>
        </w:rPr>
      </w:pPr>
    </w:p>
    <w:p>
      <w:pPr>
        <w:ind w:left="540" w:hanging="537"/>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from a limited number of customers. In 2018, 2017 and 2016, its top five customers represented 85.7%, 86.1% and 87.8%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revenue, respectively. In 2018, Facebook, Microsoft and Amazon represented 38.3%, 22.1% and 12.1% of its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In 2017, Amazon, Facebook and Microsoft represented 35.4%, 28.6% and 13.8% of its revenue, respectively.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Amazon, Microsoft and Arris represented 54.6%, 18.3% and 5.8% of its revenue, respectively. The five largest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receivable balances for customers represented an aggregate of 70.2%, and 82.6% of total accounts receivable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2017, respectively. As of December 31, 2018, Microsoft, Amazon and Facebook represented 23.2%,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18.7% and 12.6% of total accounts receivable, respectively. As of December 31, 2017, Amazon and Microsoft represented</w:t>
      </w:r>
    </w:p>
    <w:p>
      <w:pPr>
        <w:spacing w:after="0" w:line="32" w:lineRule="exact"/>
        <w:rPr>
          <w:sz w:val="20"/>
          <w:szCs w:val="20"/>
          <w:color w:val="auto"/>
        </w:rPr>
      </w:pPr>
    </w:p>
    <w:p>
      <w:pPr>
        <w:jc w:val="both"/>
        <w:ind w:right="580"/>
        <w:spacing w:after="0" w:line="323" w:lineRule="auto"/>
        <w:rPr>
          <w:sz w:val="20"/>
          <w:szCs w:val="20"/>
          <w:color w:val="auto"/>
        </w:rPr>
      </w:pPr>
      <w:r>
        <w:rPr>
          <w:rFonts w:ascii="Arial" w:cs="Arial" w:eastAsia="Arial" w:hAnsi="Arial"/>
          <w:sz w:val="16"/>
          <w:szCs w:val="16"/>
          <w:color w:val="auto"/>
        </w:rPr>
        <w:t>36.1% and 19.5% of total accounts receivable, respectively. No other customer represented greater than ten percent of revenue in 2018, 2017 or 2016 or greater than ten percent of total accounts receivable at December 31, 2018 or 2017.</w:t>
      </w:r>
    </w:p>
    <w:p>
      <w:pPr>
        <w:spacing w:after="0" w:line="139" w:lineRule="exact"/>
        <w:rPr>
          <w:sz w:val="20"/>
          <w:szCs w:val="20"/>
          <w:color w:val="auto"/>
        </w:rPr>
      </w:pPr>
    </w:p>
    <w:p>
      <w:pPr>
        <w:ind w:left="580" w:hanging="577"/>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47" w:lineRule="exact"/>
        <w:rPr>
          <w:sz w:val="20"/>
          <w:szCs w:val="20"/>
          <w:color w:val="auto"/>
        </w:rPr>
      </w:pPr>
    </w:p>
    <w:p>
      <w:pPr>
        <w:ind w:left="680" w:hanging="677"/>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gridSpan w:val="2"/>
          </w:tcPr>
          <w:p>
            <w:pPr>
              <w:ind w:left="1840"/>
              <w:spacing w:after="0"/>
              <w:rPr>
                <w:sz w:val="20"/>
                <w:szCs w:val="20"/>
                <w:color w:val="auto"/>
              </w:rPr>
            </w:pPr>
            <w:r>
              <w:rPr>
                <w:rFonts w:ascii="Arial" w:cs="Arial" w:eastAsia="Arial" w:hAnsi="Arial"/>
                <w:sz w:val="18"/>
                <w:szCs w:val="18"/>
                <w:b w:val="1"/>
                <w:bCs w:val="1"/>
                <w:color w:val="auto"/>
              </w:rPr>
              <w:t>Useful lives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20 - 42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Land improvements</w:t>
            </w:r>
          </w:p>
        </w:tc>
        <w:tc>
          <w:tcPr>
            <w:tcW w:w="5700" w:type="dxa"/>
            <w:vAlign w:val="bottom"/>
            <w:gridSpan w:val="4"/>
          </w:tcPr>
          <w:p>
            <w:pPr>
              <w:ind w:left="86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2</w:t>
            </w:r>
          </w:p>
        </w:tc>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3</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3</w:t>
            </w:r>
          </w:p>
        </w:tc>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700" w:type="dxa"/>
            <w:vAlign w:val="bottom"/>
            <w:gridSpan w:val="4"/>
          </w:tcPr>
          <w:p>
            <w:pPr>
              <w:ind w:left="860"/>
              <w:spacing w:after="0" w:line="201" w:lineRule="exact"/>
              <w:rPr>
                <w:sz w:val="20"/>
                <w:szCs w:val="20"/>
                <w:color w:val="auto"/>
              </w:rPr>
            </w:pPr>
            <w:r>
              <w:rPr>
                <w:rFonts w:ascii="Arial" w:cs="Arial" w:eastAsia="Arial" w:hAnsi="Arial"/>
                <w:sz w:val="18"/>
                <w:szCs w:val="18"/>
                <w:color w:val="auto"/>
                <w:w w:val="95"/>
              </w:rPr>
              <w:t>The shorter of the life of the applicable lease or the useful life of</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700" w:type="dxa"/>
            <w:vAlign w:val="bottom"/>
            <w:gridSpan w:val="4"/>
          </w:tcPr>
          <w:p>
            <w:pPr>
              <w:ind w:left="860"/>
              <w:spacing w:after="0"/>
              <w:rPr>
                <w:sz w:val="20"/>
                <w:szCs w:val="20"/>
                <w:color w:val="auto"/>
              </w:rPr>
            </w:pPr>
            <w:r>
              <w:rPr>
                <w:rFonts w:ascii="Arial" w:cs="Arial" w:eastAsia="Arial" w:hAnsi="Arial"/>
                <w:sz w:val="18"/>
                <w:szCs w:val="18"/>
                <w:color w:val="auto"/>
              </w:rPr>
              <w:t>the improvement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7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87" w:lineRule="exact"/>
        <w:rPr>
          <w:sz w:val="20"/>
          <w:szCs w:val="20"/>
          <w:color w:val="auto"/>
        </w:rPr>
      </w:pPr>
    </w:p>
    <w:p>
      <w:pPr>
        <w:ind w:left="680" w:hanging="677"/>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Intangible assets consist of intellectual property that is stated at cost less accumulated amortization. As of December 31, 2018, the Company had 265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677"/>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(“ASC 360”). Long-lived assets consist primarily of property, plant and equipment. In accordance 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2018 or 2017.</w:t>
      </w:r>
    </w:p>
    <w:p>
      <w:pPr>
        <w:spacing w:after="0" w:line="169" w:lineRule="exact"/>
        <w:rPr>
          <w:sz w:val="20"/>
          <w:szCs w:val="20"/>
          <w:color w:val="auto"/>
        </w:rPr>
      </w:pPr>
    </w:p>
    <w:p>
      <w:pPr>
        <w:ind w:left="680" w:hanging="677"/>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(“ASC 220”) establishes rules for reporting and display of comprehensive income and its components. ASC 220 requires that unrealized gains and losses on the Company’s foreign currency translation adjustments be included in comprehensive income (loss).</w:t>
      </w:r>
    </w:p>
    <w:p>
      <w:pPr>
        <w:spacing w:after="0" w:line="181" w:lineRule="exact"/>
        <w:rPr>
          <w:sz w:val="20"/>
          <w:szCs w:val="20"/>
          <w:color w:val="auto"/>
        </w:rPr>
      </w:pPr>
    </w:p>
    <w:p>
      <w:pPr>
        <w:ind w:left="680" w:hanging="677"/>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Company accounts for share-based compensation in accordance with the provisions of ASC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Share-based compensation expense is recognized based on the estimated grant date fair value in order</w:t>
      </w:r>
      <w:r>
        <w:rPr>
          <w:rFonts w:ascii="Arial" w:cs="Arial" w:eastAsia="Arial" w:hAnsi="Arial"/>
          <w:sz w:val="17"/>
          <w:szCs w:val="17"/>
          <w:i w:val="1"/>
          <w:iCs w:val="1"/>
          <w:color w:val="auto"/>
        </w:rPr>
        <w:t xml:space="preserve"> </w:t>
      </w:r>
      <w:r>
        <w:rPr>
          <w:rFonts w:ascii="Arial" w:cs="Arial" w:eastAsia="Arial" w:hAnsi="Arial"/>
          <w:sz w:val="17"/>
          <w:szCs w:val="17"/>
          <w:color w:val="auto"/>
        </w:rPr>
        <w:t>to recognize compensation cost for those shares expected to vest. Compensation cost is recognized on a straight-line basis over the vesting period of the options and adjusted as forfeitures occur.</w:t>
      </w:r>
    </w:p>
    <w:p>
      <w:pPr>
        <w:spacing w:after="0" w:line="171" w:lineRule="exact"/>
        <w:rPr>
          <w:sz w:val="20"/>
          <w:szCs w:val="20"/>
          <w:color w:val="auto"/>
        </w:rPr>
      </w:pPr>
    </w:p>
    <w:p>
      <w:pPr>
        <w:ind w:left="680" w:hanging="677"/>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Specifically, the Company recognizes revenue when obligations under the terms of a contract with its customer are satisfied; generally this occurs with the transfer of control of products or services.</w:t>
      </w:r>
    </w:p>
    <w:p>
      <w:pPr>
        <w:spacing w:after="0" w:line="187" w:lineRule="exact"/>
        <w:rPr>
          <w:sz w:val="20"/>
          <w:szCs w:val="20"/>
          <w:color w:val="auto"/>
        </w:rPr>
      </w:pPr>
    </w:p>
    <w:p>
      <w:pPr>
        <w:ind w:left="680" w:hanging="677"/>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cost of sales will increase in the future. As of December 31, 2018 and 2017, the amount of accrued warranty was $1.0 million and $1.1 million, respectively.</w:t>
      </w:r>
    </w:p>
    <w:p>
      <w:pPr>
        <w:spacing w:after="0" w:line="189" w:lineRule="exact"/>
        <w:rPr>
          <w:sz w:val="20"/>
          <w:szCs w:val="20"/>
          <w:color w:val="auto"/>
        </w:rPr>
      </w:pPr>
    </w:p>
    <w:p>
      <w:pPr>
        <w:ind w:left="720" w:hanging="717"/>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$0.5 million, $0.3 million and $0.2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677"/>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Research and development costs are charged to operations as incurred. The Company receives reimbursement for certain development costs, which are capitalized when incurred, up to the reimbursable amount.</w:t>
      </w:r>
    </w:p>
    <w:p>
      <w:pPr>
        <w:spacing w:after="0" w:line="147" w:lineRule="exact"/>
        <w:rPr>
          <w:sz w:val="20"/>
          <w:szCs w:val="20"/>
          <w:color w:val="auto"/>
        </w:rPr>
      </w:pPr>
    </w:p>
    <w:p>
      <w:pPr>
        <w:ind w:left="720" w:hanging="717"/>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81" w:lineRule="exact"/>
        <w:rPr>
          <w:sz w:val="20"/>
          <w:szCs w:val="20"/>
          <w:color w:val="auto"/>
        </w:rPr>
      </w:pPr>
    </w:p>
    <w:p>
      <w:pPr>
        <w:ind w:left="540" w:hanging="537"/>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Adopted in 2018</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In October 2016, the FASB issued ASU No. 2016-16, Income Taxes (Topic 740): Intra-Entity Transfers of Assets Other Than Inventory, which requires the recognition of the income tax consequences of an intra-entity transfer of an asset, other than inventory, when the transfer occurs. The Company adopted the guidance on January 1, 2018, with no impact on the financial statements.</w:t>
      </w:r>
    </w:p>
    <w:p>
      <w:pPr>
        <w:spacing w:after="0" w:line="21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The new revenue recognition guidance establishes a new control-based revenue recognition model, changes the basis for deciding when revenue is recognized over time or at a point in time, provides new and more detailed guidance on specific topics and expands and improves disclosures about revenue. The Company evaluated its revenues and the new guidance had immaterial impact to recognition practices upon adoption on January 1, 2018. As part of the adoption, the Company elected to apply the new guidance on a modified retrospective basis. The Company did not record a cumulative effect adjustment to retained earnings for initially applying the new guidance as no revenue recognition differences were identified in the timing or amount of revenue. See Note C, "Revenue Recognition" for additional information on the required disclosures related to the impact of adopting this standard.</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with further clarifications made in February 2018 with the issuance of ASU No.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with no impact on its financial statements.</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March 2018, the FASB issued ASU No. 2018-05, Income Taxes (Topic 740): Amendments to SEC Paragraphs Pursuant to SEC Staff Accounting Bulletin No. 118. ASU No. 2018-05, effective 2018, expands income tax accounting and disclosure guidance to include SAB 118 issued by the SEC in December 2017. SAB 118 provides guidance on accounting for the income tax effects of the U.S. Tax Cuts and Jobs Act of 2017 (the “Tax Act”) and among other things allows for a measurement period not to exceed one year for companies to finalize the provisional amounts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recorded as of December 31, 2017. See Note M, “Income Taxes” for additional information on the Company’s accounting for the Tax Act.</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Tax Cuts and Jobs Act (the "Tax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the Company elected to treat any potential GILTI inclusions as a period cost as there was no material impact from GILTI inclusions. See Note M, “Income Taxes” for additional information on the Company’s accounting for the Tax Act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25, 2016, the FASB released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guidance is effective for public business entities in fiscal years beginning after December 15, 2018. The Company expects to adopt the new standard on January 1, 2019 and has elected to recognize a cumulative effect adjustment to the beginning balance sheet of retained earnings in the period of adoption pursuant to ASU 2018-11. The Company expects to use the package of practical expedients that allows it not reassess under the new standard its prior conclusion about lease identification, lease classifications and initial indirect costs. The Company will adopt this ASU on January 1, 2019 with a cumulative adjustment to retained earnings. The Company believes the most significant effects relate to the recognition of new ROU assets and lease liabilities on its balance sheet for its Taiwan branch. Upon adoption, the Company expects to recognize additional operating liabilities in approximately $10.3 million, with corresponding ROU assets of approximately $9.3 million based on the present value of the remaining minimum rental payments under the current leasing standards for existing operating leases. The Company has additionally assessed the impact of Topic 842 on its internal controls over financial reporting.</w:t>
      </w:r>
    </w:p>
    <w:p>
      <w:pPr>
        <w:spacing w:after="0" w:line="17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June 2016, the FASB issued ASU 2016-13 Financial Instruments - Credit Losses, Measurement of Credit Losses on Financial Instruments, which changes the way entities measure credit losses for most financial assets and certain other instruments that are not measured at fair value through net earnings. The new standard is effective for annual periods beginning after December 15, 2019, including interim periods within those annual periods. The Company is evaluating the impact the adoption of the new standard will have on its consolidated financial statements and related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its historic accounting under Revenue Recognition ("Topic 605").</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Revenue is classified based on the location of where the product is manufactured. For additional information on the disaggregated revenues by geographical region, see Note P, "Segments and Geographic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Years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5"/>
              </w:rPr>
              <w:t>Revenue</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Data Center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200,236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$ 306,712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$ 201,314</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CATV</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51,699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60,756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43,567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FTTH</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30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267,465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$ 382,329</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$ 260,713</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D—CASH, CASH EQUIVALENTS AND RESTRICTED CASH</w:t>
      </w:r>
    </w:p>
    <w:p>
      <w:pPr>
        <w:spacing w:after="0" w:line="229" w:lineRule="exact"/>
        <w:rPr>
          <w:sz w:val="20"/>
          <w:szCs w:val="20"/>
          <w:color w:val="auto"/>
        </w:rPr>
      </w:pPr>
    </w:p>
    <w:p>
      <w:pPr>
        <w:ind w:right="180" w:firstLine="648"/>
        <w:spacing w:after="0" w:line="338"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2"/>
              </w:rPr>
              <w:t>As of 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182"/>
        </w:trPr>
        <w:tc>
          <w:tcPr>
            <w:tcW w:w="6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Total cash, cash equivalents and restricted cash shown in the statement of cash</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58,004</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0" w:type="dxa"/>
            <w:vAlign w:val="bottom"/>
          </w:tcPr>
          <w:p>
            <w:pPr>
              <w:spacing w:after="0"/>
              <w:rPr>
                <w:sz w:val="1"/>
                <w:szCs w:val="1"/>
                <w:color w:val="auto"/>
              </w:rPr>
            </w:pPr>
          </w:p>
        </w:tc>
      </w:tr>
      <w:tr>
        <w:trPr>
          <w:trHeight w:val="22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flows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E—EARNINGS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options and restricted stock units outstanding during the period. In periods with net losses, normally dilutive shares become anti-dilutive. Therefore, basic and dilutive earnings per share are the same.</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presents the computation of the basic and diluted net income (loss)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6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Denominator:</w:t>
            </w: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19,097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dilutive options and restricted stock units</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760" w:type="dxa"/>
            <w:vAlign w:val="bottom"/>
          </w:tcPr>
          <w:p>
            <w:pPr>
              <w:ind w:left="4320"/>
              <w:spacing w:after="0"/>
              <w:rPr>
                <w:sz w:val="20"/>
                <w:szCs w:val="20"/>
                <w:color w:val="auto"/>
              </w:rPr>
            </w:pPr>
            <w:r>
              <w:rPr>
                <w:rFonts w:ascii="Arial" w:cs="Arial" w:eastAsia="Arial" w:hAnsi="Arial"/>
                <w:sz w:val="18"/>
                <w:szCs w:val="18"/>
                <w:color w:val="auto"/>
              </w:rPr>
              <w:t>F - 15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diluted net income (loss) per share as their effect would have been antidilutive during periods of net loss: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88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7"/>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shares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inventories consisted of the following (in thousands):</w:t>
      </w: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$ 30,214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49,192</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31,060</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60" w:type="dxa"/>
            <w:vAlign w:val="bottom"/>
            <w:shd w:val="clear" w:color="auto" w:fill="CCEEFF"/>
          </w:tcPr>
          <w:p>
            <w:pPr>
              <w:spacing w:after="0"/>
              <w:rPr>
                <w:sz w:val="18"/>
                <w:szCs w:val="18"/>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Total inventory</w:t>
            </w:r>
          </w:p>
        </w:tc>
        <w:tc>
          <w:tcPr>
            <w:tcW w:w="15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$ 93,256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$ 75,768</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years ended December 31, 2018, 2017 and 2016, the lower of cost or market reserve adjustment expensed for inventory was $7.2 million, $1.9 million and $3.7 million, respectively. For the years December 21, 2018, 2017 and 2016, the direct inventory write-offs related to scrap and damaged inventories were $3.5 million, $6.8 million and $5.0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78,785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168,993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10"/>
        </w:trPr>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311,894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262,213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(95,233)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(70,194)</w:t>
            </w:r>
          </w:p>
        </w:tc>
      </w:tr>
      <w:tr>
        <w:trPr>
          <w:trHeight w:val="210"/>
        </w:trPr>
        <w:tc>
          <w:tcPr>
            <w:tcW w:w="7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216,661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192,019</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4,823</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234,211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197,943</w:t>
            </w: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years ended December 31, 2018, 2017 and 2016, depreciation expense of property, plant and equipment was $29.2 million $19.9 million and $13.7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19"/>
        </w:trPr>
        <w:tc>
          <w:tcPr>
            <w:tcW w:w="5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8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assets, net</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378"/>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19"/>
        </w:trPr>
        <w:tc>
          <w:tcPr>
            <w:tcW w:w="5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8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assets, net</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For the years ended December 31, 2018, 2017 and 2016, amortization expense for intangible assets, included in general and administrative expenses on the income statement, was $0.5 million each year. The remaining weighted average amortization period for intangible assets is approximately 8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2018, future amortization expense for intangible assets is estimated to be (in thousands):</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2020</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2022</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1,448</w:t>
            </w:r>
          </w:p>
        </w:tc>
      </w:tr>
      <w:tr>
        <w:trPr>
          <w:trHeight w:val="217"/>
        </w:trPr>
        <w:tc>
          <w:tcPr>
            <w:tcW w:w="366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3,977</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I—FAIR VALUE OF FINANCIAL INSTRUMENTS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2018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remaining</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unobservable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assets (Level 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 (Level 2)</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3"/>
              </w:rPr>
              <w:t>inputs (Level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55,646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55,646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58,004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Bank acceptance payable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160" w:type="dxa"/>
            <w:vAlign w:val="bottom"/>
          </w:tcPr>
          <w:p>
            <w:pPr>
              <w:spacing w:after="0"/>
              <w:rPr>
                <w:sz w:val="24"/>
                <w:szCs w:val="24"/>
                <w:color w:val="auto"/>
              </w:rPr>
            </w:pPr>
          </w:p>
        </w:tc>
        <w:tc>
          <w:tcPr>
            <w:tcW w:w="1880" w:type="dxa"/>
            <w:vAlign w:val="bottom"/>
            <w:gridSpan w:val="2"/>
          </w:tcPr>
          <w:p>
            <w:pPr>
              <w:jc w:val="right"/>
              <w:ind w:right="227"/>
              <w:spacing w:after="0"/>
              <w:rPr>
                <w:sz w:val="20"/>
                <w:szCs w:val="20"/>
                <w:color w:val="auto"/>
              </w:rPr>
            </w:pPr>
            <w:r>
              <w:rPr>
                <w:rFonts w:ascii="Arial" w:cs="Arial" w:eastAsia="Arial" w:hAnsi="Arial"/>
                <w:sz w:val="18"/>
                <w:szCs w:val="18"/>
                <w:color w:val="auto"/>
              </w:rPr>
              <w:t>F - 17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assets (Level 1)</w:t>
            </w:r>
          </w:p>
        </w:tc>
        <w:tc>
          <w:tcPr>
            <w:tcW w:w="1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inputs (Level 2)</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82,936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82,936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83,984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Revolving line of credit with a U.S. bank up to $60,000 with interest at LIBOR plus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1.4%, maturing September 28, 2020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6"/>
              </w:rPr>
              <w:t>Term loan with a U.S. bank with monthly payments of principal and interest at LIBOR plus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1.15%, maturing April 1, 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Term loan with a U.S. bank with monthly payments of principal and interest at LIBOR plus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1.3%, maturing between April 1, 2023 and December 18, 2023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Revolving line of credit with a Taiwan bank up to $9,767 with interest at 2%, maturing May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31, 2019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Revolving line of credit with a Taiwan bank up to $7,000 with interest at 1.5%, maturing July</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26, 2019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4.5% interest, which</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matured May 27, 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Notes payable to a finance company due in monthly installments with 3.4% interest, maturing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November 30, 2021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$18,599 with interest ranging from 3.7% to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49,559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issuance costs, net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(23,589)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48,964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bottom w:val="single" w:sz="8" w:color="auto"/>
            </w:tcBorders>
            <w:shd w:val="clear" w:color="auto" w:fill="CCEEFF"/>
          </w:tcPr>
          <w:p>
            <w:pPr>
              <w:ind w:left="2440"/>
              <w:spacing w:after="0"/>
              <w:rPr>
                <w:sz w:val="20"/>
                <w:szCs w:val="20"/>
                <w:color w:val="auto"/>
              </w:rPr>
            </w:pPr>
            <w:r>
              <w:rPr>
                <w:rFonts w:ascii="Arial" w:cs="Arial" w:eastAsia="Arial" w:hAnsi="Arial"/>
                <w:sz w:val="14"/>
                <w:szCs w:val="14"/>
                <w:b w:val="1"/>
                <w:bCs w:val="1"/>
                <w:color w:val="auto"/>
              </w:rPr>
              <w:t>Bank Acceptance Notes Payable</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Maturities of notes payable and long-term debt are as follows for the future years ending December 31 (in thousands):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23,589</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31,375</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2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100" w:type="dxa"/>
            <w:vAlign w:val="bottom"/>
            <w:tcBorders>
              <w:bottom w:val="single" w:sz="8" w:color="CCEEFF"/>
            </w:tcBorders>
          </w:tcPr>
          <w:p>
            <w:pPr>
              <w:spacing w:after="0"/>
              <w:rPr>
                <w:sz w:val="18"/>
                <w:szCs w:val="18"/>
                <w:color w:val="auto"/>
              </w:rPr>
            </w:pPr>
          </w:p>
        </w:tc>
      </w:tr>
      <w:tr>
        <w:trPr>
          <w:trHeight w:val="21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83,917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 As of December 31, 2018, the Company was in compliance with all covenants under the Amended Credit Facility. As of December 31, 2018, $23.1 million was outstanding under the Line of Credit, $20.1 million was outstanding under the Term Loan and $19.2 million was outstanding under the CapEx Loan.</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approximately $6.0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had a three-year term, with monthly payments, that matured on May 27, 2018. The title to the equipment was transferred to the Company’s Taiwan branch upon the expiration of the Finance Lease Agreement.</w:t>
      </w:r>
    </w:p>
    <w:p>
      <w:pPr>
        <w:spacing w:after="0" w:line="17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On June 19, 2018, Prime World entered into a one year revolving credit facility totaling 300 million New Taiwan dollars (“NT$”), or approximately $9.8 million, (the “Taiwan Credit Facility”) with Taishin International Bank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Taiwan (the “Bank”). Borrowing under the Taiwan Credit Facility will be used for short-term working capital. Prime World may draw upon the Taiwan Credit Facility from June 19, 2018 until May 31, 2019. The term of each draw shall be either 90 or 120 days. Borrowings under the Taiwan Credit Facility bear interest at a rate of 2.00% for 90 day draws and 1.95% for 120 day draws. At the end of the draw term, Prime World is required to make payments for all principal and accrued interest. The agreements for the Taiwan Credit Facility contain representations and warranties and events of default applicable to Prime World that are customary for agreements of this type. As of December 31, 2018, $3.3 million was outstanding under the Taiwan Credit Facility.</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 of the draw. Borrowings under the Revolving Credit Facility bear interest at a rate equal to DBS’s cost of funds rate plus 1.25% for draws in U.S. Dollars and 1.35% plus the Bank’s cost of funds rate for draws in New Taiwan Dollars. As of the execution of the Revolving Credit Facility, DBS’s cost of fund’s rate is 0.77% for loans made in New Taiwan Dollars and 2.54% for loans made in U.S. Dollars. DBS’s cost of fund’s rate is adjusted daily. Prime World is required to make monthly payments of accrued interest with the final monthly payment being for all principal and all accrued interest not yet paid. Prime World’s obligations under the Revolving Credit Facility is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December 31, 2018, $3.6 million was outstanding under the Revolving Credit Facility.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November 29, 2018, Prime World entered into a Purchase and Sale Contract (the “Sale Contract”) and a Finance Lease Agreement with Chailease Finance Co., Ltd. (“Chailease”) in connection with certain equipment, structured as a sale lease-back transaction. Pursuant to the Sale Contract, Prime World sold certain equipment to Chailease for a purchase price of NT$267,340,468, or approximately $8.7 million. Simultaneously, Prime World leased the equipment back from Chailease for a term of three-years, pursuant to the Finance Lease Agreement. Prime World is obligated to pay an initial payment of NT$67,340,468, or approximately $2.2 million, thereafter the monthly lease payments range from NT$5,571,229, or $0.2 million, to NT$6,139,188, or approximately $0.2 million. Based on the lease payments made under the Finance Lease Agreement, the annual interest rate is calculated to be 3.5%. Upon an event of default under the Finance Lease Agreement, Prime World’s payment obligation will be secured by a promissory note to Chailease in the amount of NT$210,601,605, or approximately $6.8 million, subject to certain terms and conditions. The title of the equipment will be transferred to Prime World upon expiration of the Finance Lease Agreement. As of December 31, 2018, $6.3 million was outstanding under the Finance Lease Agreement.</w:t>
      </w:r>
    </w:p>
    <w:p>
      <w:pPr>
        <w:spacing w:after="0" w:line="18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December 11, 2018, Prime World entered into a one-year credit facility totaling New Taiwan Dollars 150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New Taiwan Dollars will bear interest at a rate equal to CTBC’s Enterprise Swap Index Rate plus 1.2%; for all foreign currency borrowing interest bear at a rate equal to CTBC’s Cost of Fund lending rate plus 1.2%. As of the execution of the Credit Facility, CTBC’s Enterprise Swap Index Rate and Cost of Funds lending rate is 0.69% and 3.40% respectively. At the end of the draw term, Prime World is required to make payments for all principal and accrued interest. The agreements for the Credit Facility contain representations and warranties, and events of default applicable to Prime World that are customary for agreements of this type. As of December 31, 2018, there was no outstanding balance under the Credit Facility.</w:t>
      </w:r>
    </w:p>
    <w:p>
      <w:pPr>
        <w:spacing w:after="0" w:line="169"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color w:val="auto"/>
        </w:rPr>
        <w:t>On September 21, 2018, the Company’s China subsidiary, Global Technology, Inc.,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is secured by real property owned by Global in China and mortgaged to CCB under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terms of the Security Agreement. As of December 31, 2018, $8.7 million was outstanding under the Credit Line and the outstanding balance of bank acceptance notes issued to vendors was $4.6 million.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2018 and 2017, the Company had $69.4 million and $1.0 million of unused borrowing capacity,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2.50% and 1.56% at December 31, 2018 and 2017, respectively.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2018 and 2017, there was $2.4 million and $1.0 million of restricted cash, investments or security deposit associated mainly with the loan facilities,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4760" w:type="dxa"/>
            <w:vAlign w:val="bottom"/>
          </w:tcPr>
          <w:p>
            <w:pPr>
              <w:spacing w:after="0"/>
              <w:rPr>
                <w:sz w:val="14"/>
                <w:szCs w:val="14"/>
                <w:color w:val="auto"/>
              </w:rPr>
            </w:pPr>
          </w:p>
        </w:tc>
        <w:tc>
          <w:tcPr>
            <w:tcW w:w="3260" w:type="dxa"/>
            <w:vAlign w:val="bottom"/>
            <w:gridSpan w:val="2"/>
          </w:tcPr>
          <w:p>
            <w:pPr>
              <w:ind w:left="274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2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$ 10,772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rent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capital expenditures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other</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8"/>
                <w:szCs w:val="18"/>
                <w:color w:val="auto"/>
              </w:rPr>
            </w:pPr>
          </w:p>
        </w:tc>
      </w:tr>
      <w:tr>
        <w:trPr>
          <w:trHeight w:val="217"/>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$ 19,291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7"/>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sources of the Company’s income (loss) from operations before income taxes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$ 17,497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10,047</w:t>
            </w:r>
          </w:p>
        </w:tc>
        <w:tc>
          <w:tcPr>
            <w:tcW w:w="4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3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10,956</w:t>
            </w:r>
          </w:p>
        </w:tc>
        <w:tc>
          <w:tcPr>
            <w:tcW w:w="40" w:type="dxa"/>
            <w:vAlign w:val="bottom"/>
            <w:tcBorders>
              <w:bottom w:val="single" w:sz="8" w:color="CCEEFF"/>
            </w:tcBorders>
          </w:tcPr>
          <w:p>
            <w:pPr>
              <w:spacing w:after="0"/>
              <w:rPr>
                <w:sz w:val="18"/>
                <w:szCs w:val="18"/>
                <w:color w:val="auto"/>
              </w:rPr>
            </w:pPr>
          </w:p>
        </w:tc>
      </w:tr>
      <w:tr>
        <w:trPr>
          <w:trHeight w:val="21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(loss) before income taxes</w:t>
            </w:r>
          </w:p>
        </w:tc>
        <w:tc>
          <w:tcPr>
            <w:tcW w:w="3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$ 84,526</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21,003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864"/>
        </w:trPr>
        <w:tc>
          <w:tcPr>
            <w:tcW w:w="3600" w:type="dxa"/>
            <w:vAlign w:val="bottom"/>
          </w:tcPr>
          <w:p>
            <w:pPr>
              <w:spacing w:after="0"/>
              <w:rPr>
                <w:sz w:val="24"/>
                <w:szCs w:val="24"/>
                <w:color w:val="auto"/>
              </w:rPr>
            </w:pPr>
          </w:p>
        </w:tc>
        <w:tc>
          <w:tcPr>
            <w:tcW w:w="3140" w:type="dxa"/>
            <w:vAlign w:val="bottom"/>
            <w:gridSpan w:val="2"/>
          </w:tcPr>
          <w:p>
            <w:pPr>
              <w:jc w:val="right"/>
              <w:ind w:right="1910"/>
              <w:spacing w:after="0"/>
              <w:rPr>
                <w:sz w:val="20"/>
                <w:szCs w:val="20"/>
                <w:color w:val="auto"/>
              </w:rPr>
            </w:pPr>
            <w:r>
              <w:rPr>
                <w:rFonts w:ascii="Arial" w:cs="Arial" w:eastAsia="Arial" w:hAnsi="Arial"/>
                <w:sz w:val="18"/>
                <w:szCs w:val="18"/>
                <w:color w:val="auto"/>
              </w:rPr>
              <w:t>F - 21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 for income tax expense (benefit) for the years ended December 31,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0"/>
                <w:szCs w:val="20"/>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10,965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10,673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(10,794)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(10,231)</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 carryforward</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$ 12,049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Inventory reserves</w:t>
            </w:r>
          </w:p>
        </w:tc>
        <w:tc>
          <w:tcPr>
            <w:tcW w:w="2300" w:type="dxa"/>
            <w:vAlign w:val="bottom"/>
            <w:gridSpan w:val="3"/>
          </w:tcPr>
          <w:p>
            <w:pPr>
              <w:jc w:val="right"/>
              <w:ind w:right="60"/>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837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AMT credit</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23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tax credit</w:t>
            </w:r>
          </w:p>
        </w:tc>
        <w:tc>
          <w:tcPr>
            <w:tcW w:w="2300" w:type="dxa"/>
            <w:vAlign w:val="bottom"/>
            <w:gridSpan w:val="3"/>
          </w:tcPr>
          <w:p>
            <w:pPr>
              <w:jc w:val="right"/>
              <w:ind w:right="60"/>
              <w:spacing w:after="0"/>
              <w:rPr>
                <w:sz w:val="20"/>
                <w:szCs w:val="20"/>
                <w:color w:val="auto"/>
              </w:rPr>
            </w:pPr>
            <w:r>
              <w:rPr>
                <w:rFonts w:ascii="Arial" w:cs="Arial" w:eastAsia="Arial" w:hAnsi="Arial"/>
                <w:sz w:val="18"/>
                <w:szCs w:val="18"/>
                <w:color w:val="auto"/>
              </w:rPr>
              <w:t>4,599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2,018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w:t>
            </w:r>
          </w:p>
        </w:tc>
        <w:tc>
          <w:tcPr>
            <w:tcW w:w="2300" w:type="dxa"/>
            <w:vAlign w:val="bottom"/>
            <w:gridSpan w:val="3"/>
          </w:tcPr>
          <w:p>
            <w:pPr>
              <w:jc w:val="right"/>
              <w:ind w:right="6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r>
      <w:tr>
        <w:trPr>
          <w:trHeight w:val="21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assets</w:t>
            </w:r>
          </w:p>
        </w:tc>
        <w:tc>
          <w:tcPr>
            <w:tcW w:w="16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26,463</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16,962</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23"/>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16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(4,749)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$ 21,714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12,801</w:t>
            </w:r>
          </w:p>
        </w:tc>
      </w:tr>
      <w:tr>
        <w:trPr>
          <w:trHeight w:val="27"/>
        </w:trPr>
        <w:tc>
          <w:tcPr>
            <w:tcW w:w="40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has a U.S. net operating loss carry forward of approximately $47.4 million, $32.8 million of which, if unused, expires between 2025 and 2032 and $14.6 million of which, can be carryforward indefinitely. The Company has U.S. and state research and development tax credits of $6.6 million, which, if unused, expire between 2028 and 2038. In addition, the Company has foreign tax credits of $4.6 million, which, if unused, will expire in 2027. Utilization of U.S. net operating losses and tax credit carry forwards are subject to an annual limitation due to the ownership change limitations set forth in Internal Revenue Code Section 382. During 2016, the Company updated its Section 382 analysis resulting in the recognition of additional utilizable net operating losses. Additional ownership changes could result in the expiration of the net operating loss and tax credit carryforwards before utilization.</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2016, the FASB issued ASU No. 2016-16, Income Taxes (Topic 740): Intra-Entity Transfer of Assets Other Than Inventory (“ASU 2016-16”), which requires the recognition of the income tax consequences of an intra-entity transfer of as asset, other than inventory, when the transfer occurs. The Company adopted guidance on January 1, 2018, with no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 reconciliation of the U.S. federal income tax rate of 21%, 35% and 35% for the years ended December 31, 2018, 2017 and 2016, respectively, to the Company’s effective income tax rate follows (in thousands):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taxes at statutory rate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Non-deductible/non-taxable items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Foreign permanent differences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valuation allowance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(13,063)</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(10,348)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Changes in tax rates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Transition tax adjustment, net of foreign tax credits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Foreign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Tax (benefit)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(10,231)</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provision for income taxes in 2018 was lower than in 2017 primarily due to a decrease in pre-tax income and the impact of the 2017 Tax Act, partially offset by excess tax benefits from stock-based compensation, recording research and development credits, and the U.S. return-to-accrual adjustment as a result of the 2017 Tax Act as discussed below.</w:t>
      </w:r>
    </w:p>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Company’s provision for income taxes in 2017 was higher than in 2016 primarily due to an increase in pre-tax income and the provisional effect of the 2017 Tax Act, partially offset by excess tax benefits from stock-based compensation and recording research and development credits, including a portion of which were previously uncertain.</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2017. Global Technology, Inc. renewed its National high-tech enterprise certificate and was therefore extended its three-year tax preferential status from November 2017 to November 2020. This tax holiday reduced its 2018 and 2017 income tax provision by approximately $0.5 and $1.4 million respectively, but had no overall effect on the 2016 income tax provision due to a full valuation allowance. This tax holiday increased its fiscal 2018 and 2017 diluted earnings per share by approximately $0.03 and $0.07 respectively, but had no effect on its 2016 diluted earnings per share due to the full valuation allowance. Effective January 1, 2016, China expanded the scope of the National high-tech enterprise to include additional deductions for qualifying research and development.</w:t>
      </w:r>
    </w:p>
    <w:p>
      <w:pPr>
        <w:spacing w:after="0" w:line="18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As of December 31, 2018, 2017 and 2016, the total amount of unrecognized tax benefit was $0.2 million, $0.2 million, and $1.8 million, respectively. The following is a tabular reconciliation of the total amounts of unrecognized tax benefits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(1,616)</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$ 1,797</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As of December 31, 2018 and 2017, the Company had $0.2 million of unrecognized tax benefits related to U.S. tax benefits recognized for prior branch losses, respectively. As of December 31, 2016, the Company had $1.8 million of unrecognized tax benefits related to U.S. tax benefits recognized for prior year branch losses and research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development credits. If recognized, none of the amounts would have an impact on the Company’s effective tax rate, but rather would result in adjustments to other tax accounts, primarily deferred taxes.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recognizes interest accrued related to unrecognized tax benefits and penalties as income tax expense. Related to the unrecognized tax benefits noted above, it has not accrued penalties or interest during 2018 as a result of net operating losses. During 2017 or 2016, the Company also accrued no penalties or interest.</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2015 through 2017.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2010 forward for various foreign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Tax Cuts and Jobs Act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December 22, 2017, the President of the United States signed Public Law No. 115-97, commonly referred to as the Tax Cut and Jobs Act of 2017 (the “Tax Act”). The Tax Act made significant changes to the U.S. tax code, which included, but were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global intangible low-taxed income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2017, the SEC staff issued Staff Accounting Bulletin No. 118, Income Tax Accounting Implications of the Tax Cuts and Jobs Act (SAB 118), which allowed us to record provisional amounts during a measurement period not to extend beyond one year of the enactment data. As a result, we previously provided a provisional estimate of the effect of the Tax Act in our financial statements. In third quarter of 2018, we completed our analysis to determine the effect of the Tax Act and the material impact of the Tax Act is described below.</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deemed repatriation transition tax (the “Transition Tax”) is a tax on certain previously untaxed accumulated and current earnings and profits (“E&amp;P”) of our foreign subsidiaries. The company was able to reasonably estimate the Transition Tax and recorded a provisional Transition Tax obligation of $5.0 million, with a corresponding adjustment of $5.0 million to income tax expense for the year ended December 31, 2017. On the basis of revised E&amp;P computations that were completed during the reporting period, the Company recognized an additional measurement-period adjustment of ($1.8) million to the Transition Tax obligation, with a corresponding adjustment of ($1.8) million to income tax expense during the reporting period, net of foreign tax credit considerations. The effect of the measurement-period adjustment on the 2018 effective tax rate was approximately 18.8%. The Transition Tax, which has now been determined to be complete, resulted in recording a total Transition Tax obligation of $3.2 million, with a corresponding adjustment of $3.2 million to income tax expense.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2018, the Company has accumulated undistributed earnings generated by its foreign subsidiaries of approximately $44 million. Because $44 million of such earnings have previously been subject to the one-time transition tax on foreign earnings required by the 2017 Tax Act, any additional taxes due with respect to such earnings or the excess of the amount for financial reporting over the tax basis of our foreign investments would generally be limited to foreign and state taxes. The Company intends, however, to indefinitely reinvest these earnings and expects future U.S. cash generation to be sufficient to meet future U.S. cash needs.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Amended and Restated 2013 Equity Incentive Plan (“2013 Plan”)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6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Share</w:t>
            </w:r>
          </w:p>
        </w:tc>
        <w:tc>
          <w:tcPr>
            <w:tcW w:w="8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on Date of</w:t>
            </w:r>
          </w:p>
        </w:tc>
        <w:tc>
          <w:tcPr>
            <w:tcW w:w="840" w:type="dxa"/>
            <w:vAlign w:val="bottom"/>
            <w:gridSpan w:val="2"/>
          </w:tcPr>
          <w:p>
            <w:pPr>
              <w:jc w:val="right"/>
              <w:ind w:right="9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6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4"/>
              </w:rPr>
              <w:t>shares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gridSpan w:val="5"/>
          </w:tcPr>
          <w:p>
            <w:pPr>
              <w:jc w:val="right"/>
              <w:ind w:right="541"/>
              <w:spacing w:after="0" w:line="142" w:lineRule="exact"/>
              <w:rPr>
                <w:sz w:val="20"/>
                <w:szCs w:val="20"/>
                <w:color w:val="auto"/>
              </w:rPr>
            </w:pPr>
            <w:r>
              <w:rPr>
                <w:rFonts w:ascii="Arial" w:cs="Arial" w:eastAsia="Arial" w:hAnsi="Arial"/>
                <w:sz w:val="14"/>
                <w:szCs w:val="14"/>
                <w:b w:val="1"/>
                <w:bCs w:val="1"/>
                <w:color w:val="auto"/>
                <w:w w:val="91"/>
              </w:rPr>
              <w:t>(in thousands, except price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19.90</w:t>
            </w:r>
          </w:p>
        </w:tc>
        <w:tc>
          <w:tcPr>
            <w:tcW w:w="2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Outstanding, December 31, 2016</w:t>
            </w:r>
          </w:p>
        </w:tc>
        <w:tc>
          <w:tcPr>
            <w:tcW w:w="70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59.31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4.51</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4.97</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700" w:type="dxa"/>
            <w:vAlign w:val="bottom"/>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36.18</w:t>
            </w:r>
          </w:p>
        </w:tc>
        <w:tc>
          <w:tcPr>
            <w:tcW w:w="2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December 31,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$ 10.19</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5.31</w:t>
            </w:r>
          </w:p>
        </w:tc>
        <w:tc>
          <w:tcPr>
            <w:tcW w:w="92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4.60</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December 31, 2018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$ 10.19</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4.60</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0"/>
        </w:trPr>
        <w:tc>
          <w:tcPr>
            <w:tcW w:w="412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$ 10.19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18"/>
                <w:szCs w:val="18"/>
                <w:color w:val="auto"/>
              </w:rPr>
              <w:t>4.60</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there was no unrecognized stock option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7"/>
              </w:rPr>
              <w:t>Average Share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 Fair</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of Release</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price data)</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15.38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19,803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60.87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24.23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33.74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33.86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28.87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Cancelled/Forfeited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32.91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r>
        <w:trPr>
          <w:trHeight w:val="210"/>
        </w:trPr>
        <w:tc>
          <w:tcPr>
            <w:tcW w:w="54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ind w:left="8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line="203" w:lineRule="exact"/>
              <w:rPr>
                <w:sz w:val="20"/>
                <w:szCs w:val="20"/>
                <w:color w:val="auto"/>
              </w:rPr>
            </w:pPr>
            <w:r>
              <w:rPr>
                <w:rFonts w:ascii="Arial" w:cs="Arial" w:eastAsia="Arial" w:hAnsi="Arial"/>
                <w:sz w:val="18"/>
                <w:szCs w:val="18"/>
                <w:color w:val="auto"/>
              </w:rPr>
              <w:t>32.07</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aggregate intrinsic value of RSUs and RSAs outstanding at December 31, 2018 was $12.7 million. Unrecognized compensation expense related to these RSUs and RSAs at December 31, 2018 was $24.0 million. This expense is expected to be recognized over 2.49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 and expense is adjusted as forfeitures occur.</w:t>
      </w:r>
    </w:p>
    <w:p>
      <w:pPr>
        <w:spacing w:after="0" w:line="170" w:lineRule="exact"/>
        <w:rPr>
          <w:sz w:val="20"/>
          <w:szCs w:val="20"/>
          <w:color w:val="auto"/>
        </w:rPr>
      </w:pPr>
    </w:p>
    <w:p>
      <w:pPr>
        <w:ind w:right="20" w:firstLine="648"/>
        <w:spacing w:after="0" w:line="381" w:lineRule="auto"/>
        <w:rPr>
          <w:sz w:val="20"/>
          <w:szCs w:val="20"/>
          <w:color w:val="auto"/>
        </w:rPr>
      </w:pPr>
      <w:r>
        <w:rPr>
          <w:rFonts w:ascii="Arial" w:cs="Arial" w:eastAsia="Arial" w:hAnsi="Arial"/>
          <w:sz w:val="15"/>
          <w:szCs w:val="15"/>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0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Employee share-based compensation expenses recognized for the years ended December 31, were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 by expense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5,357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2,695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3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11,120</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7,795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3,833</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419"/>
        </w:trPr>
        <w:tc>
          <w:tcPr>
            <w:tcW w:w="3740" w:type="dxa"/>
            <w:vAlign w:val="bottom"/>
          </w:tcPr>
          <w:p>
            <w:pPr>
              <w:spacing w:after="0"/>
              <w:rPr>
                <w:sz w:val="20"/>
                <w:szCs w:val="20"/>
                <w:color w:val="auto"/>
              </w:rPr>
            </w:pPr>
            <w:r>
              <w:rPr>
                <w:rFonts w:ascii="Arial" w:cs="Arial" w:eastAsia="Arial" w:hAnsi="Arial"/>
                <w:sz w:val="18"/>
                <w:szCs w:val="18"/>
                <w:color w:val="auto"/>
              </w:rPr>
              <w:t>Share-Based compensation - by award type:</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7"/>
        </w:trPr>
        <w:tc>
          <w:tcPr>
            <w:tcW w:w="374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2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1,460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2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11,108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6,942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2,373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7"/>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11,120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7,795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3,833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878"/>
        </w:trPr>
        <w:tc>
          <w:tcPr>
            <w:tcW w:w="3740" w:type="dxa"/>
            <w:vAlign w:val="bottom"/>
          </w:tcPr>
          <w:p>
            <w:pPr>
              <w:spacing w:after="0"/>
              <w:rPr>
                <w:sz w:val="24"/>
                <w:szCs w:val="24"/>
                <w:color w:val="auto"/>
              </w:rPr>
            </w:pPr>
          </w:p>
        </w:tc>
        <w:tc>
          <w:tcPr>
            <w:tcW w:w="2980" w:type="dxa"/>
            <w:vAlign w:val="bottom"/>
            <w:gridSpan w:val="3"/>
          </w:tcPr>
          <w:p>
            <w:pPr>
              <w:jc w:val="right"/>
              <w:ind w:right="1905"/>
              <w:spacing w:after="0"/>
              <w:rPr>
                <w:sz w:val="20"/>
                <w:szCs w:val="20"/>
                <w:color w:val="auto"/>
              </w:rPr>
            </w:pPr>
            <w:r>
              <w:rPr>
                <w:rFonts w:ascii="Arial" w:cs="Arial" w:eastAsia="Arial" w:hAnsi="Arial"/>
                <w:sz w:val="18"/>
                <w:szCs w:val="18"/>
                <w:color w:val="auto"/>
              </w:rPr>
              <w:t>F - 26</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00" w:firstLine="64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20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5,000,000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“Second ATM Offering”) from time to time through Raymond James &amp; Associates, Inc. On November 22, 2016, the Company commenced sales of common stock through the Second ATM Offering. The Company completed its Second ATM Offering in March 2017 and sold 1.6 million shares of common stock at a weighted average price of $31.55 per share, providing proceeds of $48.8 million, net of expenses and underwriting discounts and commissions.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P—SEGMENT AND GEOGRAPHIC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1"/>
              </w:rPr>
              <w:t>For the 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1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Taiwan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113,547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241,820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161,611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143,123</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81,067</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267,465</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$ 382,329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260,713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center"/>
              <w:ind w:right="5"/>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Long-lived assets:</w:t>
            </w: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0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66,028</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Taiwan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65,451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89,736</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244,002</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$ 202,754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148,869</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The Company serves four primary markets, the internet data center, CATV, telecom and FTTH markets. Of the Company’s total revenues in 2018, the Company earned $200.2 million, or 74.9%, from the internet data center market, $51.7 million, or 19.3%, from the CATV market, $13.2 million, or 4.9%, from the telecom market and $0.8 million, or 0.3%, from the FTTH market. Of the Company’s total revenues in 2017, the Company earned $306.7 million, or 80.2%, from the internet data center market, $60.8 million, or 15.9%, from the CATV market, $12.9 million, or 3.4%, from the telecom market and $0.5 million, or 0.1%, from the FTTH market. Of the Company’s total revenues in 2016,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right="219"/>
        <w:spacing w:after="0" w:line="250" w:lineRule="auto"/>
        <w:rPr>
          <w:sz w:val="20"/>
          <w:szCs w:val="20"/>
          <w:color w:val="auto"/>
        </w:rPr>
      </w:pPr>
      <w:r>
        <w:rPr>
          <w:rFonts w:ascii="Arial" w:cs="Arial" w:eastAsia="Arial" w:hAnsi="Arial"/>
          <w:sz w:val="20"/>
          <w:szCs w:val="20"/>
          <w:color w:val="auto"/>
        </w:rPr>
        <w:t>Company earned $201.3 million, or 77.2%, from the internet data center market, $43.6 million, or 16.7%, from the CATV market, $12.9 million, or 5.0%, from the telecom market and $1.6 million, or 0.6%, from the FTTH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Q—EMPLOYEE BENEFIT PLANS</w:t>
      </w:r>
    </w:p>
    <w:p>
      <w:pPr>
        <w:spacing w:after="0" w:line="229" w:lineRule="exact"/>
        <w:rPr>
          <w:sz w:val="20"/>
          <w:szCs w:val="20"/>
          <w:color w:val="auto"/>
        </w:rPr>
      </w:pPr>
    </w:p>
    <w:p>
      <w:pPr>
        <w:ind w:right="159" w:firstLine="648"/>
        <w:spacing w:after="0" w:line="279" w:lineRule="auto"/>
        <w:rPr>
          <w:sz w:val="20"/>
          <w:szCs w:val="20"/>
          <w:color w:val="auto"/>
        </w:rPr>
      </w:pPr>
      <w:r>
        <w:rPr>
          <w:rFonts w:ascii="Arial" w:cs="Arial" w:eastAsia="Arial" w:hAnsi="Arial"/>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$0.8 million, $0.6 million and $0.6 million to the 401(k) plan for the years ended December 31, 2018, 2017 and 2016, respectively.</w:t>
      </w:r>
    </w:p>
    <w:p>
      <w:pPr>
        <w:spacing w:after="0" w:line="171" w:lineRule="exact"/>
        <w:rPr>
          <w:sz w:val="20"/>
          <w:szCs w:val="20"/>
          <w:color w:val="auto"/>
        </w:rPr>
      </w:pPr>
    </w:p>
    <w:p>
      <w:pPr>
        <w:ind w:right="59" w:firstLine="648"/>
        <w:spacing w:after="0" w:line="297" w:lineRule="auto"/>
        <w:rPr>
          <w:sz w:val="20"/>
          <w:szCs w:val="20"/>
          <w:color w:val="auto"/>
        </w:rPr>
      </w:pPr>
      <w:r>
        <w:rPr>
          <w:rFonts w:ascii="Arial" w:cs="Arial" w:eastAsia="Arial" w:hAnsi="Arial"/>
          <w:sz w:val="16"/>
          <w:szCs w:val="16"/>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$0.9 million, $0.8 million and $0.6 million in the years ended for the year ended December 31, 2018, 2017 and 2016, respectively.</w:t>
      </w:r>
    </w:p>
    <w:p>
      <w:pPr>
        <w:spacing w:after="0" w:line="158" w:lineRule="exact"/>
        <w:rPr>
          <w:sz w:val="20"/>
          <w:szCs w:val="20"/>
          <w:color w:val="auto"/>
        </w:rPr>
      </w:pPr>
    </w:p>
    <w:p>
      <w:pPr>
        <w:jc w:val="both"/>
        <w:ind w:right="219" w:firstLine="648"/>
        <w:spacing w:after="0" w:line="264" w:lineRule="auto"/>
        <w:rPr>
          <w:sz w:val="20"/>
          <w:szCs w:val="20"/>
          <w:color w:val="auto"/>
        </w:rPr>
      </w:pPr>
      <w:r>
        <w:rPr>
          <w:rFonts w:ascii="Arial" w:cs="Arial" w:eastAsia="Arial" w:hAnsi="Arial"/>
          <w:sz w:val="18"/>
          <w:szCs w:val="18"/>
          <w:color w:val="auto"/>
        </w:rPr>
        <w:t>Employees Prime World’s Taiwan branch participate in a pension program under the Taiwan Labor Pension Act. Pension expense for the Prime World’s Taiwan branch was $0.9 million, $0.9 million and $0.8 million for the years ended December 31, 2018,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299" w:firstLine="648"/>
        <w:spacing w:after="0" w:line="264"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$1.2 million, $1.1 million and $1.1 million, respectively, for the years ended December 31, 2018, 2017 and 2016, respectively.</w:t>
      </w:r>
    </w:p>
    <w:p>
      <w:pPr>
        <w:spacing w:after="0" w:line="181" w:lineRule="exact"/>
        <w:rPr>
          <w:sz w:val="20"/>
          <w:szCs w:val="20"/>
          <w:color w:val="auto"/>
        </w:rPr>
      </w:pPr>
    </w:p>
    <w:p>
      <w:pPr>
        <w:ind w:right="19" w:firstLine="648"/>
        <w:spacing w:after="0" w:line="277" w:lineRule="auto"/>
        <w:rPr>
          <w:sz w:val="20"/>
          <w:szCs w:val="20"/>
          <w:color w:val="auto"/>
        </w:rPr>
      </w:pPr>
      <w:r>
        <w:rPr>
          <w:rFonts w:ascii="Arial" w:cs="Arial" w:eastAsia="Arial" w:hAnsi="Arial"/>
          <w:sz w:val="18"/>
          <w:szCs w:val="18"/>
          <w:color w:val="auto"/>
        </w:rPr>
        <w:t>At December 31, 2018, the approximate minimum rental commitments under noncancellable leases in excess of one year that expire at varying dates through 2029 were as follows (in thousands):</w:t>
      </w:r>
    </w:p>
    <w:p>
      <w:pPr>
        <w:spacing w:after="0" w:line="3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140" w:type="dxa"/>
            <w:vAlign w:val="bottom"/>
            <w:tcBorders>
              <w:bottom w:val="single" w:sz="8" w:color="CCEEFF"/>
            </w:tcBorders>
          </w:tcPr>
          <w:p>
            <w:pPr>
              <w:spacing w:after="0"/>
              <w:rPr>
                <w:sz w:val="18"/>
                <w:szCs w:val="18"/>
                <w:color w:val="auto"/>
              </w:rPr>
            </w:pPr>
          </w:p>
        </w:tc>
      </w:tr>
      <w:tr>
        <w:trPr>
          <w:trHeight w:val="217"/>
        </w:trPr>
        <w:tc>
          <w:tcPr>
            <w:tcW w:w="6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99" w:firstLine="648"/>
        <w:spacing w:after="0" w:line="257"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8"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The Company has also entered into employment and indemnification agreements with one other executive officer. These agreements provide that if their employment is terminated as a result of a change of control of the Company, the Company will be required to pay a severance payment in an amount equal to six months of their annual base salary and other additional compensation due under the terms of the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3" w:lineRule="exact"/>
        <w:rPr>
          <w:sz w:val="20"/>
          <w:szCs w:val="20"/>
          <w:color w:val="auto"/>
        </w:rPr>
      </w:pPr>
    </w:p>
    <w:p>
      <w:pPr>
        <w:ind w:right="540" w:firstLine="648"/>
        <w:spacing w:after="0" w:line="274" w:lineRule="auto"/>
        <w:rPr>
          <w:sz w:val="20"/>
          <w:szCs w:val="20"/>
          <w:color w:val="auto"/>
        </w:rPr>
      </w:pPr>
      <w:r>
        <w:rPr>
          <w:rFonts w:ascii="Arial" w:cs="Arial" w:eastAsia="Arial" w:hAnsi="Arial"/>
          <w:sz w:val="17"/>
          <w:szCs w:val="17"/>
          <w:color w:val="auto"/>
        </w:rPr>
        <w:t>Except for the lawsuits described below, the Company believes that there are no claims or actions pending or threatened against it, the ultimate disposition of which would have a material adverse effect on it.</w:t>
      </w: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On August 5, 2017, a lawsuit was filed in the U.S. District Court for the Southern District of Texas against the Company and two of its officers in </w:t>
      </w:r>
      <w:r>
        <w:rPr>
          <w:rFonts w:ascii="Arial" w:cs="Arial" w:eastAsia="Arial" w:hAnsi="Arial"/>
          <w:sz w:val="17"/>
          <w:szCs w:val="17"/>
          <w:i w:val="1"/>
          <w:iCs w:val="1"/>
          <w:color w:val="auto"/>
        </w:rPr>
        <w:t>Mona Abouzied v. Applied Optoelectronics, Inc., Chih-Hsiang (Thompson) Lin, and</w:t>
      </w:r>
      <w:r>
        <w:rPr>
          <w:rFonts w:ascii="Arial" w:cs="Arial" w:eastAsia="Arial" w:hAnsi="Arial"/>
          <w:sz w:val="17"/>
          <w:szCs w:val="17"/>
          <w:color w:val="auto"/>
        </w:rPr>
        <w:t xml:space="preserve"> </w:t>
      </w:r>
      <w:r>
        <w:rPr>
          <w:rFonts w:ascii="Arial" w:cs="Arial" w:eastAsia="Arial" w:hAnsi="Arial"/>
          <w:sz w:val="17"/>
          <w:szCs w:val="17"/>
          <w:i w:val="1"/>
          <w:iCs w:val="1"/>
          <w:color w:val="auto"/>
        </w:rPr>
        <w:t>Stefan J. Murry, et al.</w:t>
      </w:r>
      <w:r>
        <w:rPr>
          <w:rFonts w:ascii="Arial" w:cs="Arial" w:eastAsia="Arial" w:hAnsi="Arial"/>
          <w:sz w:val="17"/>
          <w:szCs w:val="17"/>
          <w:color w:val="auto"/>
        </w:rPr>
        <w:t>, Case No. 4:17-cv-02399. The complaint in this matter seeks class action status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The complaint requests unspecified damages and other relief. The Company disputes the allegations set forth in the complaint and is vigorously contesting the matter. The briefing on the Company’s motion to dismiss the complaint was completed on May 21, 2018, and the motion is still pending.</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 on behalf of Applied Optoelectronics, Inc. v. Chih-Hsiang (“Thompson”) Lin, Stefan J.</w:t>
      </w:r>
      <w:r>
        <w:rPr>
          <w:rFonts w:ascii="Arial" w:cs="Arial" w:eastAsia="Arial" w:hAnsi="Arial"/>
          <w:sz w:val="16"/>
          <w:szCs w:val="16"/>
          <w:color w:val="auto"/>
        </w:rPr>
        <w:t xml:space="preserve"> </w:t>
      </w:r>
      <w:r>
        <w:rPr>
          <w:rFonts w:ascii="Arial" w:cs="Arial" w:eastAsia="Arial" w:hAnsi="Arial"/>
          <w:sz w:val="16"/>
          <w:szCs w:val="16"/>
          <w:i w:val="1"/>
          <w:iCs w:val="1"/>
          <w:color w:val="auto"/>
        </w:rPr>
        <w:t>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 violations of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14(a) of the Exchange Act based on similar factual allegations as in the </w:t>
      </w:r>
      <w:r>
        <w:rPr>
          <w:rFonts w:ascii="Arial" w:cs="Arial" w:eastAsia="Arial" w:hAnsi="Arial"/>
          <w:sz w:val="16"/>
          <w:szCs w:val="16"/>
          <w:i w:val="1"/>
          <w:iCs w:val="1"/>
          <w:color w:val="auto"/>
        </w:rPr>
        <w:t>Abouzied</w:t>
      </w:r>
      <w:r>
        <w:rPr>
          <w:rFonts w:ascii="Arial" w:cs="Arial" w:eastAsia="Arial" w:hAnsi="Arial"/>
          <w:sz w:val="16"/>
          <w:szCs w:val="16"/>
          <w:color w:val="auto"/>
        </w:rPr>
        <w:t xml:space="preserve"> Securities Class Action. On December 18, 2018, a second derivative complaint was filed styled </w:t>
      </w:r>
      <w:r>
        <w:rPr>
          <w:rFonts w:ascii="Arial" w:cs="Arial" w:eastAsia="Arial" w:hAnsi="Arial"/>
          <w:sz w:val="16"/>
          <w:szCs w:val="16"/>
          <w:i w:val="1"/>
          <w:iCs w:val="1"/>
          <w:color w:val="auto"/>
        </w:rPr>
        <w:t>Yiu Kwong Ng v. Chih-Hsiang (“Thompson”) Lin, Stefan J. Murry,</w:t>
      </w:r>
      <w:r>
        <w:rPr>
          <w:rFonts w:ascii="Arial" w:cs="Arial" w:eastAsia="Arial" w:hAnsi="Arial"/>
          <w:sz w:val="16"/>
          <w:szCs w:val="16"/>
          <w:color w:val="auto"/>
        </w:rPr>
        <w:t xml:space="preserve"> </w:t>
      </w:r>
      <w:r>
        <w:rPr>
          <w:rFonts w:ascii="Arial" w:cs="Arial" w:eastAsia="Arial" w:hAnsi="Arial"/>
          <w:sz w:val="16"/>
          <w:szCs w:val="16"/>
          <w:i w:val="1"/>
          <w:iCs w:val="1"/>
          <w:color w:val="auto"/>
        </w:rPr>
        <w:t>William H. Yeh, Alex Ignatiev, Richard B. 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Company’s announcement on September 28, 2018 that it had “identified an issue with a small percentage of 25G lasers within a specific customer environment.” On January 11, 2019, the court consolidated these two derivative actions, and on January 15, 2019, the court entered an order staying the actions pending the outcome of the motion to dismiss in the </w:t>
      </w:r>
      <w:r>
        <w:rPr>
          <w:rFonts w:ascii="Arial" w:cs="Arial" w:eastAsia="Arial" w:hAnsi="Arial"/>
          <w:sz w:val="16"/>
          <w:szCs w:val="16"/>
          <w:i w:val="1"/>
          <w:iCs w:val="1"/>
          <w:color w:val="auto"/>
        </w:rPr>
        <w:t xml:space="preserve">Abouzied </w:t>
      </w:r>
      <w:r>
        <w:rPr>
          <w:rFonts w:ascii="Arial" w:cs="Arial" w:eastAsia="Arial" w:hAnsi="Arial"/>
          <w:sz w:val="16"/>
          <w:szCs w:val="16"/>
          <w:color w:val="auto"/>
        </w:rPr>
        <w:t>Securities Class action and the forthcoming motion to dismiss in the</w:t>
      </w:r>
      <w:r>
        <w:rPr>
          <w:rFonts w:ascii="Arial" w:cs="Arial" w:eastAsia="Arial" w:hAnsi="Arial"/>
          <w:sz w:val="16"/>
          <w:szCs w:val="16"/>
          <w:i w:val="1"/>
          <w:iCs w:val="1"/>
          <w:color w:val="auto"/>
        </w:rPr>
        <w:t xml:space="preserve"> Taneja </w:t>
      </w:r>
      <w:r>
        <w:rPr>
          <w:rFonts w:ascii="Arial" w:cs="Arial" w:eastAsia="Arial" w:hAnsi="Arial"/>
          <w:sz w:val="16"/>
          <w:szCs w:val="16"/>
          <w:color w:val="auto"/>
        </w:rPr>
        <w:t>Securities Class Action,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paragraph. The complaint requests unspecified damages and other relief. The Company disputes the allegations and intends to vigorously contest the matter if and when the stay is lifted.</w:t>
      </w:r>
    </w:p>
    <w:p>
      <w:pPr>
        <w:spacing w:after="0" w:line="2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October 1, 2018, a securities class action was filed in the United States District Court for the Southern District of Texas styled </w:t>
      </w:r>
      <w:r>
        <w:rPr>
          <w:rFonts w:ascii="Arial" w:cs="Arial" w:eastAsia="Arial" w:hAnsi="Arial"/>
          <w:sz w:val="16"/>
          <w:szCs w:val="16"/>
          <w:i w:val="1"/>
          <w:iCs w:val="1"/>
          <w:color w:val="auto"/>
        </w:rPr>
        <w:t>Gaurav Taneja v. Applied Optoelectronics, Inc., Thompson Lin, and Stefan Murry</w:t>
      </w:r>
      <w:r>
        <w:rPr>
          <w:rFonts w:ascii="Arial" w:cs="Arial" w:eastAsia="Arial" w:hAnsi="Arial"/>
          <w:sz w:val="16"/>
          <w:szCs w:val="16"/>
          <w:color w:val="auto"/>
        </w:rPr>
        <w:t xml:space="preserve">, Case No. 4:18-cv-3544. The complaint in this matter seeks class action status on behalf of the Company’s shareholders, alleging violations of Sections 10(b) and 20(a) of the Exchange Act against the Company, the chief executive officer, and the chief financial officer, arising out of the Company’s announcement on September 28, 2018 that it had “identified an issue with a small percentage of 25G lasers within a specific customer environment.” The original complaint requests unspecified damages and other relief. The Company disputes the allegations set forth in the original complaint and intends to vigorously contest the matter. The case has been consolidated with two identical complaints that were subsequently filed on October 10, 2018 and October 18, 2018, styled </w:t>
      </w:r>
      <w:r>
        <w:rPr>
          <w:rFonts w:ascii="Arial" w:cs="Arial" w:eastAsia="Arial" w:hAnsi="Arial"/>
          <w:sz w:val="16"/>
          <w:szCs w:val="16"/>
          <w:i w:val="1"/>
          <w:iCs w:val="1"/>
          <w:color w:val="auto"/>
        </w:rPr>
        <w:t>Davin Pokoik v. Applied Optoelectronics, Inc., Chih-Hsiang Lin, and Stefan J. Murry</w:t>
      </w:r>
      <w:r>
        <w:rPr>
          <w:rFonts w:ascii="Arial" w:cs="Arial" w:eastAsia="Arial" w:hAnsi="Arial"/>
          <w:sz w:val="16"/>
          <w:szCs w:val="16"/>
          <w:color w:val="auto"/>
        </w:rPr>
        <w:t xml:space="preserve">, Case No. 4:18-cv-3722 and </w:t>
      </w:r>
      <w:r>
        <w:rPr>
          <w:rFonts w:ascii="Arial" w:cs="Arial" w:eastAsia="Arial" w:hAnsi="Arial"/>
          <w:sz w:val="16"/>
          <w:szCs w:val="16"/>
          <w:i w:val="1"/>
          <w:iCs w:val="1"/>
          <w:color w:val="auto"/>
        </w:rPr>
        <w:t>Stephen McGrath v. Applied Optoelectronics, Inc., Chih-Hsiang Lin, and Stefan J. Murry</w:t>
      </w:r>
      <w:r>
        <w:rPr>
          <w:rFonts w:ascii="Arial" w:cs="Arial" w:eastAsia="Arial" w:hAnsi="Arial"/>
          <w:sz w:val="16"/>
          <w:szCs w:val="16"/>
          <w:color w:val="auto"/>
        </w:rPr>
        <w:t>, respectively. The three cases were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on January 4, 2019, and Mark Naglich was appointed Lead Plaintiff on that same date. The original complaint requests unspecified damages and other relief. The Company disputes the allegations in the complaint and intends to vigorously contest the matter. The deadline for Lead Plaintiff to file a consolidated amended complaint is March 5, 2019, and the deadline for our motion to dismiss is sixty days after the consolidated amended complaint is filed.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 2019, the Company repaid its revolving bank line of credit of $23.1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21, 2019, Prime World entered into a second Purchase and Sale Contract (the “Second Sales Contract”),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and a second Finance Lease Agreement, (collectively, the “Second Financing Agreements”)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Chailease in connection with certain equipment, structured as a sale lease-back transaction. Pursuant to the Second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Prime World sold certain equipment to Chailease for a purchase price of NT$267,333,186, or approximately $8.7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Simultaneously, Prime World leased the equipment back from Chailease for a term of three-years,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 Finance Lease Agreement. Prime World is obligated to pay an initial monthly payment of NT$67,333,186,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$2.2 million, thereafter the monthly lease payments range from NT$5,570,167, or approximately $0.2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NT$6,082,131, or approximately $0.2 million. Based on the lease payments made under the Second Finance Lease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annual interest rate is calculated to be 3.5%. Upon an event of default under the Second Finance 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Prime World’s payment obligation will be secured by a promissory note to Chailease at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NT$209,555,736 or approximately $6.8 million, subject to certain terms and conditions. The title of the equipment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transferred to Prime World upon expiration of the Second Finance Lease Agreement.</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February 1, 2019, the Company executed a Second Amendment to Loan Agreement with BB&amp;T. The original loan agreement with BB&amp;T, executed on September 28, 2017, and a first amendment to the original loan agreement, executed on March 30, 2018, provided the Company with a three-year $60 million line of credit; a $26 million five-year capital expenditure loan (the “CapEx Loan”) and a $21.5 million seventy-month real estate term loan for the Company’s plant and facilities in Sugar Land, Texas. The Second Amendment to Loan Agreement extends the CapEx Loan draw-down date from March 30, 2019 to September 30, 2019, requires the Company to provide BB&amp;T monthly financial statements and revises certain financial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T—SELECTED QUARTERLY FINANCIAL DATA (UNAUDITED)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set forth a summary of the Company’s quarterly financial information for each of the four quarters for the years ended December 31, 2018 and 2017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First</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Second</w:t>
            </w:r>
          </w:p>
        </w:tc>
        <w:tc>
          <w:tcPr>
            <w:tcW w:w="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39,403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38,849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33,863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Gross margin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24,920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27,141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(9,604)</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(12,277)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(12,206)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 (loss)</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8,034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864"/>
        </w:trPr>
        <w:tc>
          <w:tcPr>
            <w:tcW w:w="3600" w:type="dxa"/>
            <w:vAlign w:val="bottom"/>
          </w:tcPr>
          <w:p>
            <w:pPr>
              <w:spacing w:after="0"/>
              <w:rPr>
                <w:sz w:val="24"/>
                <w:szCs w:val="24"/>
                <w:color w:val="auto"/>
              </w:rPr>
            </w:pPr>
          </w:p>
        </w:tc>
        <w:tc>
          <w:tcPr>
            <w:tcW w:w="2180" w:type="dxa"/>
            <w:vAlign w:val="bottom"/>
            <w:gridSpan w:val="3"/>
          </w:tcPr>
          <w:p>
            <w:pPr>
              <w:jc w:val="right"/>
              <w:ind w:right="1040"/>
              <w:spacing w:after="0"/>
              <w:rPr>
                <w:sz w:val="20"/>
                <w:szCs w:val="20"/>
                <w:color w:val="auto"/>
              </w:rPr>
            </w:pPr>
            <w:r>
              <w:rPr>
                <w:rFonts w:ascii="Arial" w:cs="Arial" w:eastAsia="Arial" w:hAnsi="Arial"/>
                <w:sz w:val="18"/>
                <w:szCs w:val="18"/>
                <w:color w:val="auto"/>
              </w:rPr>
              <w:t>F - 30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117,371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88,879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79,855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54,752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17,157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24,315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 before taxes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23,443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19,789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29,071</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19,375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 per share—basic</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3260" w:type="dxa"/>
            <w:vAlign w:val="bottom"/>
          </w:tcPr>
          <w:p>
            <w:pPr>
              <w:spacing w:after="0"/>
              <w:rPr>
                <w:sz w:val="24"/>
                <w:szCs w:val="24"/>
                <w:color w:val="auto"/>
              </w:rPr>
            </w:pPr>
          </w:p>
        </w:tc>
        <w:tc>
          <w:tcPr>
            <w:tcW w:w="2500" w:type="dxa"/>
            <w:vAlign w:val="bottom"/>
            <w:gridSpan w:val="3"/>
          </w:tcPr>
          <w:p>
            <w:pPr>
              <w:jc w:val="right"/>
              <w:ind w:right="1020"/>
              <w:spacing w:after="0"/>
              <w:rPr>
                <w:sz w:val="20"/>
                <w:szCs w:val="20"/>
                <w:color w:val="auto"/>
              </w:rPr>
            </w:pPr>
            <w:r>
              <w:rPr>
                <w:rFonts w:ascii="Arial" w:cs="Arial" w:eastAsia="Arial" w:hAnsi="Arial"/>
                <w:sz w:val="18"/>
                <w:szCs w:val="18"/>
                <w:color w:val="auto"/>
              </w:rPr>
              <w:t>F - 31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issued our reports dated February 26, 2019, with respect to the consolidated financial statements and internal control over financial reporting included in the Annual Report of Applied Optoelectronics, Inc. on Form 10-K for the year ended December 31, 2018. We consent to the incorporation by reference of said reports in the Registration Statements of Applied Optoelectronics Inc. on Form S-3 (File No. 333-214146) and on Forms S-8 (File No. 333-223347, File No. 333-217871, and File No. 333-192407).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144" w:lineRule="exact"/>
        <w:rPr>
          <w:sz w:val="20"/>
          <w:szCs w:val="20"/>
          <w:color w:val="auto"/>
        </w:rPr>
      </w:pPr>
    </w:p>
    <w:p>
      <w:pPr>
        <w:ind w:left="600" w:hanging="181"/>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420" w:right="40" w:hanging="12"/>
        <w:spacing w:after="0" w:line="219" w:lineRule="auto"/>
        <w:tabs>
          <w:tab w:leader="none" w:pos="6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420" w:hanging="12"/>
        <w:spacing w:after="0" w:line="259" w:lineRule="auto"/>
        <w:tabs>
          <w:tab w:leader="none" w:pos="664"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420" w:right="300" w:hanging="12"/>
        <w:spacing w:after="0" w:line="224" w:lineRule="auto"/>
        <w:tabs>
          <w:tab w:leader="none" w:pos="6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20" w:right="100" w:hanging="12"/>
        <w:spacing w:after="0" w:line="219" w:lineRule="auto"/>
        <w:tabs>
          <w:tab w:leader="none" w:pos="6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120" w:firstLine="419"/>
        <w:spacing w:after="0" w:line="224" w:lineRule="auto"/>
        <w:tabs>
          <w:tab w:leader="none" w:pos="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400" w:firstLine="8"/>
        <w:spacing w:after="0" w:line="224" w:lineRule="auto"/>
        <w:tabs>
          <w:tab w:leader="none" w:pos="6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00" w:right="40" w:firstLine="8"/>
        <w:spacing w:after="0" w:line="23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Chih-Hsiang (Thompson) Lin</w:t>
      </w:r>
    </w:p>
    <w:p>
      <w:pPr>
        <w:spacing w:after="0"/>
        <w:rPr>
          <w:sz w:val="20"/>
          <w:szCs w:val="20"/>
          <w:color w:val="auto"/>
        </w:rPr>
      </w:pPr>
      <w:r>
        <w:rPr>
          <w:rFonts w:ascii="Arial" w:cs="Arial" w:eastAsia="Arial" w:hAnsi="Arial"/>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144" w:lineRule="exact"/>
        <w:rPr>
          <w:sz w:val="20"/>
          <w:szCs w:val="20"/>
          <w:color w:val="auto"/>
        </w:rPr>
      </w:pPr>
    </w:p>
    <w:p>
      <w:pPr>
        <w:ind w:left="600" w:hanging="181"/>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480" w:right="20" w:firstLine="9"/>
        <w:spacing w:after="0" w:line="219" w:lineRule="auto"/>
        <w:tabs>
          <w:tab w:leader="none" w:pos="7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480" w:right="100" w:firstLine="9"/>
        <w:spacing w:after="0" w:line="219" w:lineRule="auto"/>
        <w:tabs>
          <w:tab w:leader="none" w:pos="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480" w:right="220" w:firstLine="9"/>
        <w:spacing w:after="0" w:line="224" w:lineRule="auto"/>
        <w:tabs>
          <w:tab w:leader="none" w:pos="7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80" w:right="20" w:firstLine="9"/>
        <w:spacing w:after="0" w:line="219" w:lineRule="auto"/>
        <w:tabs>
          <w:tab w:leader="none" w:pos="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right="120" w:firstLine="419"/>
        <w:spacing w:after="0" w:line="224"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480" w:right="300" w:firstLine="9"/>
        <w:spacing w:after="0" w:line="224" w:lineRule="auto"/>
        <w:tabs>
          <w:tab w:leader="none" w:pos="7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80" w:right="220" w:firstLine="9"/>
        <w:spacing w:after="0" w:line="235" w:lineRule="auto"/>
        <w:tabs>
          <w:tab w:leader="none" w:pos="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Stefan J. Murry</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right="40" w:firstLine="416"/>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22" w:lineRule="exact"/>
        <w:rPr>
          <w:sz w:val="20"/>
          <w:szCs w:val="20"/>
          <w:color w:val="auto"/>
        </w:rPr>
      </w:pPr>
    </w:p>
    <w:p>
      <w:pPr>
        <w:ind w:right="40" w:firstLine="419"/>
        <w:spacing w:after="0" w:line="224" w:lineRule="auto"/>
        <w:tabs>
          <w:tab w:leader="none" w:pos="5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2018, to which this Certification is attached as Exhibit 32.1 (the “Annual Report”) fully complies with the requirements of Section 13(a) or Section 15(d) of the Exchange Act; and</w:t>
      </w:r>
    </w:p>
    <w:p>
      <w:pPr>
        <w:spacing w:after="0" w:line="122" w:lineRule="exact"/>
        <w:rPr>
          <w:rFonts w:ascii="Arial" w:cs="Arial" w:eastAsia="Arial" w:hAnsi="Arial"/>
          <w:sz w:val="18"/>
          <w:szCs w:val="18"/>
          <w:color w:val="auto"/>
        </w:rPr>
      </w:pPr>
    </w:p>
    <w:p>
      <w:pPr>
        <w:ind w:right="180" w:firstLine="419"/>
        <w:spacing w:after="0" w:line="235" w:lineRule="auto"/>
        <w:tabs>
          <w:tab w:leader="none" w:pos="5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26th day of February,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4420" w:type="dxa"/>
            <w:vAlign w:val="bottom"/>
          </w:tcPr>
          <w:p>
            <w:pPr>
              <w:spacing w:after="0"/>
              <w:rPr>
                <w:sz w:val="20"/>
                <w:szCs w:val="20"/>
                <w:color w:val="auto"/>
              </w:rPr>
            </w:pPr>
            <w:r>
              <w:rPr>
                <w:rFonts w:ascii="Arial" w:cs="Arial" w:eastAsia="Arial" w:hAnsi="Arial"/>
                <w:sz w:val="18"/>
                <w:szCs w:val="18"/>
                <w:color w:val="auto"/>
              </w:rPr>
              <w:t>/s/ STEFAN J. MURRY</w:t>
            </w:r>
          </w:p>
        </w:tc>
      </w:tr>
      <w:tr>
        <w:trPr>
          <w:trHeight w:val="142"/>
        </w:trPr>
        <w:tc>
          <w:tcPr>
            <w:tcW w:w="44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Chih-Hsiang (Thompson) Lin</w:t>
            </w:r>
          </w:p>
        </w:tc>
        <w:tc>
          <w:tcPr>
            <w:tcW w:w="240" w:type="dxa"/>
            <w:vAlign w:val="bottom"/>
          </w:tcPr>
          <w:p>
            <w:pPr>
              <w:spacing w:after="0"/>
              <w:rPr>
                <w:sz w:val="12"/>
                <w:szCs w:val="12"/>
                <w:color w:val="auto"/>
              </w:rPr>
            </w:pPr>
          </w:p>
        </w:tc>
        <w:tc>
          <w:tcPr>
            <w:tcW w:w="44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Stefan J. Murry</w:t>
            </w: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20" w:lineRule="exact"/>
        <w:rPr>
          <w:sz w:val="20"/>
          <w:szCs w:val="20"/>
          <w:color w:val="auto"/>
        </w:rPr>
      </w:pPr>
    </w:p>
    <w:p>
      <w:pPr>
        <w:jc w:val="both"/>
        <w:ind w:right="140"/>
        <w:spacing w:after="0" w:line="232" w:lineRule="auto"/>
        <w:rPr>
          <w:sz w:val="20"/>
          <w:szCs w:val="20"/>
          <w:color w:val="auto"/>
        </w:rPr>
      </w:pPr>
      <w:r>
        <w:rPr>
          <w:rFonts w:ascii="Arial" w:cs="Arial" w:eastAsia="Arial" w:hAnsi="Arial"/>
          <w:sz w:val="17"/>
          <w:szCs w:val="17"/>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2"/>
    </w:lvl>
  </w:abstractNum>
  <w:abstractNum w:abstractNumId="28">
    <w:nsid w:val="57E4CCAF"/>
    <w:multiLevelType w:val="hybridMultilevel"/>
    <w:lvl w:ilvl="0">
      <w:lvlJc w:val="left"/>
      <w:lvlText w:val="%1."/>
      <w:numFmt w:val="lowerLetter"/>
      <w:start w:val="3"/>
    </w:lvl>
  </w:abstractNum>
  <w:abstractNum w:abstractNumId="29">
    <w:nsid w:val="7A6D8D3C"/>
    <w:multiLevelType w:val="hybridMultilevel"/>
    <w:lvl w:ilvl="0">
      <w:lvlJc w:val="left"/>
      <w:lvlText w:val="(%1)"/>
      <w:numFmt w:val="decimal"/>
      <w:start w:val="2"/>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abstractNum>
  <w:abstractNum w:abstractNumId="35">
    <w:nsid w:val="32FFF902"/>
    <w:multiLevelType w:val="hybridMultilevel"/>
    <w:lvl w:ilvl="0">
      <w:lvlJc w:val="left"/>
      <w:lvlText w:val="%1."/>
      <w:numFmt w:val="decimal"/>
      <w:start w:val="3"/>
    </w:lvl>
  </w:abstractNum>
  <w:abstractNum w:abstractNumId="36">
    <w:nsid w:val="684A481A"/>
    <w:multiLevelType w:val="hybridMultilevel"/>
    <w:lvl w:ilvl="0">
      <w:lvlJc w:val="left"/>
      <w:lvlText w:val="%1."/>
      <w:numFmt w:val="decimal"/>
      <w:start w:val="4"/>
    </w:lvl>
  </w:abstractNum>
  <w:abstractNum w:abstractNumId="37">
    <w:nsid w:val="579478FE"/>
    <w:multiLevelType w:val="hybridMultilevel"/>
    <w:lvl w:ilvl="0">
      <w:lvlJc w:val="left"/>
      <w:lvlText w:val="%1."/>
      <w:numFmt w:val="decimal"/>
      <w:start w:val="5"/>
    </w:lvl>
  </w:abstractNum>
  <w:abstractNum w:abstractNumId="38">
    <w:nsid w:val="749ABB43"/>
    <w:multiLevelType w:val="hybridMultilevel"/>
    <w:lvl w:ilvl="0">
      <w:lvlJc w:val="left"/>
      <w:lvlText w:val="%1."/>
      <w:numFmt w:val="decimal"/>
      <w:start w:val="6"/>
    </w:lvl>
  </w:abstractNum>
  <w:abstractNum w:abstractNumId="39">
    <w:nsid w:val="3DC240FB"/>
    <w:multiLevelType w:val="hybridMultilevel"/>
    <w:lvl w:ilvl="0">
      <w:lvlJc w:val="left"/>
      <w:lvlText w:val="%1."/>
      <w:numFmt w:val="decimal"/>
      <w:start w:val="7"/>
    </w:lvl>
  </w:abstractNum>
  <w:abstractNum w:abstractNumId="40">
    <w:nsid w:val="1BA026FA"/>
    <w:multiLevelType w:val="hybridMultilevel"/>
    <w:lvl w:ilvl="0">
      <w:lvlJc w:val="left"/>
      <w:lvlText w:val="%1."/>
      <w:numFmt w:val="decimal"/>
      <w:start w:val="8"/>
    </w:lvl>
  </w:abstractNum>
  <w:abstractNum w:abstractNumId="41">
    <w:nsid w:val="79A1DEAA"/>
    <w:multiLevelType w:val="hybridMultilevel"/>
    <w:lvl w:ilvl="0">
      <w:lvlJc w:val="left"/>
      <w:lvlText w:val="%1."/>
      <w:numFmt w:val="decimal"/>
      <w:start w:val="9"/>
    </w:lvl>
  </w:abstractNum>
  <w:abstractNum w:abstractNumId="42">
    <w:nsid w:val="75C6C33A"/>
    <w:multiLevelType w:val="hybridMultilevel"/>
    <w:lvl w:ilvl="0">
      <w:lvlJc w:val="left"/>
      <w:lvlText w:val="%1."/>
      <w:numFmt w:val="decimal"/>
      <w:start w:val="10"/>
    </w:lvl>
  </w:abstractNum>
  <w:abstractNum w:abstractNumId="43">
    <w:nsid w:val="12E685FB"/>
    <w:multiLevelType w:val="hybridMultilevel"/>
    <w:lvl w:ilvl="0">
      <w:lvlJc w:val="left"/>
      <w:lvlText w:val="%1."/>
      <w:numFmt w:val="decimal"/>
      <w:start w:val="11"/>
    </w:lvl>
  </w:abstractNum>
  <w:abstractNum w:abstractNumId="44">
    <w:nsid w:val="70C6A529"/>
    <w:multiLevelType w:val="hybridMultilevel"/>
    <w:lvl w:ilvl="0">
      <w:lvlJc w:val="left"/>
      <w:lvlText w:val="%1."/>
      <w:numFmt w:val="decimal"/>
      <w:start w:val="12"/>
    </w:lvl>
  </w:abstractNum>
  <w:abstractNum w:abstractNumId="45">
    <w:nsid w:val="520EEDD1"/>
    <w:multiLevelType w:val="hybridMultilevel"/>
    <w:lvl w:ilvl="0">
      <w:lvlJc w:val="left"/>
      <w:lvlText w:val="%1."/>
      <w:numFmt w:val="decimal"/>
      <w:start w:val="13"/>
    </w:lvl>
  </w:abstractNum>
  <w:abstractNum w:abstractNumId="46">
    <w:nsid w:val="374A3FE6"/>
    <w:multiLevelType w:val="hybridMultilevel"/>
    <w:lvl w:ilvl="0">
      <w:lvlJc w:val="left"/>
      <w:lvlText w:val="%1."/>
      <w:numFmt w:val="decimal"/>
      <w:start w:val="14"/>
    </w:lvl>
  </w:abstractNum>
  <w:abstractNum w:abstractNumId="47">
    <w:nsid w:val="4F4EF005"/>
    <w:multiLevelType w:val="hybridMultilevel"/>
    <w:lvl w:ilvl="0">
      <w:lvlJc w:val="left"/>
      <w:lvlText w:val="%1."/>
      <w:numFmt w:val="decimal"/>
      <w:start w:val="15"/>
    </w:lvl>
  </w:abstractNum>
  <w:abstractNum w:abstractNumId="48">
    <w:nsid w:val="23F9C13C"/>
    <w:multiLevelType w:val="hybridMultilevel"/>
    <w:lvl w:ilvl="0">
      <w:lvlJc w:val="left"/>
      <w:lvlText w:val="%1."/>
      <w:numFmt w:val="decimal"/>
      <w:start w:val="16"/>
    </w:lvl>
  </w:abstractNum>
  <w:abstractNum w:abstractNumId="49">
    <w:nsid w:val="649BB77C"/>
    <w:multiLevelType w:val="hybridMultilevel"/>
    <w:lvl w:ilvl="0">
      <w:lvlJc w:val="left"/>
      <w:lvlText w:val="%1."/>
      <w:numFmt w:val="decimal"/>
      <w:start w:val="17"/>
    </w:lvl>
  </w:abstractNum>
  <w:abstractNum w:abstractNumId="50">
    <w:nsid w:val="275AC794"/>
    <w:multiLevelType w:val="hybridMultilevel"/>
    <w:lvl w:ilvl="0">
      <w:lvlJc w:val="left"/>
      <w:lvlText w:val="%1."/>
      <w:numFmt w:val="decimal"/>
      <w:start w:val="18"/>
    </w:lvl>
  </w:abstractNum>
  <w:abstractNum w:abstractNumId="51">
    <w:nsid w:val="39386575"/>
    <w:multiLevelType w:val="hybridMultilevel"/>
    <w:lvl w:ilvl="0">
      <w:lvlJc w:val="left"/>
      <w:lvlText w:val="%1."/>
      <w:numFmt w:val="decimal"/>
      <w:start w:val="19"/>
    </w:lvl>
  </w:abstractNum>
  <w:abstractNum w:abstractNumId="52">
    <w:nsid w:val="1CF10FD8"/>
    <w:multiLevelType w:val="hybridMultilevel"/>
    <w:lvl w:ilvl="0">
      <w:lvlJc w:val="left"/>
      <w:lvlText w:val="%1."/>
      <w:numFmt w:val="decimal"/>
      <w:start w:val="20"/>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3" Type="http://schemas.openxmlformats.org/officeDocument/2006/relationships/image" Target="media/image76.png"/><Relationship Id="rId120" Type="http://schemas.openxmlformats.org/officeDocument/2006/relationships/image" Target="media/image77.png"/><Relationship Id="rId135" Type="http://schemas.openxmlformats.org/officeDocument/2006/relationships/image" Target="media/image78.png"/><Relationship Id="rId152" Type="http://schemas.openxmlformats.org/officeDocument/2006/relationships/image" Target="media/image79.png"/><Relationship Id="rId167" Type="http://schemas.openxmlformats.org/officeDocument/2006/relationships/image" Target="media/image80.png"/><Relationship Id="rId180" Type="http://schemas.openxmlformats.org/officeDocument/2006/relationships/image" Target="media/image81.png"/><Relationship Id="rId190" Type="http://schemas.openxmlformats.org/officeDocument/2006/relationships/image" Target="media/image82.png"/><Relationship Id="rId191" Type="http://schemas.openxmlformats.org/officeDocument/2006/relationships/image" Target="media/image83.png"/><Relationship Id="rId192" Type="http://schemas.openxmlformats.org/officeDocument/2006/relationships/image" Target="media/image84.png"/><Relationship Id="rId193" Type="http://schemas.openxmlformats.org/officeDocument/2006/relationships/image" Target="media/image85.png"/><Relationship Id="rId194" Type="http://schemas.openxmlformats.org/officeDocument/2006/relationships/image" Target="media/image86.png"/><Relationship Id="rId195" Type="http://schemas.openxmlformats.org/officeDocument/2006/relationships/image" Target="media/image87.png"/><Relationship Id="rId196" Type="http://schemas.openxmlformats.org/officeDocument/2006/relationships/image" Target="media/image88.png"/><Relationship Id="rId197" Type="http://schemas.openxmlformats.org/officeDocument/2006/relationships/image" Target="media/image89.png"/><Relationship Id="rId198" Type="http://schemas.openxmlformats.org/officeDocument/2006/relationships/image" Target="media/image90.png"/><Relationship Id="rId199" Type="http://schemas.openxmlformats.org/officeDocument/2006/relationships/image" Target="media/image91.png"/><Relationship Id="rId200" Type="http://schemas.openxmlformats.org/officeDocument/2006/relationships/image" Target="media/image92.png"/><Relationship Id="rId201" Type="http://schemas.openxmlformats.org/officeDocument/2006/relationships/image" Target="media/image93.png"/><Relationship Id="rId202" Type="http://schemas.openxmlformats.org/officeDocument/2006/relationships/image" Target="media/image94.png"/><Relationship Id="rId203" Type="http://schemas.openxmlformats.org/officeDocument/2006/relationships/image" Target="media/image95.png"/><Relationship Id="rId204" Type="http://schemas.openxmlformats.org/officeDocument/2006/relationships/image" Target="media/image96.png"/><Relationship Id="rId205" Type="http://schemas.openxmlformats.org/officeDocument/2006/relationships/image" Target="media/image97.png"/><Relationship Id="rId206" Type="http://schemas.openxmlformats.org/officeDocument/2006/relationships/image" Target="media/image98.png"/><Relationship Id="rId207" Type="http://schemas.openxmlformats.org/officeDocument/2006/relationships/image" Target="media/image99.png"/><Relationship Id="rId208" Type="http://schemas.openxmlformats.org/officeDocument/2006/relationships/image" Target="media/image100.png"/><Relationship Id="rId209" Type="http://schemas.openxmlformats.org/officeDocument/2006/relationships/image" Target="media/image101.png"/><Relationship Id="rId210" Type="http://schemas.openxmlformats.org/officeDocument/2006/relationships/image" Target="media/image102.png"/><Relationship Id="rId211" Type="http://schemas.openxmlformats.org/officeDocument/2006/relationships/image" Target="media/image103.png"/><Relationship Id="rId212" Type="http://schemas.openxmlformats.org/officeDocument/2006/relationships/image" Target="media/image104.png"/><Relationship Id="rId213" Type="http://schemas.openxmlformats.org/officeDocument/2006/relationships/image" Target="media/image105.png"/><Relationship Id="rId214" Type="http://schemas.openxmlformats.org/officeDocument/2006/relationships/image" Target="media/image106.png"/><Relationship Id="rId215" Type="http://schemas.openxmlformats.org/officeDocument/2006/relationships/image" Target="media/image107.png"/><Relationship Id="rId216" Type="http://schemas.openxmlformats.org/officeDocument/2006/relationships/image" Target="media/image108.png"/><Relationship Id="rId217" Type="http://schemas.openxmlformats.org/officeDocument/2006/relationships/image" Target="media/image109.png"/><Relationship Id="rId218" Type="http://schemas.openxmlformats.org/officeDocument/2006/relationships/image" Target="media/image110.png"/><Relationship Id="rId219" Type="http://schemas.openxmlformats.org/officeDocument/2006/relationships/image" Target="media/image111.png"/><Relationship Id="rId220" Type="http://schemas.openxmlformats.org/officeDocument/2006/relationships/image" Target="media/image112.png"/><Relationship Id="rId221" Type="http://schemas.openxmlformats.org/officeDocument/2006/relationships/image" Target="media/image113.png"/><Relationship Id="rId222" Type="http://schemas.openxmlformats.org/officeDocument/2006/relationships/image" Target="media/image114.png"/><Relationship Id="rId223" Type="http://schemas.openxmlformats.org/officeDocument/2006/relationships/image" Target="media/image115.png"/><Relationship Id="rId224" Type="http://schemas.openxmlformats.org/officeDocument/2006/relationships/image" Target="media/image116.png"/><Relationship Id="rId225" Type="http://schemas.openxmlformats.org/officeDocument/2006/relationships/image" Target="media/image117.png"/><Relationship Id="rId226" Type="http://schemas.openxmlformats.org/officeDocument/2006/relationships/image" Target="media/image118.png"/><Relationship Id="rId227" Type="http://schemas.openxmlformats.org/officeDocument/2006/relationships/image" Target="media/image119.png"/><Relationship Id="rId228" Type="http://schemas.openxmlformats.org/officeDocument/2006/relationships/image" Target="media/image120.png"/><Relationship Id="rId229" Type="http://schemas.openxmlformats.org/officeDocument/2006/relationships/image" Target="media/image121.png"/><Relationship Id="rId230" Type="http://schemas.openxmlformats.org/officeDocument/2006/relationships/image" Target="media/image122.png"/><Relationship Id="rId231" Type="http://schemas.openxmlformats.org/officeDocument/2006/relationships/image" Target="media/image123.png"/><Relationship Id="rId232" Type="http://schemas.openxmlformats.org/officeDocument/2006/relationships/image" Target="media/image124.png"/><Relationship Id="rId83" Type="http://schemas.openxmlformats.org/officeDocument/2006/relationships/hyperlink" Target="http://www.sec.gov/Archives/edgar/data/1158114/000101968713004306/aaoi_10q-ex0301.htm" TargetMode="External"/><Relationship Id="rId84" Type="http://schemas.openxmlformats.org/officeDocument/2006/relationships/hyperlink" Target="http://www.sec.gov/Archives/edgar/data/1158114/000101968713004306/aaoi_10q-ex0302.htm" TargetMode="External"/><Relationship Id="rId85" Type="http://schemas.openxmlformats.org/officeDocument/2006/relationships/hyperlink" Target="http://www.sec.gov/Archives/edgar/data/1158114/000110465916157015/a16-21428_1ex4d1.htm" TargetMode="External"/><Relationship Id="rId86" Type="http://schemas.openxmlformats.org/officeDocument/2006/relationships/hyperlink" Target="http://www.sec.gov/Archives/edgar/data/1158114/000104746913008409/a2216044zex-10_1.htm" TargetMode="External"/><Relationship Id="rId87" Type="http://schemas.openxmlformats.org/officeDocument/2006/relationships/hyperlink" Target="http://www.sec.gov/Archives/edgar/data/1158114/000104746913008409/a2216044zex-10_4.htm" TargetMode="External"/><Relationship Id="rId88" Type="http://schemas.openxmlformats.org/officeDocument/2006/relationships/hyperlink" Target="http://www.sec.gov/Archives/edgar/data/1158114/000104746913008409/a2216044zex-10_41.htm" TargetMode="External"/><Relationship Id="rId89" Type="http://schemas.openxmlformats.org/officeDocument/2006/relationships/hyperlink" Target="http://www.sec.gov/Archives/edgar/data/1158114/000104746913008409/a2216044zex-10_6.htm" TargetMode="External"/><Relationship Id="rId90" Type="http://schemas.openxmlformats.org/officeDocument/2006/relationships/hyperlink" Target="http://www.sec.gov/Archives/edgar/data/1158114/000104746913008695/a2216477zex-10_51.htm" TargetMode="External"/><Relationship Id="rId91" Type="http://schemas.openxmlformats.org/officeDocument/2006/relationships/hyperlink" Target="http://www.sec.gov/Archives/edgar/data/1158114/000104746913008409/a2216044zex-10_52.htm" TargetMode="External"/><Relationship Id="rId92" Type="http://schemas.openxmlformats.org/officeDocument/2006/relationships/hyperlink" Target="http://www.sec.gov/Archives/edgar/data/1158114/000155837017001556/aaoi-20161231ex10640a0a4.htm" TargetMode="External"/><Relationship Id="rId93" Type="http://schemas.openxmlformats.org/officeDocument/2006/relationships/hyperlink" Target="http://www.sec.gov/Archives/edgar/data/1158114/000104746913008409/a2216044zex-10_61.htm" TargetMode="External"/><Relationship Id="rId94" Type="http://schemas.openxmlformats.org/officeDocument/2006/relationships/hyperlink" Target="http://www.sec.gov/Archives/edgar/data/1158114/000104746913008409/a2216044zex-10_62.htm" TargetMode="External"/><Relationship Id="rId95" Type="http://schemas.openxmlformats.org/officeDocument/2006/relationships/hyperlink" Target="http://www.sec.gov/Archives/edgar/data/1158114/000104746913008409/a2216044zex-10_63.htm" TargetMode="External"/><Relationship Id="rId96" Type="http://schemas.openxmlformats.org/officeDocument/2006/relationships/hyperlink" Target="http://www.sec.gov/Archives/edgar/data/1158114/000104746913008409/a2216044zex-10_64.htm" TargetMode="External"/><Relationship Id="rId97" Type="http://schemas.openxmlformats.org/officeDocument/2006/relationships/hyperlink" Target="http://www.sec.gov/Archives/edgar/data/1158114/000104746913008409/a2216044zex-10_12.htm" TargetMode="External"/><Relationship Id="rId98" Type="http://schemas.openxmlformats.org/officeDocument/2006/relationships/hyperlink" Target="http://www.sec.gov/Archives/edgar/data/1158114/000104746913008409/a2216044zex-10_121.htm" TargetMode="External"/><Relationship Id="rId99" Type="http://schemas.openxmlformats.org/officeDocument/2006/relationships/hyperlink" Target="http://www.sec.gov/Archives/edgar/data/1158114/000101968716007125/applied_ex1020.htm" TargetMode="External"/><Relationship Id="rId100" Type="http://schemas.openxmlformats.org/officeDocument/2006/relationships/hyperlink" Target="http://www.sec.gov/Archives/edgar/data/1158114/000101968716007125/applied_ex1021.htm" TargetMode="External"/><Relationship Id="rId101" Type="http://schemas.openxmlformats.org/officeDocument/2006/relationships/hyperlink" Target="http://www.sec.gov/Archives/edgar/data/1158114/000101968716007125/applied_ex1022.htm" TargetMode="External"/><Relationship Id="rId102" Type="http://schemas.openxmlformats.org/officeDocument/2006/relationships/hyperlink" Target="http://www.sec.gov/Archives/edgar/data/1158114/000155837018001271/aaoi-20171231ex1098811b1.htm" TargetMode="External"/><Relationship Id="rId104" Type="http://schemas.openxmlformats.org/officeDocument/2006/relationships/hyperlink" Target="http://www.sec.gov/Archives/edgar/data/1158114/000101968714000736/aaoi_10k-ex101113.htm" TargetMode="External"/><Relationship Id="rId105" Type="http://schemas.openxmlformats.org/officeDocument/2006/relationships/hyperlink" Target="http://www.sec.gov/Archives/edgar/data/1158114/000101968714000736/aaoi_10q-ex1012.htm" TargetMode="External"/><Relationship Id="rId106" Type="http://schemas.openxmlformats.org/officeDocument/2006/relationships/hyperlink" Target="http://www.sec.gov/Archives/edgar/data/1158114/000101968714001288/applied_8k-ex0101.htm" TargetMode="External"/><Relationship Id="rId107" Type="http://schemas.openxmlformats.org/officeDocument/2006/relationships/hyperlink" Target="http://www.sec.gov/Archives/edgar/data/1158114/000101968715000388/applied_8k-ex1001.htm" TargetMode="External"/><Relationship Id="rId108" Type="http://schemas.openxmlformats.org/officeDocument/2006/relationships/hyperlink" Target="http://www.sec.gov/Archives/edgar/data/1158114/000101968715000388/applied_8k-ex1002.htm" TargetMode="External"/><Relationship Id="rId109" Type="http://schemas.openxmlformats.org/officeDocument/2006/relationships/hyperlink" Target="http://www.sec.gov/Archives/edgar/data/1158114/000101968715000388/applied_8k-ex1003.htm" TargetMode="External"/><Relationship Id="rId110" Type="http://schemas.openxmlformats.org/officeDocument/2006/relationships/hyperlink" Target="http://www.sec.gov/Archives/edgar/data/1158114/000101968715001334/applied_8k-ex1001.htm" TargetMode="External"/><Relationship Id="rId111" Type="http://schemas.openxmlformats.org/officeDocument/2006/relationships/hyperlink" Target="http://www.sec.gov/Archives/edgar/data/1158114/000101968715001334/applied_8k-ex1002.htm" TargetMode="External"/><Relationship Id="rId112" Type="http://schemas.openxmlformats.org/officeDocument/2006/relationships/hyperlink" Target="http://www.sec.gov/Archives/edgar/data/1158114/000101968715002242/applied_8k-ex1001.htm" TargetMode="External"/><Relationship Id="rId113" Type="http://schemas.openxmlformats.org/officeDocument/2006/relationships/hyperlink" Target="http://www.sec.gov/Archives/edgar/data/1158114/000101968715002242/applied_8k-ex1002.htm" TargetMode="External"/><Relationship Id="rId114" Type="http://schemas.openxmlformats.org/officeDocument/2006/relationships/hyperlink" Target="http://www.sec.gov/Archives/edgar/data/1158114/000101968715002631/applied_8k-ex1001.htm" TargetMode="External"/><Relationship Id="rId115" Type="http://schemas.openxmlformats.org/officeDocument/2006/relationships/hyperlink" Target="http://www.sec.gov/Archives/edgar/data/1158114/000101968715002631/applied_8k-ex1002.htm" TargetMode="External"/><Relationship Id="rId116" Type="http://schemas.openxmlformats.org/officeDocument/2006/relationships/hyperlink" Target="http://www.sec.gov/Archives/edgar/data/1158114/000101968715002631/applied_8k-ex1003.htm" TargetMode="External"/><Relationship Id="rId117" Type="http://schemas.openxmlformats.org/officeDocument/2006/relationships/hyperlink" Target="http://www.sec.gov/Archives/edgar/data/1158114/000101968715002631/applied_8k-es1004.htm" TargetMode="External"/><Relationship Id="rId118" Type="http://schemas.openxmlformats.org/officeDocument/2006/relationships/hyperlink" Target="http://www.sec.gov/Archives/edgar/data/1158114/000101968715002631/appied_8k-ex1005.htm" TargetMode="External"/><Relationship Id="rId119" Type="http://schemas.openxmlformats.org/officeDocument/2006/relationships/hyperlink" Target="http://www.sec.gov/Archives/edgar/data/1158114/000101968715002631/applied_8k-ex1006.htm" TargetMode="External"/><Relationship Id="rId121" Type="http://schemas.openxmlformats.org/officeDocument/2006/relationships/hyperlink" Target="http://www.sec.gov/Archives/edgar/data/1158114/000101968715002631/applied_8k-ex1007.htm" TargetMode="External"/><Relationship Id="rId122" Type="http://schemas.openxmlformats.org/officeDocument/2006/relationships/hyperlink" Target="http://www.sec.gov/Archives/edgar/data/1158114/000101968715002636/applied_8k-ex1001.htm" TargetMode="External"/><Relationship Id="rId123" Type="http://schemas.openxmlformats.org/officeDocument/2006/relationships/hyperlink" Target="http://www.sec.gov/Archives/edgar/data/1158114/000101968715002636/applied_8k-ex1002.htm" TargetMode="External"/><Relationship Id="rId124" Type="http://schemas.openxmlformats.org/officeDocument/2006/relationships/hyperlink" Target="http://www.sec.gov/Archives/edgar/data/1158114/000101968715003957/applied_10q-ex1001.htm" TargetMode="External"/><Relationship Id="rId125" Type="http://schemas.openxmlformats.org/officeDocument/2006/relationships/hyperlink" Target="http://www.sec.gov/Archives/edgar/data/1158114/000101968716005760/appopto_8k-ex1001.htm" TargetMode="External"/><Relationship Id="rId126" Type="http://schemas.openxmlformats.org/officeDocument/2006/relationships/hyperlink" Target="http://www.sec.gov/Archives/edgar/data/1158114/000101968716005888/appliedopto_8k-ex1001.htm" TargetMode="External"/><Relationship Id="rId127" Type="http://schemas.openxmlformats.org/officeDocument/2006/relationships/hyperlink" Target="http://www.sec.gov/Archives/edgar/data/1158114/000101968716005888/appliedopto_8k-ex1002.htm" TargetMode="External"/><Relationship Id="rId128" Type="http://schemas.openxmlformats.org/officeDocument/2006/relationships/hyperlink" Target="http://www.sec.gov/Archives/edgar/data/1158114/000101968716005888/appliedopto_8k-ex1003.htm" TargetMode="External"/><Relationship Id="rId129" Type="http://schemas.openxmlformats.org/officeDocument/2006/relationships/hyperlink" Target="http://www.sec.gov/Archives/edgar/data/1158114/000101968716006020/appliedopto_8k-ex1001.htm" TargetMode="External"/><Relationship Id="rId130" Type="http://schemas.openxmlformats.org/officeDocument/2006/relationships/hyperlink" Target="http://www.sec.gov/Archives/edgar/data/1158114/000101968716006020/appliedopto_8k-ex1002.htm" TargetMode="External"/><Relationship Id="rId131" Type="http://schemas.openxmlformats.org/officeDocument/2006/relationships/hyperlink" Target="http://www.sec.gov/Archives/edgar/data/1158114/000101968716006020/appliedopto_8k-ex1003.htm" TargetMode="External"/><Relationship Id="rId132" Type="http://schemas.openxmlformats.org/officeDocument/2006/relationships/hyperlink" Target="http://www.sec.gov/Archives/edgar/data/1158114/000101968716006725/appliedopto_ex1002.htm" TargetMode="External"/><Relationship Id="rId133" Type="http://schemas.openxmlformats.org/officeDocument/2006/relationships/hyperlink" Target="http://www.sec.gov/Archives/edgar/data/1158114/000101968716006725/appliedopto_ex1003.htm" TargetMode="External"/><Relationship Id="rId134" Type="http://schemas.openxmlformats.org/officeDocument/2006/relationships/hyperlink" Target="http://www.sec.gov/Archives/edgar/data/1158114/000101968716006811/applied_ex1001.htm" TargetMode="External"/><Relationship Id="rId136" Type="http://schemas.openxmlformats.org/officeDocument/2006/relationships/hyperlink" Target="http://www.sec.gov/Archives/edgar/data/1158114/000101968716006811/applied_ex1002.htm" TargetMode="External"/><Relationship Id="rId137" Type="http://schemas.openxmlformats.org/officeDocument/2006/relationships/hyperlink" Target="http://www.sec.gov/Archives/edgar/data/1158114/000101968716006811/applied_ex1003.htm" TargetMode="External"/><Relationship Id="rId138" Type="http://schemas.openxmlformats.org/officeDocument/2006/relationships/hyperlink" Target="http://www.sec.gov/Archives/edgar/data/1158114/000101968716006811/applied_ex1004.htm" TargetMode="External"/><Relationship Id="rId139" Type="http://schemas.openxmlformats.org/officeDocument/2006/relationships/hyperlink" Target="http://www.sec.gov/Archives/edgar/data/1158114/000101968716006811/applied_ex1005.htm" TargetMode="External"/><Relationship Id="rId140" Type="http://schemas.openxmlformats.org/officeDocument/2006/relationships/hyperlink" Target="http://www.sec.gov/Archives/edgar/data/1158114/000101968716006811/applied_ex1006.htm" TargetMode="External"/><Relationship Id="rId141" Type="http://schemas.openxmlformats.org/officeDocument/2006/relationships/hyperlink" Target="http://www.sec.gov/Archives/edgar/data/1158114/000101968716006811/applied_ex1007.htm" TargetMode="External"/><Relationship Id="rId142" Type="http://schemas.openxmlformats.org/officeDocument/2006/relationships/hyperlink" Target="http://www.sec.gov/Archives/edgar/data/1158114/000101968716006811/applied_ex1008.htm" TargetMode="External"/><Relationship Id="rId143" Type="http://schemas.openxmlformats.org/officeDocument/2006/relationships/hyperlink" Target="http://www.sec.gov/Archives/edgar/data/1158114/000101968716006811/applied_ex1009.htm" TargetMode="External"/><Relationship Id="rId144" Type="http://schemas.openxmlformats.org/officeDocument/2006/relationships/hyperlink" Target="http://www.sec.gov/Archives/edgar/data/1158114/000101968716006811/applied_ex1010.htm" TargetMode="External"/><Relationship Id="rId145" Type="http://schemas.openxmlformats.org/officeDocument/2006/relationships/hyperlink" Target="http://www.sec.gov/Archives/edgar/data/1158114/000168316816000267/applied_8kex1001.htm" TargetMode="External"/><Relationship Id="rId146" Type="http://schemas.openxmlformats.org/officeDocument/2006/relationships/hyperlink" Target="http://www.sec.gov/Archives/edgar/data/1158114/000168316816000267/applied_8kex1002.htm" TargetMode="External"/><Relationship Id="rId147" Type="http://schemas.openxmlformats.org/officeDocument/2006/relationships/hyperlink" Target="http://www.sec.gov/Archives/edgar/data/1158114/000168316816000267/applied_8kex1003.htm" TargetMode="External"/><Relationship Id="rId148" Type="http://schemas.openxmlformats.org/officeDocument/2006/relationships/hyperlink" Target="http://www.sec.gov/Archives/edgar/data/1158114/000168316817000191/appliedopto_ex1001.htm" TargetMode="External"/><Relationship Id="rId149" Type="http://schemas.openxmlformats.org/officeDocument/2006/relationships/hyperlink" Target="http://www.sec.gov/Archives/edgar/data/1158114/000168316817002573/ao_ex1001.htm" TargetMode="External"/><Relationship Id="rId150" Type="http://schemas.openxmlformats.org/officeDocument/2006/relationships/hyperlink" Target="http://www.sec.gov/Archives/edgar/data/1158114/000168316817002573/ao_ex1002.htm" TargetMode="External"/><Relationship Id="rId151" Type="http://schemas.openxmlformats.org/officeDocument/2006/relationships/hyperlink" Target="http://www.sec.gov/Archives/edgar/data/1158114/000168316817002573/ao_ex1003.htm" TargetMode="External"/><Relationship Id="rId153" Type="http://schemas.openxmlformats.org/officeDocument/2006/relationships/hyperlink" Target="http://www.sec.gov/Archives/edgar/data/1158114/000168316817002573/ao_ex1004.htm" TargetMode="External"/><Relationship Id="rId154" Type="http://schemas.openxmlformats.org/officeDocument/2006/relationships/hyperlink" Target="http://www.sec.gov/Archives/edgar/data/1158114/000168316817002573/ao_ex1005.htm" TargetMode="External"/><Relationship Id="rId155" Type="http://schemas.openxmlformats.org/officeDocument/2006/relationships/hyperlink" Target="http://www.sec.gov/Archives/edgar/data/1158114/000168316817002573/ao_ex1006.htm" TargetMode="External"/><Relationship Id="rId156" Type="http://schemas.openxmlformats.org/officeDocument/2006/relationships/hyperlink" Target="http://www.sec.gov/Archives/edgar/data/1158114/000168316817002631/ao_ex1001.htm" TargetMode="External"/><Relationship Id="rId157" Type="http://schemas.openxmlformats.org/officeDocument/2006/relationships/hyperlink" Target="http://www.sec.gov/Archives/edgar/data/1158114/000168316818000488/appliedopto_ex1001.htm" TargetMode="External"/><Relationship Id="rId158" Type="http://schemas.openxmlformats.org/officeDocument/2006/relationships/hyperlink" Target="http://www.sec.gov/Archives/edgar/data/1158114/000168316818000488/appliedopto_ex1002.htm" TargetMode="External"/><Relationship Id="rId159" Type="http://schemas.openxmlformats.org/officeDocument/2006/relationships/hyperlink" Target="http://www.sec.gov/Archives/edgar/data/1158114/000155837018001271/aaoi-20171231ex10309e615.htm" TargetMode="External"/><Relationship Id="rId160" Type="http://schemas.openxmlformats.org/officeDocument/2006/relationships/hyperlink" Target="http://www.sec.gov/Archives/edgar/data/1158114/000155837018001271/aaoi-20171231ex103012e87.htm" TargetMode="External"/><Relationship Id="rId161" Type="http://schemas.openxmlformats.org/officeDocument/2006/relationships/hyperlink" Target="http://www.sec.gov/Archives/edgar/data/1158114/000155837018004322/aaoi-20180331ex105416272.htm" TargetMode="External"/><Relationship Id="rId162" Type="http://schemas.openxmlformats.org/officeDocument/2006/relationships/hyperlink" Target="http://www.sec.gov/Archives/edgar/data/1158114/000168316818000934/appliedopto_8k-ex1001.htm" TargetMode="External"/><Relationship Id="rId163" Type="http://schemas.openxmlformats.org/officeDocument/2006/relationships/hyperlink" Target="http://www.sec.gov/Archives/edgar/data/1158114/000168316818000934/appliedopto_8k-ex1002.htm" TargetMode="External"/><Relationship Id="rId164" Type="http://schemas.openxmlformats.org/officeDocument/2006/relationships/hyperlink" Target="http://www.sec.gov/Archives/edgar/data/1158114/000168316818000934/appliedopto_8k-ex1003.htm" TargetMode="External"/><Relationship Id="rId165" Type="http://schemas.openxmlformats.org/officeDocument/2006/relationships/hyperlink" Target="http://www.sec.gov/Archives/edgar/data/1158114/000168316818000934/appliedopto_8k-ex1004.htm" TargetMode="External"/><Relationship Id="rId166" Type="http://schemas.openxmlformats.org/officeDocument/2006/relationships/hyperlink" Target="http://www.sec.gov/Archives/edgar/data/1158114/000168316818000934/appliedopto_8k-ex1005.htm" TargetMode="External"/><Relationship Id="rId168" Type="http://schemas.openxmlformats.org/officeDocument/2006/relationships/hyperlink" Target="http://www.sec.gov/Archives/edgar/data/1158114/000168316818000934/appliedopto_8k-ex1006.htm" TargetMode="External"/><Relationship Id="rId169" Type="http://schemas.openxmlformats.org/officeDocument/2006/relationships/hyperlink" Target="http://www.sec.gov/Archives/edgar/data/1158114/000168316818000934/appliedopto_8k-ex1007.htm" TargetMode="External"/><Relationship Id="rId170" Type="http://schemas.openxmlformats.org/officeDocument/2006/relationships/hyperlink" Target="http://www.sec.gov/Archives/edgar/data/1158114/000168316818000934/appliedopto_8k-ex1008.htm" TargetMode="External"/><Relationship Id="rId171" Type="http://schemas.openxmlformats.org/officeDocument/2006/relationships/hyperlink" Target="http://www.sec.gov/Archives/edgar/data/1158114/000168316818000934/appliedopto_8k-ex1009.htm" TargetMode="External"/><Relationship Id="rId172" Type="http://schemas.openxmlformats.org/officeDocument/2006/relationships/hyperlink" Target="http://www.sec.gov/Archives/edgar/data/1158114/000168316818000934/appliedopto_8k-ex1010.htm" TargetMode="External"/><Relationship Id="rId173" Type="http://schemas.openxmlformats.org/officeDocument/2006/relationships/hyperlink" Target="http://www.sec.gov/Archives/edgar/data/1158114/000168316818001780/appliedopto_ex1001.htm" TargetMode="External"/><Relationship Id="rId174" Type="http://schemas.openxmlformats.org/officeDocument/2006/relationships/hyperlink" Target="http://www.sec.gov/Archives/edgar/data/1158114/000168316818001780/appliedopto_ex1002.htm" TargetMode="External"/><Relationship Id="rId175" Type="http://schemas.openxmlformats.org/officeDocument/2006/relationships/hyperlink" Target="http://www.sec.gov/Archives/edgar/data/1158114/000168316818001780/appliedopto_ex1003.htm" TargetMode="External"/><Relationship Id="rId176" Type="http://schemas.openxmlformats.org/officeDocument/2006/relationships/hyperlink" Target="http://www.sec.gov/Archives/edgar/data/1158114/000168316818001780/appliedopto_ex1004.htm" TargetMode="External"/><Relationship Id="rId177" Type="http://schemas.openxmlformats.org/officeDocument/2006/relationships/hyperlink" Target="http://www.sec.gov/Archives/edgar/data/1158114/000168316818002871/applied_8k-ex1001.htm" TargetMode="External"/><Relationship Id="rId178" Type="http://schemas.openxmlformats.org/officeDocument/2006/relationships/hyperlink" Target="http://www.sec.gov/Archives/edgar/data/1158114/000168316818002871/applied_8k-ex1002.htm" TargetMode="External"/><Relationship Id="rId179" Type="http://schemas.openxmlformats.org/officeDocument/2006/relationships/hyperlink" Target="http://www.sec.gov/Archives/edgar/data/1158114/000168316818003000/applied_8k-ex1001.htm" TargetMode="External"/><Relationship Id="rId181" Type="http://schemas.openxmlformats.org/officeDocument/2006/relationships/hyperlink" Target="http://www.sec.gov/Archives/edgar/data/1158114/000168316818003000/applied_8k-ex1002.htm" TargetMode="External"/><Relationship Id="rId182" Type="http://schemas.openxmlformats.org/officeDocument/2006/relationships/hyperlink" Target="http://www.sec.gov/Archives/edgar/data/1158114/000168316818003035/appliedopto_ex1001.htm" TargetMode="External"/><Relationship Id="rId183" Type="http://schemas.openxmlformats.org/officeDocument/2006/relationships/hyperlink" Target="http://www.sec.gov/Archives/edgar/data/1158114/000168316818003627/applied_8k-ex1001.htm" TargetMode="External"/><Relationship Id="rId184" Type="http://schemas.openxmlformats.org/officeDocument/2006/relationships/hyperlink" Target="http://www.sec.gov/Archives/edgar/data/1158114/000168316818003728/aaoi_ex1001.htm" TargetMode="External"/><Relationship Id="rId185" Type="http://schemas.openxmlformats.org/officeDocument/2006/relationships/hyperlink" Target="http://www.sec.gov/Archives/edgar/data/1158114/000168316818003728/aaoi_ex1002.htm" TargetMode="External"/><Relationship Id="rId186" Type="http://schemas.openxmlformats.org/officeDocument/2006/relationships/hyperlink" Target="http://www.sec.gov/Archives/edgar/data/1158114/000168316818003728/aaoi_ex1003.htm" TargetMode="External"/><Relationship Id="rId187" Type="http://schemas.openxmlformats.org/officeDocument/2006/relationships/hyperlink" Target="http://www.sec.gov/Archives/edgar/data/1158114/000168316818003728/aaoi_ex1004.htm" TargetMode="External"/><Relationship Id="rId188" Type="http://schemas.openxmlformats.org/officeDocument/2006/relationships/hyperlink" Target="http://www.sec.gov/Archives/edgar/data/1158114/000168316819000203/applied_ex1001.htm" TargetMode="External"/><Relationship Id="rId189" Type="http://schemas.openxmlformats.org/officeDocument/2006/relationships/hyperlink" Target="http://www.sec.gov/Archives/edgar/data/1158114/000168316819000287/applied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2019-12-28T15:59:06Z</dcterms:created>
  <dcterms:modified xsi:type="dcterms:W3CDTF">2019-12-28T15:59:06Z</dcterms:modified>
</cp:coreProperties>
</file>