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60331_10q.htm"/>
      <w:bookmarkStart w:id="1" w:name="ksaaoi20260331_10q"/>
      <w:bookmarkEnd w:id="0"/>
      <w:bookmarkEnd w:id="1"/>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March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60"/>
        <w:gridCol w:w="1820"/>
        <w:gridCol w:w="290"/>
        <w:gridCol w:w="2225"/>
        <w:gridCol w:w="23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3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 xml:space="preserve">As of </w:t>
      </w:r>
      <w:r>
        <w:rPr>
          <w:rFonts w:ascii="Times New Roman" w:hAnsi="Times New Roman"/>
          <w:color w:val="000000"/>
          <w:sz w:val="20"/>
        </w:rPr>
        <w:t>May 5, 2026</w:t>
      </w:r>
      <w:r>
        <w:rPr>
          <w:rFonts w:ascii="Times New Roman" w:hAnsi="Times New Roman"/>
          <w:sz w:val="20"/>
        </w:rPr>
        <w:t>, there w</w:t>
      </w:r>
      <w:r>
        <w:rPr>
          <w:rFonts w:ascii="Times New Roman" w:hAnsi="Times New Roman"/>
          <w:sz w:val="20"/>
          <w:shd w:fill="FFFFFF" w:val="clear"/>
        </w:rPr>
        <w:t xml:space="preserve">ere </w:t>
      </w:r>
      <w:r>
        <w:rPr>
          <w:rFonts w:ascii="Times New Roman" w:hAnsi="Times New Roman"/>
          <w:color w:val="000000"/>
          <w:sz w:val="20"/>
          <w:shd w:fill="FFFFFF" w:val="clear"/>
        </w:rPr>
        <w:t>80,242,767 </w:t>
      </w:r>
      <w:r>
        <w:rPr>
          <w:rFonts w:ascii="Times New Roman" w:hAnsi="Times New Roman"/>
          <w:sz w:val="20"/>
          <w:shd w:fill="FFFFFF" w:val="clear"/>
        </w:rPr>
        <w:t>sh</w:t>
      </w:r>
      <w:r>
        <w:rPr>
          <w:rFonts w:ascii="Times New Roman" w:hAnsi="Times New Roman"/>
          <w:sz w:val="20"/>
        </w:rPr>
        <w:t>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53"/>
        <w:gridCol w:w="9141"/>
        <w:gridCol w:w="411"/>
      </w:tblGrid>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4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March 31, 2026 (Unaudited) and December 31, 2025</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Months ended March 31, 2026 and 2025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Months ended March 31, 2026 and 2025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Months ended March 31, 2026 and 2025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Three Months ended March 31, 2026 and 2025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7</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8</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41"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21</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41"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29</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41"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29</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41"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30</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41"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30</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283"/>
              <w:jc w:val="left"/>
              <w:rPr/>
            </w:pPr>
            <w:r>
              <w:rPr/>
              <w:t>Item 5.</w:t>
            </w:r>
          </w:p>
        </w:tc>
        <w:tc>
          <w:tcPr>
            <w:tcW w:w="9141" w:type="dxa"/>
            <w:tcBorders/>
            <w:vAlign w:val="center"/>
          </w:tcPr>
          <w:p>
            <w:pPr>
              <w:pStyle w:val="TableContents"/>
              <w:bidi w:val="0"/>
              <w:spacing w:before="0" w:after="283"/>
              <w:jc w:val="left"/>
              <w:rPr/>
            </w:pPr>
            <w:hyperlink w:anchor="item5">
              <w:r>
                <w:rPr>
                  <w:rStyle w:val="InternetLink"/>
                </w:rPr>
                <w:t>Other Information</w:t>
              </w:r>
            </w:hyperlink>
          </w:p>
        </w:tc>
        <w:tc>
          <w:tcPr>
            <w:tcW w:w="411" w:type="dxa"/>
            <w:tcBorders/>
            <w:vAlign w:val="center"/>
          </w:tcPr>
          <w:p>
            <w:pPr>
              <w:pStyle w:val="TableContents"/>
              <w:bidi w:val="0"/>
              <w:spacing w:before="0" w:after="283"/>
              <w:jc w:val="right"/>
              <w:rPr/>
            </w:pPr>
            <w:hyperlink w:anchor="item5">
              <w:r>
                <w:rPr>
                  <w:rStyle w:val="InternetLink"/>
                </w:rPr>
                <w:t>31</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4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31</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33</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p>
      <w:pPr>
        <w:pStyle w:val="TextBody"/>
        <w:bidi w:val="0"/>
        <w:spacing w:before="0" w:after="0"/>
        <w:ind w:left="0" w:right="0" w:firstLine="180"/>
        <w:jc w:val="left"/>
        <w:rPr/>
      </w:pPr>
      <w:r>
        <w:rPr/>
        <w:t> </w:t>
      </w:r>
    </w:p>
    <w:tbl>
      <w:tblPr>
        <w:tblW w:w="10205" w:type="dxa"/>
        <w:jc w:val="left"/>
        <w:tblInd w:w="0" w:type="dxa"/>
        <w:tblLayout w:type="fixed"/>
        <w:tblCellMar>
          <w:top w:w="0" w:type="dxa"/>
          <w:left w:w="0" w:type="dxa"/>
          <w:bottom w:w="0" w:type="dxa"/>
          <w:right w:w="0" w:type="dxa"/>
        </w:tblCellMar>
      </w:tblPr>
      <w:tblGrid>
        <w:gridCol w:w="7895"/>
        <w:gridCol w:w="60"/>
        <w:gridCol w:w="125"/>
        <w:gridCol w:w="845"/>
        <w:gridCol w:w="80"/>
        <w:gridCol w:w="60"/>
        <w:gridCol w:w="136"/>
        <w:gridCol w:w="922"/>
        <w:gridCol w:w="82"/>
      </w:tblGrid>
      <w:tr>
        <w:trPr/>
        <w:tc>
          <w:tcPr>
            <w:tcW w:w="7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845" w:type="dxa"/>
            <w:tcBorders/>
            <w:shd w:fill="CCEEFF" w:val="clear"/>
            <w:vAlign w:val="center"/>
          </w:tcPr>
          <w:p>
            <w:pPr>
              <w:pStyle w:val="TableContents"/>
              <w:bidi w:val="0"/>
              <w:spacing w:before="0" w:after="283"/>
              <w:ind w:left="0" w:right="0" w:hanging="0"/>
              <w:jc w:val="right"/>
              <w:rPr>
                <w:sz w:val="20"/>
              </w:rPr>
            </w:pPr>
            <w:r>
              <w:rPr>
                <w:sz w:val="20"/>
              </w:rPr>
              <w:t>439,705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sz w:val="20"/>
              </w:rPr>
            </w:pPr>
            <w:r>
              <w:rPr>
                <w:sz w:val="20"/>
              </w:rPr>
              <w:t>$</w:t>
            </w:r>
          </w:p>
        </w:tc>
        <w:tc>
          <w:tcPr>
            <w:tcW w:w="922" w:type="dxa"/>
            <w:tcBorders/>
            <w:shd w:fill="CCEEFF" w:val="clear"/>
            <w:vAlign w:val="center"/>
          </w:tcPr>
          <w:p>
            <w:pPr>
              <w:pStyle w:val="TableContents"/>
              <w:bidi w:val="0"/>
              <w:spacing w:before="0" w:after="283"/>
              <w:ind w:left="0" w:right="0" w:hanging="0"/>
              <w:jc w:val="right"/>
              <w:rPr>
                <w:sz w:val="20"/>
              </w:rPr>
            </w:pPr>
            <w:r>
              <w:rPr>
                <w:sz w:val="20"/>
              </w:rPr>
              <w:t>206,140</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9,895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298,996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sz w:val="20"/>
              </w:rPr>
            </w:pPr>
            <w:r>
              <w:rPr>
                <w:sz w:val="20"/>
              </w:rPr>
              <w:t>244,404</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206,246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183,105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32,183</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992,577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675,727</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419,003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sz w:val="20"/>
              </w:rPr>
            </w:pPr>
            <w:r>
              <w:rPr>
                <w:sz w:val="20"/>
              </w:rPr>
              <w:t>376,050</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4,871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4,825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71,949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sz w:val="20"/>
              </w:rPr>
            </w:pPr>
            <w:r>
              <w:rPr>
                <w:sz w:val="20"/>
              </w:rPr>
              <w:t>49,697</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3,614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3,623</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sz w:val="20"/>
              </w:rPr>
            </w:pPr>
            <w:r>
              <w:rPr>
                <w:sz w:val="20"/>
              </w:rPr>
              <w:t>7,616</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67,183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50,885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1,565,879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1,168,423</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845" w:type="dxa"/>
            <w:tcBorders/>
            <w:shd w:fill="FFFFFF" w:val="clear"/>
            <w:vAlign w:val="center"/>
          </w:tcPr>
          <w:p>
            <w:pPr>
              <w:pStyle w:val="TableContents"/>
              <w:bidi w:val="0"/>
              <w:spacing w:before="0" w:after="283"/>
              <w:ind w:left="0" w:right="0" w:hanging="0"/>
              <w:jc w:val="right"/>
              <w:rPr>
                <w:sz w:val="20"/>
              </w:rPr>
            </w:pPr>
            <w:r>
              <w:rPr>
                <w:sz w:val="20"/>
              </w:rPr>
              <w:t>148,160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sz w:val="20"/>
              </w:rPr>
            </w:pPr>
            <w:r>
              <w:rPr>
                <w:sz w:val="20"/>
              </w:rPr>
              <w:t>$</w:t>
            </w:r>
          </w:p>
        </w:tc>
        <w:tc>
          <w:tcPr>
            <w:tcW w:w="922" w:type="dxa"/>
            <w:tcBorders/>
            <w:shd w:fill="FFFFFF" w:val="clear"/>
            <w:vAlign w:val="center"/>
          </w:tcPr>
          <w:p>
            <w:pPr>
              <w:pStyle w:val="TableContents"/>
              <w:bidi w:val="0"/>
              <w:spacing w:before="0" w:after="283"/>
              <w:ind w:left="0" w:right="0" w:hanging="0"/>
              <w:jc w:val="right"/>
              <w:rPr>
                <w:sz w:val="20"/>
              </w:rPr>
            </w:pPr>
            <w:r>
              <w:rPr>
                <w:sz w:val="20"/>
              </w:rPr>
              <w:t>143,932</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Bank acceptance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35,766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sz w:val="20"/>
              </w:rPr>
            </w:pPr>
            <w:r>
              <w:rPr>
                <w:sz w:val="20"/>
              </w:rPr>
              <w:t>33,363</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31,345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42,491</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lease liabilities - 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2,932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sz w:val="20"/>
              </w:rPr>
            </w:pPr>
            <w:r>
              <w:rPr>
                <w:sz w:val="20"/>
              </w:rPr>
              <w:t>3,522</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41,225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33,975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259,428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sz w:val="20"/>
              </w:rPr>
            </w:pPr>
            <w:r>
              <w:rPr>
                <w:sz w:val="20"/>
              </w:rPr>
              <w:t>257,283</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Non-current lease liabilities -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70,983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47,393</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Convertible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129,516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129,829</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459,927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434,505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Commitments and contingencies (Note 18)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Preferred Stock; 5,000 shares authorized at $0.001 par value; no shares issued and outstanding at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Common Stock; 120,000 shares authorized at $0.001 par value; 78,971 and 74,998 shares issued and outstanding at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75</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1,610,439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sz w:val="20"/>
              </w:rPr>
            </w:pPr>
            <w:r>
              <w:rPr>
                <w:sz w:val="20"/>
              </w:rPr>
              <w:t>1,224,538</w:t>
            </w:r>
          </w:p>
        </w:tc>
        <w:tc>
          <w:tcPr>
            <w:tcW w:w="82"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(207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sz w:val="20"/>
              </w:rPr>
            </w:pPr>
            <w:r>
              <w:rPr>
                <w:sz w:val="20"/>
              </w:rPr>
              <w:t>(617</w:t>
            </w:r>
          </w:p>
        </w:tc>
        <w:tc>
          <w:tcPr>
            <w:tcW w:w="82" w:type="dxa"/>
            <w:tcBorders/>
            <w:shd w:fill="FFFFFF" w:val="clear"/>
            <w:vAlign w:val="center"/>
          </w:tcPr>
          <w:p>
            <w:pPr>
              <w:pStyle w:val="TableContents"/>
              <w:bidi w:val="0"/>
              <w:spacing w:before="0" w:after="283"/>
              <w:jc w:val="left"/>
              <w:rPr>
                <w:sz w:val="20"/>
              </w:rPr>
            </w:pPr>
            <w:r>
              <w:rPr>
                <w:sz w:val="20"/>
              </w:rPr>
              <w:t>)</w:t>
            </w:r>
          </w:p>
        </w:tc>
      </w:tr>
      <w:tr>
        <w:trPr/>
        <w:tc>
          <w:tcPr>
            <w:tcW w:w="7895"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(504,359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(490,078</w:t>
            </w:r>
          </w:p>
        </w:tc>
        <w:tc>
          <w:tcPr>
            <w:tcW w:w="82" w:type="dxa"/>
            <w:tcBorders/>
            <w:shd w:fill="CCEEFF" w:val="clear"/>
            <w:vAlign w:val="center"/>
          </w:tcPr>
          <w:p>
            <w:pPr>
              <w:pStyle w:val="TableContents"/>
              <w:bidi w:val="0"/>
              <w:spacing w:before="0" w:after="283"/>
              <w:jc w:val="left"/>
              <w:rPr>
                <w:sz w:val="20"/>
              </w:rPr>
            </w:pPr>
            <w:r>
              <w:rPr>
                <w:sz w:val="20"/>
              </w:rPr>
              <w:t>)</w:t>
            </w:r>
          </w:p>
        </w:tc>
      </w:tr>
      <w:tr>
        <w:trPr/>
        <w:tc>
          <w:tcPr>
            <w:tcW w:w="7895"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1,105,952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733,918</w:t>
            </w:r>
          </w:p>
        </w:tc>
        <w:tc>
          <w:tcPr>
            <w:tcW w:w="82"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1,565,879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1,168,423</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0"/>
        <w:ind w:left="0" w:right="0" w:hanging="0"/>
        <w:jc w:val="center"/>
        <w:rPr/>
      </w:pPr>
      <w:r>
        <w:rPr/>
        <w:t> </w:t>
      </w:r>
    </w:p>
    <w:tbl>
      <w:tblPr>
        <w:tblW w:w="7616" w:type="dxa"/>
        <w:jc w:val="left"/>
        <w:tblInd w:w="0" w:type="dxa"/>
        <w:tblLayout w:type="fixed"/>
        <w:tblCellMar>
          <w:top w:w="0" w:type="dxa"/>
          <w:left w:w="0" w:type="dxa"/>
          <w:bottom w:w="0" w:type="dxa"/>
          <w:right w:w="0" w:type="dxa"/>
        </w:tblCellMar>
      </w:tblPr>
      <w:tblGrid>
        <w:gridCol w:w="4895"/>
        <w:gridCol w:w="60"/>
        <w:gridCol w:w="192"/>
        <w:gridCol w:w="1072"/>
        <w:gridCol w:w="123"/>
        <w:gridCol w:w="92"/>
        <w:gridCol w:w="192"/>
        <w:gridCol w:w="910"/>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151,144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107,228</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69,315</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43,916</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30,544</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25,656</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17,810</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16,314</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56,907</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(12,991</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(13,232</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center"/>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02"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75,980</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75,980</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 </w:t>
      </w:r>
    </w:p>
    <w:tbl>
      <w:tblPr>
        <w:tblW w:w="7106" w:type="dxa"/>
        <w:jc w:val="left"/>
        <w:tblInd w:w="0" w:type="dxa"/>
        <w:tblLayout w:type="fixed"/>
        <w:tblCellMar>
          <w:top w:w="0" w:type="dxa"/>
          <w:left w:w="0" w:type="dxa"/>
          <w:bottom w:w="0" w:type="dxa"/>
          <w:right w:w="0" w:type="dxa"/>
        </w:tblCellMar>
      </w:tblPr>
      <w:tblGrid>
        <w:gridCol w:w="4385"/>
        <w:gridCol w:w="60"/>
        <w:gridCol w:w="203"/>
        <w:gridCol w:w="1060"/>
        <w:gridCol w:w="130"/>
        <w:gridCol w:w="97"/>
        <w:gridCol w:w="203"/>
        <w:gridCol w:w="888"/>
        <w:gridCol w:w="80"/>
      </w:tblGrid>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(13,871</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for share amount)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30"/>
        <w:gridCol w:w="60"/>
        <w:gridCol w:w="67"/>
        <w:gridCol w:w="653"/>
        <w:gridCol w:w="63"/>
        <w:gridCol w:w="63"/>
        <w:gridCol w:w="220"/>
        <w:gridCol w:w="460"/>
        <w:gridCol w:w="60"/>
        <w:gridCol w:w="60"/>
        <w:gridCol w:w="125"/>
        <w:gridCol w:w="845"/>
        <w:gridCol w:w="80"/>
        <w:gridCol w:w="60"/>
        <w:gridCol w:w="300"/>
        <w:gridCol w:w="950"/>
        <w:gridCol w:w="80"/>
        <w:gridCol w:w="60"/>
        <w:gridCol w:w="158"/>
        <w:gridCol w:w="957"/>
        <w:gridCol w:w="80"/>
        <w:gridCol w:w="60"/>
        <w:gridCol w:w="144"/>
        <w:gridCol w:w="987"/>
        <w:gridCol w:w="83"/>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74,998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733,918</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382,449</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78,971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1,105,952</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78"/>
        <w:gridCol w:w="60"/>
        <w:gridCol w:w="67"/>
        <w:gridCol w:w="653"/>
        <w:gridCol w:w="63"/>
        <w:gridCol w:w="63"/>
        <w:gridCol w:w="220"/>
        <w:gridCol w:w="460"/>
        <w:gridCol w:w="60"/>
        <w:gridCol w:w="60"/>
        <w:gridCol w:w="140"/>
        <w:gridCol w:w="780"/>
        <w:gridCol w:w="80"/>
        <w:gridCol w:w="60"/>
        <w:gridCol w:w="233"/>
        <w:gridCol w:w="1017"/>
        <w:gridCol w:w="80"/>
        <w:gridCol w:w="60"/>
        <w:gridCol w:w="158"/>
        <w:gridCol w:w="957"/>
        <w:gridCol w:w="80"/>
        <w:gridCol w:w="60"/>
        <w:gridCol w:w="172"/>
        <w:gridCol w:w="961"/>
        <w:gridCol w:w="83"/>
      </w:tblGrid>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49,393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229,112</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71,666</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contra revenue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16,738</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53,212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(461,023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309,013</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24"/>
        <w:gridCol w:w="60"/>
        <w:gridCol w:w="182"/>
        <w:gridCol w:w="1017"/>
        <w:gridCol w:w="117"/>
        <w:gridCol w:w="87"/>
        <w:gridCol w:w="182"/>
        <w:gridCol w:w="952"/>
        <w:gridCol w:w="84"/>
      </w:tblGrid>
      <w:tr>
        <w:trPr/>
        <w:tc>
          <w:tcPr>
            <w:tcW w:w="75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March 31,</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99" w:type="dxa"/>
            <w:gridSpan w:val="2"/>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34" w:type="dxa"/>
            <w:gridSpan w:val="2"/>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sz w:val="20"/>
              </w:rPr>
            </w:pPr>
            <w:r>
              <w:rPr>
                <w:sz w:val="20"/>
              </w:rPr>
              <w:t>$</w:t>
            </w:r>
          </w:p>
        </w:tc>
        <w:tc>
          <w:tcPr>
            <w:tcW w:w="1017" w:type="dxa"/>
            <w:tcBorders/>
            <w:shd w:fill="FFFFFF" w:val="clear"/>
            <w:vAlign w:val="center"/>
          </w:tcPr>
          <w:p>
            <w:pPr>
              <w:pStyle w:val="TableContents"/>
              <w:bidi w:val="0"/>
              <w:spacing w:before="0" w:after="283"/>
              <w:ind w:left="0" w:right="0" w:hanging="0"/>
              <w:jc w:val="right"/>
              <w:rPr>
                <w:sz w:val="20"/>
              </w:rPr>
            </w:pPr>
            <w:r>
              <w:rPr>
                <w:sz w:val="20"/>
              </w:rPr>
              <w:t>(14,281</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sz w:val="20"/>
              </w:rPr>
            </w:pPr>
            <w:r>
              <w:rPr>
                <w:sz w:val="20"/>
              </w:rPr>
              <w:t>$</w:t>
            </w:r>
          </w:p>
        </w:tc>
        <w:tc>
          <w:tcPr>
            <w:tcW w:w="952" w:type="dxa"/>
            <w:tcBorders/>
            <w:shd w:fill="FFFFFF" w:val="clear"/>
            <w:vAlign w:val="center"/>
          </w:tcPr>
          <w:p>
            <w:pPr>
              <w:pStyle w:val="TableContents"/>
              <w:bidi w:val="0"/>
              <w:spacing w:before="0" w:after="283"/>
              <w:ind w:left="0" w:right="0" w:hanging="0"/>
              <w:jc w:val="right"/>
              <w:rPr>
                <w:sz w:val="20"/>
              </w:rPr>
            </w:pPr>
            <w:r>
              <w:rPr>
                <w:sz w:val="20"/>
              </w:rPr>
              <w:t>(9,172</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34" w:type="dxa"/>
            <w:gridSpan w:val="2"/>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Allowance for bad debt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8</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2,436</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1,872</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9,229</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5,725</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Amortization of debt issuance costs and premium</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(258</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296</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Amortization of convertible notes premium</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(508</w:t>
            </w:r>
          </w:p>
        </w:tc>
        <w:tc>
          <w:tcPr>
            <w:tcW w:w="84" w:type="dxa"/>
            <w:tcBorders/>
            <w:shd w:fill="FFFFFF" w:val="clear"/>
            <w:vAlign w:val="center"/>
          </w:tcPr>
          <w:p>
            <w:pPr>
              <w:pStyle w:val="TableContents"/>
              <w:bidi w:val="0"/>
              <w:spacing w:before="0" w:after="283"/>
              <w:ind w:left="0" w:right="0" w:hanging="0"/>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6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sz w:val="20"/>
              </w:rPr>
            </w:pPr>
            <w:r>
              <w:rPr>
                <w:sz w:val="20"/>
              </w:rPr>
              <w:t>1,049</w:t>
            </w:r>
          </w:p>
        </w:tc>
        <w:tc>
          <w:tcPr>
            <w:tcW w:w="11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c>
          <w:tcPr>
            <w:tcW w:w="84" w:type="dxa"/>
            <w:tcBorders/>
            <w:shd w:fill="CCEEFF" w:val="clear"/>
            <w:vAlign w:val="center"/>
          </w:tcPr>
          <w:p>
            <w:pPr>
              <w:pStyle w:val="TableContents"/>
              <w:bidi w:val="0"/>
              <w:spacing w:before="0" w:after="0"/>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Gain on disposal of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16</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8</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4,391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2,562</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Warrants contra revenue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963</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Unrealized foreign exchange loss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1,217</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250</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trade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(54,444</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(54,300</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(25,329</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(16,194</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(6,188</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244</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(23,063</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314</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4,228</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19,896</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(9,159</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(1,569</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23,832</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(339</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(85,353</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(50,915</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(58,225</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(28,389</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Deposits and deferred charges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(9,744</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(7,847</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(118</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(65</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(68,087</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(36,301</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Principal payments of long-term debt and notes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(55</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line of credit borrowings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16,348</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6,546</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(9,562</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(11,143</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bank acceptance payable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35,231</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23,865</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bank acceptance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(33,447</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(19,178</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Payments of tax withholding on behalf of employees related to share-based compensation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(1,737</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(1,686</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Payment on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(16</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common stock offering, net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382,448</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71,665</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389,265</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70,014</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(2,483</w:t>
            </w:r>
          </w:p>
        </w:tc>
        <w:tc>
          <w:tcPr>
            <w:tcW w:w="117" w:type="dxa"/>
            <w:tcBorders/>
            <w:shd w:fill="FFFFFF" w:val="clear"/>
            <w:vAlign w:val="center"/>
          </w:tcPr>
          <w:p>
            <w:pPr>
              <w:pStyle w:val="TableContents"/>
              <w:bidi w:val="0"/>
              <w:spacing w:before="0" w:after="283"/>
              <w:jc w:val="left"/>
              <w:rPr>
                <w:sz w:val="20"/>
              </w:rPr>
            </w:pPr>
            <w:r>
              <w:rPr>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4,880</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sz w:val="20"/>
              </w:rPr>
            </w:pPr>
            <w:r>
              <w:rPr>
                <w:sz w:val="20"/>
              </w:rPr>
              <w:t>233,342</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sz w:val="20"/>
              </w:rPr>
            </w:pPr>
            <w:r>
              <w:rPr>
                <w:sz w:val="20"/>
              </w:rPr>
              <w:t>(12,322</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752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216,035</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79,133</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449,377</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66,811</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Interest, net of amounts capitalized</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sz w:val="20"/>
              </w:rPr>
            </w:pPr>
            <w:r>
              <w:rPr>
                <w:sz w:val="20"/>
              </w:rPr>
              <w:t>$</w:t>
            </w:r>
          </w:p>
        </w:tc>
        <w:tc>
          <w:tcPr>
            <w:tcW w:w="1017" w:type="dxa"/>
            <w:tcBorders/>
            <w:shd w:fill="FFFFFF" w:val="clear"/>
            <w:vAlign w:val="center"/>
          </w:tcPr>
          <w:p>
            <w:pPr>
              <w:pStyle w:val="TableContents"/>
              <w:bidi w:val="0"/>
              <w:spacing w:before="0" w:after="283"/>
              <w:ind w:left="0" w:right="0" w:hanging="0"/>
              <w:jc w:val="right"/>
              <w:rPr>
                <w:sz w:val="20"/>
              </w:rPr>
            </w:pPr>
            <w:r>
              <w:rPr>
                <w:sz w:val="20"/>
              </w:rPr>
              <w:t>1,815</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sz w:val="20"/>
              </w:rPr>
            </w:pPr>
            <w:r>
              <w:rPr>
                <w:sz w:val="20"/>
              </w:rPr>
              <w:t>$</w:t>
            </w:r>
          </w:p>
        </w:tc>
        <w:tc>
          <w:tcPr>
            <w:tcW w:w="952" w:type="dxa"/>
            <w:tcBorders/>
            <w:shd w:fill="FFFFFF" w:val="clear"/>
            <w:vAlign w:val="center"/>
          </w:tcPr>
          <w:p>
            <w:pPr>
              <w:pStyle w:val="TableContents"/>
              <w:bidi w:val="0"/>
              <w:spacing w:before="0" w:after="283"/>
              <w:ind w:left="0" w:right="0" w:hanging="0"/>
              <w:jc w:val="right"/>
              <w:rPr>
                <w:sz w:val="20"/>
              </w:rPr>
            </w:pPr>
            <w:r>
              <w:rPr>
                <w:sz w:val="20"/>
              </w:rPr>
              <w:t>109</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sz w:val="20"/>
              </w:rPr>
            </w:pPr>
            <w:r>
              <w:rPr>
                <w:sz w:val="20"/>
              </w:rPr>
              <w:t>(2</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2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accounts payable related to property and equipment additions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sz w:val="20"/>
              </w:rPr>
            </w:pPr>
            <w:r>
              <w:rPr>
                <w:sz w:val="20"/>
              </w:rPr>
              <w:t>$</w:t>
            </w:r>
          </w:p>
        </w:tc>
        <w:tc>
          <w:tcPr>
            <w:tcW w:w="1017" w:type="dxa"/>
            <w:tcBorders/>
            <w:shd w:fill="CCEEFF" w:val="clear"/>
            <w:vAlign w:val="center"/>
          </w:tcPr>
          <w:p>
            <w:pPr>
              <w:pStyle w:val="TableContents"/>
              <w:bidi w:val="0"/>
              <w:spacing w:before="0" w:after="283"/>
              <w:ind w:left="0" w:right="0" w:hanging="0"/>
              <w:jc w:val="right"/>
              <w:rPr>
                <w:sz w:val="20"/>
              </w:rPr>
            </w:pPr>
            <w:r>
              <w:rPr>
                <w:sz w:val="20"/>
              </w:rPr>
              <w:t>(1,595</w:t>
            </w:r>
          </w:p>
        </w:tc>
        <w:tc>
          <w:tcPr>
            <w:tcW w:w="117" w:type="dxa"/>
            <w:tcBorders/>
            <w:shd w:fill="CCEEFF" w:val="clear"/>
            <w:vAlign w:val="center"/>
          </w:tcPr>
          <w:p>
            <w:pPr>
              <w:pStyle w:val="TableContents"/>
              <w:bidi w:val="0"/>
              <w:spacing w:before="0" w:after="283"/>
              <w:jc w:val="left"/>
              <w:rPr>
                <w:sz w:val="20"/>
              </w:rPr>
            </w:pPr>
            <w:r>
              <w:rPr>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sz w:val="20"/>
              </w:rPr>
            </w:pPr>
            <w:r>
              <w:rPr>
                <w:sz w:val="20"/>
              </w:rPr>
              <w:t>$</w:t>
            </w:r>
          </w:p>
        </w:tc>
        <w:tc>
          <w:tcPr>
            <w:tcW w:w="952" w:type="dxa"/>
            <w:tcBorders/>
            <w:shd w:fill="CCEEFF" w:val="clear"/>
            <w:vAlign w:val="center"/>
          </w:tcPr>
          <w:p>
            <w:pPr>
              <w:pStyle w:val="TableContents"/>
              <w:bidi w:val="0"/>
              <w:spacing w:before="0" w:after="283"/>
              <w:ind w:left="0" w:right="0" w:hanging="0"/>
              <w:jc w:val="right"/>
              <w:rPr>
                <w:sz w:val="20"/>
              </w:rPr>
            </w:pPr>
            <w:r>
              <w:rPr>
                <w:sz w:val="20"/>
              </w:rPr>
              <w:t>809</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deposits and prepaid for equipment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sz w:val="20"/>
              </w:rPr>
            </w:pPr>
            <w:r>
              <w:rPr>
                <w:sz w:val="20"/>
              </w:rPr>
              <w:t>597</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sz w:val="20"/>
              </w:rPr>
            </w:pPr>
            <w:r>
              <w:rPr>
                <w:sz w:val="20"/>
              </w:rPr>
              <w:t>(864</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75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and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24"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Warrant issued and vested to customer</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16,739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as well as certain of its data center transceivers and performs research and development activities for laser component and optical module products and certain data center transceiver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certain of its data center transceivers and certain CATV systems and equipment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The accompanying unaudited condensed consolidated financial statements of the Company as of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xml:space="preserve"> and </w:t>
      </w:r>
      <w:r>
        <w:rPr>
          <w:rStyle w:val="Emphasis"/>
          <w:rFonts w:ascii="Times New Roman;Times;serif" w:hAnsi="Times New Roman;Times;serif"/>
          <w:sz w:val="20"/>
        </w:rPr>
        <w:t>March 31, 2025</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2025</w:t>
      </w:r>
      <w:r>
        <w:rPr>
          <w:rFonts w:ascii="Times New Roman;Times;serif" w:hAnsi="Times New Roman;Times;serif"/>
          <w:sz w:val="20"/>
        </w:rPr>
        <w:t>.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materially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revenue recognition, allowance for credit losses, inventory reserve, impairment of long-lived assets, service and product warranty costs, share-based compensation expense, estimated useful lives of tangible and intangible assets, and taxes.</w:t>
      </w:r>
    </w:p>
    <w:p>
      <w:pPr>
        <w:pStyle w:val="TextBody"/>
        <w:bidi w:val="0"/>
        <w:spacing w:before="0" w:after="0"/>
        <w:ind w:left="0" w:right="0" w:firstLine="720"/>
        <w:jc w:val="left"/>
        <w:rPr/>
      </w:pPr>
      <w:r>
        <w:rPr/>
        <w:t> </w:t>
      </w:r>
    </w:p>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Product Warranty</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generally offers a one-year limited warranty for its products but it can extend for longer periods of three to five years for certain products sold to certain customers. The Company estimates the costs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exceed the accrual, in which case the cost of sales will increase in the future.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amount of accrued warranty was $0.47 million and $0.48 million, respectively.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as compared to the significant accounting policies described in its </w:t>
      </w:r>
      <w:r>
        <w:rPr>
          <w:rStyle w:val="Emphasis"/>
          <w:rFonts w:ascii="Times New Roman;Times;serif" w:hAnsi="Times New Roman;Times;serif"/>
          <w:sz w:val="20"/>
        </w:rPr>
        <w:t>2025</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caps w:val="false"/>
          <w:smallCaps w:val="false"/>
        </w:rPr>
        <w:t>           </w:t>
      </w:r>
      <w:r>
        <w:rPr>
          <w:rFonts w:ascii="Times New Roman" w:hAnsi="Times New Roman"/>
          <w:caps w:val="false"/>
          <w:smallCaps w:val="false"/>
          <w:sz w:val="20"/>
        </w:rPr>
        <w:t>There was </w:t>
      </w:r>
      <w:r>
        <w:rPr>
          <w:rStyle w:val="Emphasis"/>
          <w:rFonts w:ascii="Times New Roman" w:hAnsi="Times New Roman"/>
          <w:caps w:val="false"/>
          <w:smallCaps w:val="false"/>
          <w:sz w:val="20"/>
        </w:rPr>
        <w:t>no</w:t>
      </w:r>
      <w:r>
        <w:rPr>
          <w:rFonts w:ascii="Times New Roman" w:hAnsi="Times New Roman"/>
          <w:caps w:val="false"/>
          <w:smallCaps w:val="false"/>
          <w:sz w:val="20"/>
        </w:rPr>
        <w:t> accounting pronouncement adopted in the fi</w:t>
      </w:r>
      <w:r>
        <w:rPr>
          <w:rFonts w:ascii="Times New Roman" w:hAnsi="Times New Roman"/>
          <w:i/>
          <w:caps w:val="false"/>
          <w:smallCaps w:val="false"/>
          <w:sz w:val="20"/>
        </w:rPr>
        <w:t>r</w:t>
      </w:r>
      <w:r>
        <w:rPr>
          <w:rFonts w:ascii="Times New Roman" w:hAnsi="Times New Roman"/>
          <w:caps w:val="false"/>
          <w:smallCaps w:val="false"/>
          <w:sz w:val="20"/>
        </w:rPr>
        <w:t>st quarter of </w:t>
      </w:r>
      <w:r>
        <w:rPr>
          <w:rStyle w:val="Emphasis"/>
          <w:rFonts w:ascii="Times New Roman" w:hAnsi="Times New Roman"/>
          <w:caps w:val="false"/>
          <w:smallCaps w:val="false"/>
          <w:sz w:val="20"/>
        </w:rPr>
        <w:t>2026</w:t>
      </w:r>
      <w:r>
        <w:rPr>
          <w:rFonts w:ascii="Times New Roman" w:hAnsi="Times New Roman"/>
          <w:i/>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i/>
          <w:caps w:val="false"/>
          <w:smallCaps w:val="false"/>
          <w:sz w:val="20"/>
        </w:rPr>
        <w:t xml:space="preserve">Recent Accounting Pronouncements </w:t>
      </w:r>
      <w:r>
        <w:rPr>
          <w:rStyle w:val="Emphasis"/>
          <w:rFonts w:ascii="Times New Roman;Times;serif" w:hAnsi="Times New Roman;Times;serif"/>
          <w:i/>
          <w:caps w:val="false"/>
          <w:smallCaps w:val="false"/>
          <w:sz w:val="20"/>
        </w:rPr>
        <w:t>Not</w:t>
      </w:r>
      <w:r>
        <w:rPr>
          <w:rFonts w:ascii="Times New Roman;Times;serif" w:hAnsi="Times New Roman;Times;serif"/>
          <w:i/>
          <w:caps w:val="false"/>
          <w:smallCaps w:val="false"/>
          <w:sz w:val="20"/>
        </w:rPr>
        <w:t xml:space="preserve"> Yet Adopted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sz w:val="20"/>
          <w:shd w:fill="FFFFFF" w:val="clear"/>
        </w:rPr>
        <w:t>In </w:t>
      </w:r>
      <w:r>
        <w:rPr>
          <w:rStyle w:val="Emphasis"/>
          <w:sz w:val="20"/>
          <w:shd w:fill="FFFFFF" w:val="clear"/>
        </w:rPr>
        <w:t xml:space="preserve"> November 2024, </w:t>
      </w:r>
      <w:r>
        <w:rPr>
          <w:sz w:val="20"/>
          <w:shd w:fill="FFFFFF" w:val="clear"/>
        </w:rPr>
        <w:t>the Financial Accounting Standard Board ("FASB") issued Accounting Standard Update ("ASU") </w:t>
      </w:r>
      <w:r>
        <w:rPr>
          <w:rStyle w:val="Emphasis"/>
          <w:sz w:val="20"/>
          <w:shd w:fill="FFFFFF" w:val="clear"/>
        </w:rPr>
        <w:t>2024</w:t>
      </w:r>
      <w:r>
        <w:rPr>
          <w:sz w:val="20"/>
          <w:shd w:fill="FFFFFF" w:val="clear"/>
        </w:rPr>
        <w:t>-</w:t>
      </w:r>
      <w:r>
        <w:rPr>
          <w:rStyle w:val="Emphasis"/>
          <w:sz w:val="20"/>
          <w:shd w:fill="FFFFFF" w:val="clear"/>
        </w:rPr>
        <w:t>03</w:t>
      </w:r>
      <w:r>
        <w:rPr>
          <w:sz w:val="20"/>
          <w:shd w:fill="FFFFFF" w:val="clear"/>
        </w:rPr>
        <w:t> "Income Statement: Reporting Comprehensive Income/Expense Disaggregation Disclosures (Subtopic </w:t>
      </w:r>
      <w:r>
        <w:rPr>
          <w:rStyle w:val="Emphasis"/>
          <w:sz w:val="20"/>
          <w:shd w:fill="FFFFFF" w:val="clear"/>
        </w:rPr>
        <w:t>220</w:t>
      </w:r>
      <w:r>
        <w:rPr>
          <w:sz w:val="20"/>
          <w:shd w:fill="FFFFFF" w:val="clear"/>
        </w:rPr>
        <w:t>-</w:t>
      </w:r>
      <w:r>
        <w:rPr>
          <w:rStyle w:val="Emphasis"/>
          <w:sz w:val="20"/>
          <w:shd w:fill="FFFFFF" w:val="clear"/>
        </w:rPr>
        <w:t>40</w:t>
      </w:r>
      <w:r>
        <w:rPr>
          <w:sz w:val="20"/>
          <w:shd w:fill="FFFFFF" w:val="clear"/>
        </w:rPr>
        <w:t>)" to improve the disclosures about an entity's expenses. Upon adoption, we will be required to disclose in the notes a disaggregation of certain expense categories included within the expense captions of the income statement. The standard is effective for our </w:t>
      </w:r>
      <w:r>
        <w:rPr>
          <w:rStyle w:val="Emphasis"/>
          <w:sz w:val="20"/>
          <w:shd w:fill="FFFFFF" w:val="clear"/>
        </w:rPr>
        <w:t>2027</w:t>
      </w:r>
      <w:r>
        <w:rPr>
          <w:sz w:val="20"/>
          <w:shd w:fill="FFFFFF" w:val="clear"/>
        </w:rPr>
        <w:t> annual period, and our interim periods beginning in </w:t>
      </w:r>
      <w:r>
        <w:rPr>
          <w:rStyle w:val="Emphasis"/>
          <w:sz w:val="20"/>
          <w:shd w:fill="FFFFFF" w:val="clear"/>
        </w:rPr>
        <w:t>2028.</w:t>
      </w:r>
      <w:r>
        <w:rPr>
          <w:sz w:val="20"/>
          <w:shd w:fill="FFFFFF" w:val="clear"/>
        </w:rPr>
        <w:t> The Company is currently evaluating the impact of the new standard will have on its annual financial statements and related disclosures.</w:t>
      </w:r>
      <w:r>
        <w:rPr>
          <w:sz w:val="20"/>
        </w:rPr>
        <w:t xml:space="preserve">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pPr>
      <w:r>
        <w:rPr>
          <w:sz w:val="20"/>
          <w:shd w:fill="FFFFFF" w:val="clear"/>
        </w:rPr>
        <w:t xml:space="preserve">In </w:t>
      </w:r>
      <w:r>
        <w:rPr>
          <w:rStyle w:val="Emphasis"/>
          <w:sz w:val="20"/>
          <w:shd w:fill="FFFFFF" w:val="clear"/>
        </w:rPr>
        <w:t xml:space="preserve">May 2025, </w:t>
      </w:r>
      <w:r>
        <w:rPr>
          <w:sz w:val="20"/>
        </w:rPr>
        <w:t xml:space="preserve">the FASB issued ASU  </w:t>
      </w:r>
      <w:r>
        <w:rPr>
          <w:rStyle w:val="Emphasis"/>
          <w:sz w:val="20"/>
          <w:shd w:fill="FFFFFF" w:val="clear"/>
        </w:rPr>
        <w:t>2025</w:t>
      </w:r>
      <w:r>
        <w:rPr>
          <w:sz w:val="20"/>
          <w:shd w:fill="FFFFFF" w:val="clear"/>
        </w:rPr>
        <w:t>-</w:t>
      </w:r>
      <w:r>
        <w:rPr>
          <w:rStyle w:val="Emphasis"/>
          <w:sz w:val="20"/>
          <w:shd w:fill="FFFFFF" w:val="clear"/>
        </w:rPr>
        <w:t>04</w:t>
      </w:r>
      <w:r>
        <w:rPr>
          <w:sz w:val="20"/>
          <w:shd w:fill="FFFFFF" w:val="clear"/>
        </w:rPr>
        <w:t xml:space="preserve"> "Share-Based Consideration Payable to a Customer". The standard is effective for our </w:t>
      </w:r>
      <w:r>
        <w:rPr>
          <w:rStyle w:val="Emphasis"/>
          <w:sz w:val="20"/>
          <w:shd w:fill="FFFFFF" w:val="clear"/>
        </w:rPr>
        <w:t>2026</w:t>
      </w:r>
      <w:r>
        <w:rPr>
          <w:sz w:val="20"/>
          <w:shd w:fill="FFFFFF" w:val="clear"/>
        </w:rPr>
        <w:t xml:space="preserve"> annual period, and our interim periods beginning in </w:t>
      </w:r>
      <w:r>
        <w:rPr>
          <w:rStyle w:val="Emphasis"/>
          <w:sz w:val="20"/>
          <w:shd w:fill="FFFFFF" w:val="clear"/>
        </w:rPr>
        <w:t>2027.</w:t>
      </w:r>
      <w:r>
        <w:rPr>
          <w:sz w:val="20"/>
          <w:shd w:fill="FFFFFF" w:val="clear"/>
        </w:rPr>
        <w:t xml:space="preserve"> The Company is currently evaluating the impact of this ASU on its annual financial statements and related disclosures. </w:t>
      </w:r>
      <w:r>
        <w:rPr>
          <w:sz w:val="20"/>
        </w:rPr>
        <w:t xml:space="preserve">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pPr>
      <w:r>
        <w:rPr>
          <w:sz w:val="20"/>
        </w:rPr>
        <w:t xml:space="preserve">In </w:t>
      </w:r>
      <w:r>
        <w:rPr>
          <w:rStyle w:val="Emphasis"/>
          <w:sz w:val="20"/>
        </w:rPr>
        <w:t xml:space="preserve">July 2025, </w:t>
      </w:r>
      <w:r>
        <w:rPr>
          <w:sz w:val="20"/>
        </w:rPr>
        <w:t xml:space="preserve">the FASB issued ASU </w:t>
      </w:r>
      <w:r>
        <w:rPr>
          <w:rStyle w:val="Emphasis"/>
          <w:sz w:val="20"/>
        </w:rPr>
        <w:t>2025</w:t>
      </w:r>
      <w:r>
        <w:rPr>
          <w:sz w:val="20"/>
        </w:rPr>
        <w:t xml:space="preserve">- </w:t>
      </w:r>
      <w:r>
        <w:rPr>
          <w:rStyle w:val="Emphasis"/>
          <w:sz w:val="20"/>
        </w:rPr>
        <w:t>05—Financial</w:t>
      </w:r>
      <w:r>
        <w:rPr>
          <w:sz w:val="20"/>
        </w:rPr>
        <w:t xml:space="preserve"> Instruments—Credit Losses (Topic </w:t>
      </w:r>
      <w:r>
        <w:rPr>
          <w:rStyle w:val="Emphasis"/>
          <w:sz w:val="20"/>
        </w:rPr>
        <w:t>326</w:t>
      </w:r>
      <w:r>
        <w:rPr>
          <w:sz w:val="20"/>
        </w:rPr>
        <w:t xml:space="preserve">): Measurement of Credit Losses for Accounts Receivable and Contract Assets, which added a practical expedient that assumes that current conditions as of the balance sheet date do </w:t>
      </w:r>
      <w:r>
        <w:rPr>
          <w:rStyle w:val="Emphasis"/>
          <w:sz w:val="20"/>
        </w:rPr>
        <w:t>not</w:t>
      </w:r>
      <w:r>
        <w:rPr>
          <w:sz w:val="20"/>
        </w:rPr>
        <w:t xml:space="preserve"> change for the remaining life of the asset when estimating expected credit losses for current accounts receivable and current contract assets. The guidance is effective for annual periods beginning after </w:t>
      </w:r>
      <w:r>
        <w:rPr>
          <w:rStyle w:val="Emphasis"/>
          <w:sz w:val="20"/>
        </w:rPr>
        <w:t xml:space="preserve">December 15, 2025. </w:t>
      </w:r>
      <w:r>
        <w:rPr>
          <w:sz w:val="20"/>
        </w:rPr>
        <w:t xml:space="preserve">The Company plans to adopt this ASU on the effective date and does </w:t>
      </w:r>
      <w:r>
        <w:rPr>
          <w:rStyle w:val="Emphasis"/>
          <w:sz w:val="20"/>
        </w:rPr>
        <w:t>not</w:t>
      </w:r>
      <w:r>
        <w:rPr>
          <w:sz w:val="20"/>
        </w:rPr>
        <w:t xml:space="preserve"> expect it to have a material impact on the Company’s financial statements. </w:t>
      </w:r>
    </w:p>
    <w:p>
      <w:pPr>
        <w:pStyle w:val="TextBody"/>
        <w:bidi w:val="0"/>
        <w:ind w:left="0" w:right="0" w:firstLine="720"/>
        <w:jc w:val="left"/>
        <w:rPr/>
      </w:pPr>
      <w:r>
        <w:rPr/>
        <w:t xml:space="preserve">  </w:t>
      </w:r>
    </w:p>
    <w:p>
      <w:pPr>
        <w:pStyle w:val="TextBody"/>
        <w:bidi w:val="0"/>
        <w:spacing w:before="0" w:after="0"/>
        <w:ind w:left="0" w:right="0" w:hanging="0"/>
        <w:jc w:val="left"/>
        <w:rPr/>
      </w:pPr>
      <w:r>
        <w:rPr/>
        <w:t xml:space="preserve">              </w:t>
      </w:r>
      <w:r>
        <w:rPr>
          <w:rFonts w:ascii="Times New Roman;Times;serif" w:hAnsi="Times New Roman;Times;serif"/>
          <w:sz w:val="20"/>
        </w:rPr>
        <w:t xml:space="preserve">In </w:t>
      </w:r>
      <w:r>
        <w:rPr>
          <w:rStyle w:val="Emphasis"/>
          <w:rFonts w:ascii="Times New Roman;Times;serif" w:hAnsi="Times New Roman;Times;serif"/>
          <w:sz w:val="20"/>
        </w:rPr>
        <w:t xml:space="preserve">September 2025, </w:t>
      </w:r>
      <w:r>
        <w:rPr>
          <w:rFonts w:ascii="Times New Roman;Times;serif" w:hAnsi="Times New Roman;Times;serif"/>
          <w:sz w:val="20"/>
        </w:rPr>
        <w:t xml:space="preserve">the FASB issued ASU </w:t>
      </w:r>
      <w:r>
        <w:rPr>
          <w:rStyle w:val="Emphasis"/>
          <w:rFonts w:ascii="Times New Roman;Times;serif" w:hAnsi="Times New Roman;Times;serif"/>
          <w:sz w:val="20"/>
        </w:rPr>
        <w:t>2025</w:t>
      </w:r>
      <w:r>
        <w:rPr>
          <w:rFonts w:ascii="Times New Roman;Times;serif" w:hAnsi="Times New Roman;Times;serif"/>
          <w:sz w:val="20"/>
        </w:rPr>
        <w:t>-</w:t>
      </w:r>
      <w:r>
        <w:rPr>
          <w:rStyle w:val="Emphasis"/>
          <w:rFonts w:ascii="Times New Roman;Times;serif" w:hAnsi="Times New Roman;Times;serif"/>
          <w:sz w:val="20"/>
        </w:rPr>
        <w:t>06—Intangibles—Goodwill</w:t>
      </w:r>
      <w:r>
        <w:rPr>
          <w:rFonts w:ascii="Times New Roman;Times;serif" w:hAnsi="Times New Roman;Times;serif"/>
          <w:sz w:val="20"/>
        </w:rPr>
        <w:t xml:space="preserve"> and Other—Internal-Use Software (Subtopic </w:t>
      </w:r>
      <w:r>
        <w:rPr>
          <w:rStyle w:val="Emphasis"/>
          <w:rFonts w:ascii="Times New Roman;Times;serif" w:hAnsi="Times New Roman;Times;serif"/>
          <w:sz w:val="20"/>
        </w:rPr>
        <w:t>350</w:t>
      </w:r>
      <w:r>
        <w:rPr>
          <w:rFonts w:ascii="Times New Roman;Times;serif" w:hAnsi="Times New Roman;Times;serif"/>
          <w:sz w:val="20"/>
        </w:rPr>
        <w:t>-</w:t>
      </w:r>
      <w:r>
        <w:rPr>
          <w:rStyle w:val="Emphasis"/>
          <w:rFonts w:ascii="Times New Roman;Times;serif" w:hAnsi="Times New Roman;Times;serif"/>
          <w:sz w:val="20"/>
        </w:rPr>
        <w:t>40</w:t>
      </w:r>
      <w:r>
        <w:rPr>
          <w:rFonts w:ascii="Times New Roman;Times;serif" w:hAnsi="Times New Roman;Times;serif"/>
          <w:sz w:val="20"/>
        </w:rPr>
        <w:t xml:space="preserve">): Targeted Improvements to the Accounting for Internal-Use Software, which removed the language around project stages that was used to assess when costs could be capitalized for an internal-use software. The update also requires internal-use software to be disclosed under the ASC </w:t>
      </w:r>
      <w:r>
        <w:rPr>
          <w:rStyle w:val="Emphasis"/>
          <w:rFonts w:ascii="Times New Roman;Times;serif" w:hAnsi="Times New Roman;Times;serif"/>
          <w:sz w:val="20"/>
        </w:rPr>
        <w:t>360</w:t>
      </w:r>
      <w:r>
        <w:rPr>
          <w:rFonts w:ascii="Times New Roman;Times;serif" w:hAnsi="Times New Roman;Times;serif"/>
          <w:sz w:val="20"/>
        </w:rPr>
        <w:t xml:space="preserve"> Property, Plant, and Equipment guidance. The guidance is effective for annual periods beginning after </w:t>
      </w:r>
      <w:r>
        <w:rPr>
          <w:rStyle w:val="Emphasis"/>
          <w:rFonts w:ascii="Times New Roman;Times;serif" w:hAnsi="Times New Roman;Times;serif"/>
          <w:sz w:val="20"/>
        </w:rPr>
        <w:t xml:space="preserve">December 15, 2027. </w:t>
      </w:r>
      <w:r>
        <w:rPr>
          <w:rFonts w:ascii="Times New Roman;Times;serif" w:hAnsi="Times New Roman;Times;serif"/>
          <w:sz w:val="20"/>
        </w:rPr>
        <w:t>The Company is currently assessing the impact of this ASU on the Company’s accounting policies and the financial statements.</w:t>
      </w:r>
    </w:p>
    <w:p>
      <w:pPr>
        <w:pStyle w:val="TextBody"/>
        <w:bidi w:val="0"/>
        <w:spacing w:before="0" w:after="283"/>
        <w:jc w:val="left"/>
        <w:rPr/>
      </w:pPr>
      <w:r>
        <w:rPr/>
        <w:t xml:space="preserve">  </w:t>
      </w:r>
    </w:p>
    <w:p>
      <w:pPr>
        <w:pStyle w:val="TextBody"/>
        <w:bidi w:val="0"/>
        <w:spacing w:before="0" w:after="0"/>
        <w:ind w:left="0" w:right="0" w:firstLine="180"/>
        <w:jc w:val="left"/>
        <w:rPr/>
      </w:pPr>
      <w:r>
        <w:rPr>
          <w:caps w:val="false"/>
          <w:smallCaps w:val="false"/>
        </w:rPr>
        <w:t>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to establish the accounting for a government grant received by a business entity including guidance for (</w:t>
      </w:r>
      <w:r>
        <w:rPr>
          <w:rStyle w:val="Emphasis"/>
          <w:rFonts w:ascii="Times New Roman" w:hAnsi="Times New Roman"/>
          <w:caps w:val="false"/>
          <w:smallCaps w:val="false"/>
          <w:sz w:val="20"/>
        </w:rPr>
        <w:t>1</w:t>
      </w:r>
      <w:r>
        <w:rPr>
          <w:rFonts w:ascii="Times New Roman" w:hAnsi="Times New Roman"/>
          <w:caps w:val="false"/>
          <w:smallCaps w:val="false"/>
          <w:sz w:val="20"/>
        </w:rPr>
        <w:t>) a grant related to an asset and (</w:t>
      </w:r>
      <w:r>
        <w:rPr>
          <w:rStyle w:val="Emphasis"/>
          <w:rFonts w:ascii="Times New Roman" w:hAnsi="Times New Roman"/>
          <w:caps w:val="false"/>
          <w:smallCaps w:val="false"/>
          <w:sz w:val="20"/>
        </w:rPr>
        <w:t>2</w:t>
      </w:r>
      <w:r>
        <w:rPr>
          <w:rFonts w:ascii="Times New Roman" w:hAnsi="Times New Roman"/>
          <w:caps w:val="false"/>
          <w:smallCaps w:val="false"/>
          <w:sz w:val="20"/>
        </w:rPr>
        <w:t>) a grant related to income. For public business entities, the provisions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are effective for fiscal years beginning after </w:t>
      </w:r>
      <w:r>
        <w:rPr>
          <w:rStyle w:val="Emphasis"/>
          <w:rFonts w:ascii="Times New Roman" w:hAnsi="Times New Roman"/>
          <w:caps w:val="false"/>
          <w:smallCaps w:val="false"/>
          <w:sz w:val="20"/>
        </w:rPr>
        <w:t xml:space="preserve"> December 15, 2028. </w:t>
      </w:r>
      <w:r>
        <w:rPr>
          <w:rFonts w:ascii="Times New Roman" w:hAnsi="Times New Roman"/>
          <w:caps w:val="false"/>
          <w:smallCaps w:val="false"/>
          <w:sz w:val="20"/>
        </w:rPr>
        <w:t>Early adoption is permitted. Management is currently evaluating the requirements under this new standard and does </w:t>
      </w:r>
      <w:r>
        <w:rPr>
          <w:rStyle w:val="Emphasis"/>
          <w:rFonts w:ascii="Times New Roman" w:hAnsi="Times New Roman"/>
          <w:caps w:val="false"/>
          <w:smallCaps w:val="false"/>
          <w:sz w:val="20"/>
        </w:rPr>
        <w:t>not</w:t>
      </w:r>
      <w:r>
        <w:rPr>
          <w:rFonts w:ascii="Times New Roman" w:hAnsi="Times New Roman"/>
          <w:caps w:val="false"/>
          <w:smallCaps w:val="false"/>
          <w:sz w:val="20"/>
        </w:rPr>
        <w:t> expect the adoption to have a material impact on the Company's results of operations or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Narrow-Scope Improvements. The ASU clarifies interim disclosure requirements and the applicability of Topic </w:t>
      </w:r>
      <w:r>
        <w:rPr>
          <w:rStyle w:val="Emphasis"/>
          <w:rFonts w:ascii="Times New Roman" w:hAnsi="Times New Roman"/>
          <w:caps w:val="false"/>
          <w:smallCaps w:val="false"/>
          <w:sz w:val="20"/>
        </w:rPr>
        <w:t>270.</w:t>
      </w:r>
      <w:r>
        <w:rPr>
          <w:rFonts w:ascii="Times New Roman" w:hAnsi="Times New Roman"/>
          <w:caps w:val="false"/>
          <w:smallCaps w:val="false"/>
          <w:sz w:val="20"/>
        </w:rPr>
        <w:t> The objective of the amendments is to provide further clarity about the current interim disclosure requirements. The ASU is effective for interim reporting periods within annual reporting periods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Adoption of this ASU can be applied either a prospective or a retrospective approach. Early adoption is permitted. We are currently evaluating the provisions of this ASU and do </w:t>
      </w:r>
      <w:r>
        <w:rPr>
          <w:rStyle w:val="Emphasis"/>
          <w:rFonts w:ascii="Times New Roman" w:hAnsi="Times New Roman"/>
          <w:caps w:val="false"/>
          <w:smallCaps w:val="false"/>
          <w:sz w:val="20"/>
        </w:rPr>
        <w:t>not</w:t>
      </w:r>
      <w:r>
        <w:rPr>
          <w:rFonts w:ascii="Times New Roman" w:hAnsi="Times New Roman"/>
          <w:caps w:val="false"/>
          <w:smallCaps w:val="false"/>
          <w:sz w:val="20"/>
        </w:rPr>
        <w:t> expect this ASU to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caps w:val="false"/>
          <w:smallCaps w:val="false"/>
        </w:rPr>
        <w:t>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Codification Improvements. The ASU addresses </w:t>
      </w:r>
      <w:r>
        <w:rPr>
          <w:rStyle w:val="Emphasis"/>
          <w:rFonts w:ascii="Times New Roman" w:hAnsi="Times New Roman"/>
          <w:caps w:val="false"/>
          <w:smallCaps w:val="false"/>
          <w:sz w:val="20"/>
        </w:rPr>
        <w:t>thirty-three</w:t>
      </w:r>
      <w:r>
        <w:rPr>
          <w:rFonts w:ascii="Times New Roman" w:hAnsi="Times New Roman"/>
          <w:caps w:val="false"/>
          <w:smallCaps w:val="false"/>
          <w:sz w:val="20"/>
        </w:rPr>
        <w:t> items, representing the changes to the Codification that (</w:t>
      </w:r>
      <w:r>
        <w:rPr>
          <w:rStyle w:val="Emphasis"/>
          <w:rFonts w:ascii="Times New Roman" w:hAnsi="Times New Roman"/>
          <w:caps w:val="false"/>
          <w:smallCaps w:val="false"/>
          <w:sz w:val="20"/>
        </w:rPr>
        <w:t>1</w:t>
      </w:r>
      <w:r>
        <w:rPr>
          <w:rFonts w:ascii="Times New Roman" w:hAnsi="Times New Roman"/>
          <w:caps w:val="false"/>
          <w:smallCaps w:val="false"/>
          <w:sz w:val="20"/>
        </w:rPr>
        <w:t>) clarify, (</w:t>
      </w:r>
      <w:r>
        <w:rPr>
          <w:rStyle w:val="Emphasis"/>
          <w:rFonts w:ascii="Times New Roman" w:hAnsi="Times New Roman"/>
          <w:caps w:val="false"/>
          <w:smallCaps w:val="false"/>
          <w:sz w:val="20"/>
        </w:rPr>
        <w:t>2</w:t>
      </w:r>
      <w:r>
        <w:rPr>
          <w:rFonts w:ascii="Times New Roman" w:hAnsi="Times New Roman"/>
          <w:caps w:val="false"/>
          <w:smallCaps w:val="false"/>
          <w:sz w:val="20"/>
        </w:rPr>
        <w:t>) correct errors, or (</w:t>
      </w:r>
      <w:r>
        <w:rPr>
          <w:rStyle w:val="Emphasis"/>
          <w:rFonts w:ascii="Times New Roman" w:hAnsi="Times New Roman"/>
          <w:caps w:val="false"/>
          <w:smallCaps w:val="false"/>
          <w:sz w:val="20"/>
        </w:rPr>
        <w:t>3</w:t>
      </w:r>
      <w:r>
        <w:rPr>
          <w:rFonts w:ascii="Times New Roman" w:hAnsi="Times New Roman"/>
          <w:caps w:val="false"/>
          <w:smallCaps w:val="false"/>
          <w:sz w:val="20"/>
        </w:rPr>
        <w:t>) make minor improvements. Generally, the amendments in this Update are </w:t>
      </w:r>
      <w:r>
        <w:rPr>
          <w:rStyle w:val="Emphasis"/>
          <w:rFonts w:ascii="Times New Roman" w:hAnsi="Times New Roman"/>
          <w:caps w:val="false"/>
          <w:smallCaps w:val="false"/>
          <w:sz w:val="20"/>
        </w:rPr>
        <w:t>not</w:t>
      </w:r>
      <w:r>
        <w:rPr>
          <w:rFonts w:ascii="Times New Roman" w:hAnsi="Times New Roman"/>
          <w:caps w:val="false"/>
          <w:smallCaps w:val="false"/>
          <w:sz w:val="20"/>
        </w:rPr>
        <w:t> intended to result in significant changes for most entities. The ASU is effective for interim reporting periods within annual reporting periods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The adoption method of this ASU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vary, on an issue-by-issue basis. Early adoption is permitted. We are currently evaluating the provisions of this ASU and do </w:t>
      </w:r>
      <w:r>
        <w:rPr>
          <w:rStyle w:val="Emphasis"/>
          <w:rFonts w:ascii="Times New Roman" w:hAnsi="Times New Roman"/>
          <w:caps w:val="false"/>
          <w:smallCaps w:val="false"/>
          <w:sz w:val="20"/>
        </w:rPr>
        <w:t>not</w:t>
      </w:r>
      <w:r>
        <w:rPr>
          <w:rFonts w:ascii="Times New Roman" w:hAnsi="Times New Roman"/>
          <w:caps w:val="false"/>
          <w:smallCaps w:val="false"/>
          <w:sz w:val="20"/>
        </w:rPr>
        <w:t> expect this ASU to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caps w:val="false"/>
          <w:smallCaps w:val="false"/>
        </w:rPr>
        <w:t xml:space="preserve">          </w:t>
      </w:r>
      <w:r>
        <w:rPr>
          <w:rFonts w:ascii="Times New Roman" w:hAnsi="Times New Roman"/>
          <w:caps w:val="false"/>
          <w:smallCaps w:val="false"/>
          <w:sz w:val="20"/>
        </w:rPr>
        <w:t>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recent accounting pronouncements or changes in accounting pronouncements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that are of significance or potential significance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"Segment and Geographic Information."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 does </w:t>
      </w:r>
      <w:r>
        <w:rPr>
          <w:rStyle w:val="Emphasis"/>
          <w:rFonts w:ascii="Times New Roman;Times;serif" w:hAnsi="Times New Roman;Times;serif"/>
          <w:sz w:val="20"/>
        </w:rPr>
        <w:t>not</w:t>
      </w:r>
      <w:r>
        <w:rPr>
          <w:rFonts w:ascii="Times New Roman;Times;serif" w:hAnsi="Times New Roman;Times;serif"/>
          <w:sz w:val="20"/>
        </w:rPr>
        <w:t xml:space="preserve"> have contracts with original durations greater than </w:t>
      </w:r>
      <w:r>
        <w:rPr>
          <w:rStyle w:val="Emphasis"/>
          <w:rFonts w:ascii="Times New Roman;Times;serif" w:hAnsi="Times New Roman;Times;serif"/>
          <w:sz w:val="20"/>
        </w:rPr>
        <w:t>one</w:t>
      </w:r>
      <w:r>
        <w:rPr>
          <w:rFonts w:ascii="Times New Roman;Times;serif" w:hAnsi="Times New Roman;Times;serif"/>
          <w:sz w:val="20"/>
        </w:rPr>
        <w:t xml:space="preserve"> year.  Therefore, disclosure of remaining performance obligations is </w:t>
      </w:r>
      <w:r>
        <w:rPr>
          <w:rStyle w:val="Emphasis"/>
          <w:rFonts w:ascii="Times New Roman;Times;serif" w:hAnsi="Times New Roman;Times;serif"/>
          <w:sz w:val="20"/>
        </w:rPr>
        <w:t>not</w:t>
      </w:r>
      <w:r>
        <w:rPr>
          <w:rFonts w:ascii="Times New Roman;Times;serif" w:hAnsi="Times New Roman;Times;serif"/>
          <w:sz w:val="20"/>
        </w:rPr>
        <w:t xml:space="preserve"> applicable.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categories and is presented below (in thousands):</w:t>
      </w:r>
    </w:p>
    <w:p>
      <w:pPr>
        <w:pStyle w:val="TextBody"/>
        <w:bidi w:val="0"/>
        <w:spacing w:before="0" w:after="0"/>
        <w:ind w:left="0" w:right="0" w:hanging="0"/>
        <w:jc w:val="both"/>
        <w:rPr/>
      </w:pPr>
      <w:r>
        <w:rPr/>
        <w:t>​</w:t>
      </w:r>
    </w:p>
    <w:tbl>
      <w:tblPr>
        <w:tblW w:w="4935"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Customer Warrant</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March 13, 2025, </w:t>
      </w:r>
      <w:r>
        <w:rPr>
          <w:rFonts w:ascii="Times New Roman" w:hAnsi="Times New Roman"/>
          <w:sz w:val="20"/>
        </w:rPr>
        <w:t xml:space="preserve">the Company issued a warrant (the "Customer Warrant") to a wholly-owned subsidiary of Amazon.com, Inc. to purchase up to an aggregate of 7,945,399 shares of the Company's common stock ("Warrant Shares") at an exercise price of $23.6956 per share. The Customer Warrant has a contractual term of 10 years. At the time of the issuance, the Customer Warrant is exercisable to purchase 1,324,233 Warrant Shares. The remaining 6,621,166 Warrant Shares </w:t>
      </w:r>
      <w:r>
        <w:rPr>
          <w:rStyle w:val="Emphasis"/>
          <w:rFonts w:ascii="Times New Roman" w:hAnsi="Times New Roman"/>
          <w:sz w:val="20"/>
        </w:rPr>
        <w:t xml:space="preserve">may </w:t>
      </w:r>
      <w:r>
        <w:rPr>
          <w:rFonts w:ascii="Times New Roman" w:hAnsi="Times New Roman"/>
          <w:sz w:val="20"/>
        </w:rPr>
        <w:t xml:space="preserve">vest over the next </w:t>
      </w:r>
      <w:r>
        <w:rPr>
          <w:rStyle w:val="Emphasis"/>
          <w:rFonts w:ascii="Times New Roman" w:hAnsi="Times New Roman"/>
          <w:sz w:val="20"/>
        </w:rPr>
        <w:t>10</w:t>
      </w:r>
      <w:r>
        <w:rPr>
          <w:rFonts w:ascii="Times New Roman" w:hAnsi="Times New Roman"/>
          <w:sz w:val="20"/>
        </w:rPr>
        <w:t xml:space="preserve"> years, dependent on aggregate purchases by or on behalf of Amazon and its affiliates of $4 billion of the Company's products over this time period. The Company accounts for the Customer Warrant as an equity classified share-based consideration to a customer and will recognize the grant-date fair value of the Customer Warrant as a reduction of revenue from Amazon as the related goods or services are transferred. The grant date fair value of the Customer Warrant was determined to be $12.64 per share, using the Black-Scholes-Merton option pricing model. </w:t>
      </w:r>
    </w:p>
    <w:p>
      <w:pPr>
        <w:pStyle w:val="TextBody"/>
        <w:bidi w:val="0"/>
        <w:spacing w:before="0" w:after="0"/>
        <w:ind w:left="0" w:right="0" w:firstLine="720"/>
        <w:jc w:val="both"/>
        <w:rPr/>
      </w:pPr>
      <w:r>
        <w:rPr/>
        <w:t> </w:t>
      </w:r>
    </w:p>
    <w:p>
      <w:pPr>
        <w:pStyle w:val="TextBody"/>
        <w:bidi w:val="0"/>
        <w:ind w:left="0" w:right="0" w:firstLine="720"/>
        <w:jc w:val="left"/>
        <w:rPr>
          <w:sz w:val="20"/>
        </w:rPr>
      </w:pPr>
      <w:r>
        <w:rPr>
          <w:sz w:val="20"/>
        </w:rPr>
        <w:t xml:space="preserve">The per share grant date fair value of the Customer Warrant was estimated using the following assumptions: </w:t>
      </w:r>
    </w:p>
    <w:p>
      <w:pPr>
        <w:pStyle w:val="TextBody"/>
        <w:bidi w:val="0"/>
        <w:spacing w:before="0" w:after="0"/>
        <w:ind w:left="0" w:right="0" w:firstLine="720"/>
        <w:jc w:val="both"/>
        <w:rPr/>
      </w:pPr>
      <w:r>
        <w:rPr/>
        <w:t> </w:t>
      </w:r>
    </w:p>
    <w:tbl>
      <w:tblPr>
        <w:tblW w:w="4934" w:type="dxa"/>
        <w:jc w:val="left"/>
        <w:tblInd w:w="0" w:type="dxa"/>
        <w:tblLayout w:type="fixed"/>
        <w:tblCellMar>
          <w:top w:w="0" w:type="dxa"/>
          <w:left w:w="0" w:type="dxa"/>
          <w:bottom w:w="0" w:type="dxa"/>
          <w:right w:w="0" w:type="dxa"/>
        </w:tblCellMar>
      </w:tblPr>
      <w:tblGrid>
        <w:gridCol w:w="3485"/>
        <w:gridCol w:w="60"/>
        <w:gridCol w:w="246"/>
        <w:gridCol w:w="958"/>
        <w:gridCol w:w="18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 Grant Date</w:t>
            </w:r>
          </w:p>
        </w:tc>
        <w:tc>
          <w:tcPr>
            <w:tcW w:w="18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expected term (in years)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per ordinary share at grant date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recognized approximately $38.0 million of revenue associated with customer arrangements that included the issuance of warrants. The impact of these arrangements on the Company’s consolidated financial statements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for the periods presented.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the Company recorded $3.9 million and $12.6 million in other current assets and other noncurrent assets,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Company leases space under non-cancellable operating leases for manufacturing facilities, research and development offices and certain storage facilities and apartments. These leases do </w:t>
      </w:r>
      <w:r>
        <w:rPr>
          <w:rStyle w:val="Emphasis"/>
          <w:rFonts w:ascii="Times New Roman" w:hAnsi="Times New Roman"/>
          <w:caps w:val="false"/>
          <w:smallCaps w:val="false"/>
          <w:sz w:val="20"/>
        </w:rPr>
        <w:t>not</w:t>
      </w:r>
      <w:r>
        <w:rPr>
          <w:rFonts w:ascii="Times New Roman" w:hAnsi="Times New Roman"/>
          <w:caps w:val="false"/>
          <w:smallCaps w:val="false"/>
          <w:sz w:val="20"/>
        </w:rPr>
        <w:t> contain contingent rent provisions. The Company also leases certain machinery, office equipment and a vehicle under operating leases. The Company determines if an arrangement is or contains a lease at contract inception.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caps w:val="false"/>
          <w:smallCaps w:val="false"/>
          <w:sz w:val="20"/>
        </w:rPr>
        <w:t>one</w:t>
      </w:r>
      <w:r>
        <w:rPr>
          <w:rFonts w:ascii="Times New Roman" w:hAnsi="Times New Roman"/>
          <w:caps w:val="false"/>
          <w:smallCaps w:val="false"/>
          <w:sz w:val="20"/>
        </w:rPr>
        <w:t>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On </w:t>
      </w:r>
      <w:r>
        <w:rPr>
          <w:rStyle w:val="Emphasis"/>
          <w:rFonts w:ascii="Times New Roman" w:hAnsi="Times New Roman"/>
          <w:sz w:val="20"/>
        </w:rPr>
        <w:t xml:space="preserve"> October 7, 2024, </w:t>
      </w:r>
      <w:r>
        <w:rPr>
          <w:rFonts w:ascii="Times New Roman" w:hAnsi="Times New Roman"/>
          <w:sz w:val="20"/>
        </w:rPr>
        <w:t>Prime World entered into a Land and Building Lease Agreement with San Ho Enterprise Co., Ltd. ("San Ho Enterprise"), under which Prime World will lease approximately 38,072 square feet, of </w:t>
      </w:r>
      <w:r>
        <w:rPr>
          <w:rStyle w:val="Emphasis"/>
          <w:rFonts w:ascii="Times New Roman" w:hAnsi="Times New Roman"/>
          <w:sz w:val="20"/>
        </w:rPr>
        <w:t>two</w:t>
      </w:r>
      <w:r>
        <w:rPr>
          <w:rFonts w:ascii="Times New Roman" w:hAnsi="Times New Roman"/>
          <w:sz w:val="20"/>
        </w:rPr>
        <w:t> adjoining parcels of land, in New Taipei City. The lease also includes a building on these parcels, totaling approximately 36,662 square feet. The lease term is for fifteen years, commencing on </w:t>
      </w:r>
      <w:r>
        <w:rPr>
          <w:rStyle w:val="Emphasis"/>
          <w:rFonts w:ascii="Times New Roman" w:hAnsi="Times New Roman"/>
          <w:sz w:val="20"/>
        </w:rPr>
        <w:t xml:space="preserve"> December 1, 2024, </w:t>
      </w:r>
      <w:r>
        <w:rPr>
          <w:rFonts w:ascii="Times New Roman" w:hAnsi="Times New Roman"/>
          <w:sz w:val="20"/>
        </w:rPr>
        <w:t>and ending on </w:t>
      </w:r>
      <w:r>
        <w:rPr>
          <w:rStyle w:val="Emphasis"/>
          <w:rFonts w:ascii="Times New Roman" w:hAnsi="Times New Roman"/>
          <w:sz w:val="20"/>
        </w:rPr>
        <w:t xml:space="preserve"> November 30, 2039. </w:t>
      </w:r>
      <w:r>
        <w:rPr>
          <w:rFonts w:ascii="Times New Roman" w:hAnsi="Times New Roman"/>
          <w:sz w:val="20"/>
        </w:rPr>
        <w:t>A </w:t>
      </w:r>
      <w:r>
        <w:rPr>
          <w:rStyle w:val="Emphasis"/>
          <w:rFonts w:ascii="Times New Roman" w:hAnsi="Times New Roman"/>
          <w:sz w:val="20"/>
        </w:rPr>
        <w:t>two</w:t>
      </w:r>
      <w:r>
        <w:rPr>
          <w:rFonts w:ascii="Times New Roman" w:hAnsi="Times New Roman"/>
          <w:sz w:val="20"/>
        </w:rPr>
        <w:t>-month renovation period from </w:t>
      </w:r>
      <w:r>
        <w:rPr>
          <w:rStyle w:val="Emphasis"/>
          <w:rFonts w:ascii="Times New Roman" w:hAnsi="Times New Roman"/>
          <w:sz w:val="20"/>
        </w:rPr>
        <w:t xml:space="preserve"> October 1 </w:t>
      </w:r>
      <w:r>
        <w:rPr>
          <w:rFonts w:ascii="Times New Roman" w:hAnsi="Times New Roman"/>
          <w:sz w:val="20"/>
        </w:rPr>
        <w:t>to </w:t>
      </w:r>
      <w:r>
        <w:rPr>
          <w:rStyle w:val="Emphasis"/>
          <w:rFonts w:ascii="Times New Roman" w:hAnsi="Times New Roman"/>
          <w:sz w:val="20"/>
        </w:rPr>
        <w:t xml:space="preserve"> November 30, 2024, </w:t>
      </w:r>
      <w:r>
        <w:rPr>
          <w:rFonts w:ascii="Times New Roman" w:hAnsi="Times New Roman"/>
          <w:sz w:val="20"/>
        </w:rPr>
        <w:t>preceded the lease term, during which </w:t>
      </w:r>
      <w:r>
        <w:rPr>
          <w:rStyle w:val="Emphasis"/>
          <w:rFonts w:ascii="Times New Roman" w:hAnsi="Times New Roman"/>
          <w:sz w:val="20"/>
        </w:rPr>
        <w:t>no</w:t>
      </w:r>
      <w:r>
        <w:rPr>
          <w:rFonts w:ascii="Times New Roman" w:hAnsi="Times New Roman"/>
          <w:sz w:val="20"/>
        </w:rPr>
        <w:t> rent was charged by San Ho Enterprise. During the lease term, the monthly rent will increase by </w:t>
      </w:r>
      <w:r>
        <w:rPr>
          <w:rStyle w:val="Emphasis"/>
          <w:rFonts w:ascii="Times New Roman" w:hAnsi="Times New Roman"/>
          <w:sz w:val="20"/>
        </w:rPr>
        <w:t>three</w:t>
      </w:r>
      <w:r>
        <w:rPr>
          <w:rFonts w:ascii="Times New Roman" w:hAnsi="Times New Roman"/>
          <w:sz w:val="20"/>
        </w:rPr>
        <w:t> percent (3%) every </w:t>
      </w:r>
      <w:r>
        <w:rPr>
          <w:rStyle w:val="Emphasis"/>
          <w:rFonts w:ascii="Times New Roman" w:hAnsi="Times New Roman"/>
          <w:sz w:val="20"/>
        </w:rPr>
        <w:t>three</w:t>
      </w:r>
      <w:r>
        <w:rPr>
          <w:rFonts w:ascii="Times New Roman" w:hAnsi="Times New Roman"/>
          <w:sz w:val="20"/>
        </w:rPr>
        <w:t> years.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 xml:space="preserve">Prime World entered into a Lease Agreement with International Games System Co., Ltd., under which Prime World will lease a parcel of land with a total area of approximately 65,580 square feet, in New Taipei City. The lease includes a building on the parcel, totaling approximately 346,212 square feet, excluding approximately 54,086 square feet of the leased property which, at the same time, had previously been leased to an existing tenant. The lease term is for fifteen years, commencing </w:t>
      </w:r>
      <w:r>
        <w:rPr>
          <w:rStyle w:val="Emphasis"/>
          <w:rFonts w:ascii="Times New Roman" w:hAnsi="Times New Roman"/>
          <w:caps w:val="false"/>
          <w:smallCaps w:val="false"/>
          <w:sz w:val="20"/>
        </w:rPr>
        <w:t xml:space="preserve">November 1, 2025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 xml:space="preserve">October 31, 2040. </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-month renovation period from </w:t>
      </w:r>
      <w:r>
        <w:rPr>
          <w:rStyle w:val="Emphasis"/>
          <w:rFonts w:ascii="Times New Roman" w:hAnsi="Times New Roman"/>
          <w:caps w:val="false"/>
          <w:smallCaps w:val="false"/>
          <w:sz w:val="20"/>
        </w:rPr>
        <w:t xml:space="preserve">September 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October 1, 2025, </w:t>
      </w:r>
      <w:r>
        <w:rPr>
          <w:rFonts w:ascii="Times New Roman" w:hAnsi="Times New Roman"/>
          <w:caps w:val="false"/>
          <w:smallCaps w:val="false"/>
          <w:sz w:val="20"/>
        </w:rPr>
        <w:t xml:space="preserve">preceded the lease term, during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rent was charged. During the lease term, the monthly rent will increase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 every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On </w:t>
      </w:r>
      <w:r>
        <w:rPr>
          <w:rStyle w:val="Emphasis"/>
          <w:rFonts w:ascii="Times New Roman" w:hAnsi="Times New Roman"/>
          <w:caps w:val="false"/>
          <w:smallCaps w:val="false"/>
          <w:sz w:val="20"/>
        </w:rPr>
        <w:t xml:space="preserve">October 28, 2025, </w:t>
      </w:r>
      <w:r>
        <w:rPr>
          <w:rFonts w:ascii="Times New Roman" w:hAnsi="Times New Roman"/>
          <w:caps w:val="false"/>
          <w:smallCaps w:val="false"/>
          <w:sz w:val="20"/>
        </w:rPr>
        <w:t xml:space="preserve">Prime World entered into a lease to include 54,086 square feet of the property which was previously excluded in the lease entered into on </w:t>
      </w:r>
      <w:r>
        <w:rPr>
          <w:rStyle w:val="Emphasis"/>
          <w:rFonts w:ascii="Times New Roman" w:hAnsi="Times New Roman"/>
          <w:caps w:val="false"/>
          <w:smallCaps w:val="false"/>
          <w:sz w:val="20"/>
        </w:rPr>
        <w:t>September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19, 2025, </w:t>
      </w:r>
      <w:r>
        <w:rPr>
          <w:rFonts w:ascii="Times New Roman" w:hAnsi="Times New Roman"/>
          <w:caps w:val="false"/>
          <w:smallCaps w:val="false"/>
          <w:sz w:val="20"/>
        </w:rPr>
        <w:t xml:space="preserve">the Company entered into a Lease Agreement with Coleman Logistics Assets LLC (“Coleman”), pursuant to which the Company will lease approximately 209,665 square feet of space located at </w:t>
      </w:r>
      <w:r>
        <w:rPr>
          <w:rStyle w:val="Emphasis"/>
          <w:rFonts w:ascii="Times New Roman" w:hAnsi="Times New Roman"/>
          <w:caps w:val="false"/>
          <w:smallCaps w:val="false"/>
          <w:sz w:val="20"/>
        </w:rPr>
        <w:t>1111</w:t>
      </w:r>
      <w:r>
        <w:rPr>
          <w:rFonts w:ascii="Times New Roman" w:hAnsi="Times New Roman"/>
          <w:caps w:val="false"/>
          <w:smallCaps w:val="false"/>
          <w:sz w:val="20"/>
        </w:rPr>
        <w:t xml:space="preserve"> Gillingham Lane, Sugar Land, Texas </w:t>
      </w:r>
      <w:r>
        <w:rPr>
          <w:rStyle w:val="Emphasis"/>
          <w:rFonts w:ascii="Times New Roman" w:hAnsi="Times New Roman"/>
          <w:caps w:val="false"/>
          <w:smallCaps w:val="false"/>
          <w:sz w:val="20"/>
        </w:rPr>
        <w:t>77478.</w:t>
      </w:r>
      <w:r>
        <w:rPr>
          <w:rFonts w:ascii="Times New Roman" w:hAnsi="Times New Roman"/>
          <w:caps w:val="false"/>
          <w:smallCaps w:val="false"/>
          <w:sz w:val="20"/>
        </w:rPr>
        <w:t xml:space="preserve"> The leased premises will be used by the Company primarily for manufacturing and related operations. The lease has a term of 126 months, commencing on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expiring approximately </w:t>
      </w:r>
      <w:r>
        <w:rPr>
          <w:rStyle w:val="Emphasis"/>
          <w:rFonts w:ascii="Times New Roman" w:hAnsi="Times New Roman"/>
          <w:caps w:val="false"/>
          <w:smallCaps w:val="false"/>
          <w:sz w:val="20"/>
        </w:rPr>
        <w:t>126</w:t>
      </w:r>
      <w:r>
        <w:rPr>
          <w:rFonts w:ascii="Times New Roman" w:hAnsi="Times New Roman"/>
          <w:caps w:val="false"/>
          <w:smallCaps w:val="false"/>
          <w:sz w:val="20"/>
        </w:rPr>
        <w:t xml:space="preserve"> months thereafter, unless earlier terminated in accordance with the lease. Coleman has agreed to provide a construction allowance toward the cost of leasehold improvements in an amount equal to the lesser of (i) the actual aggregate cost of such improvements or (ii) $1,886,985. Base rent under the lease is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months of the term and thereafter increases on a scheduled basis through the end of the term, reflecting an average annual escalation of approximately 3.5%. Beginning in the </w:t>
      </w:r>
      <w:r>
        <w:rPr>
          <w:rStyle w:val="Emphasis"/>
          <w:rFonts w:ascii="Times New Roman" w:hAnsi="Times New Roman"/>
          <w:caps w:val="false"/>
          <w:smallCaps w:val="false"/>
          <w:sz w:val="20"/>
        </w:rPr>
        <w:t>eighth</w:t>
      </w:r>
      <w:r>
        <w:rPr>
          <w:rFonts w:ascii="Times New Roman" w:hAnsi="Times New Roman"/>
          <w:caps w:val="false"/>
          <w:smallCaps w:val="false"/>
          <w:sz w:val="20"/>
        </w:rPr>
        <w:t xml:space="preserve"> month of the term, base rent will be $7.44 per rentable square foot on an annual basis (approximately $129,992 per month), escalating periodically to $10.49 per rentable square foot on an annual basis (approximately $183,367 per month) during the final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the term. </w:t>
      </w:r>
      <w:r>
        <w:rPr>
          <w:rFonts w:ascii="Times New Roman" w:hAnsi="Times New Roman"/>
          <w:caps w:val="false"/>
          <w:smallCaps w:val="false"/>
          <w:sz w:val="20"/>
          <w:shd w:fill="FFFFFF" w:val="clear"/>
        </w:rPr>
        <w:t xml:space="preserve">The total undiscounted lease payments over the initial lease term are approximately $18.5 million.  As of </w:t>
      </w:r>
      <w:r>
        <w:rPr>
          <w:rStyle w:val="Emphasis"/>
          <w:rFonts w:ascii="Times New Roman" w:hAnsi="Times New Roman"/>
          <w:caps w:val="false"/>
          <w:smallCaps w:val="false"/>
          <w:sz w:val="20"/>
          <w:shd w:fill="FFFFFF" w:val="clear"/>
        </w:rPr>
        <w:t xml:space="preserve">March 31, 2026, </w:t>
      </w:r>
      <w:r>
        <w:rPr>
          <w:rFonts w:ascii="Times New Roman" w:hAnsi="Times New Roman"/>
          <w:caps w:val="false"/>
          <w:smallCaps w:val="false"/>
          <w:sz w:val="20"/>
          <w:shd w:fill="FFFFFF" w:val="clear"/>
        </w:rPr>
        <w:t>we recorded $11.5 million ROU asset and $11.9 million lease liability related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2026, </w:t>
      </w:r>
      <w:r>
        <w:rPr>
          <w:rFonts w:ascii="Times New Roman" w:hAnsi="Times New Roman"/>
          <w:caps w:val="false"/>
          <w:smallCaps w:val="false"/>
          <w:sz w:val="20"/>
        </w:rPr>
        <w:t xml:space="preserve">the Company entered into a Lease Agreement with Blue Ridge Commerce Center West LLC ("Blue Ridge"), pursuant to which the Company will lease approximately 153,928 square feet of space in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located at </w:t>
      </w:r>
      <w:r>
        <w:rPr>
          <w:rStyle w:val="Emphasis"/>
          <w:rFonts w:ascii="Times New Roman" w:hAnsi="Times New Roman"/>
          <w:caps w:val="false"/>
          <w:smallCaps w:val="false"/>
          <w:sz w:val="20"/>
        </w:rPr>
        <w:t>16851</w:t>
      </w:r>
      <w:r>
        <w:rPr>
          <w:rFonts w:ascii="Times New Roman" w:hAnsi="Times New Roman"/>
          <w:caps w:val="false"/>
          <w:smallCaps w:val="false"/>
          <w:sz w:val="20"/>
        </w:rPr>
        <w:t xml:space="preserve"> Blue Ridge Commerce Drive, Houston, Texas </w:t>
      </w:r>
      <w:r>
        <w:rPr>
          <w:rStyle w:val="Emphasis"/>
          <w:rFonts w:ascii="Times New Roman" w:hAnsi="Times New Roman"/>
          <w:caps w:val="false"/>
          <w:smallCaps w:val="false"/>
          <w:sz w:val="20"/>
        </w:rPr>
        <w:t>77489.</w:t>
      </w:r>
      <w:r>
        <w:rPr>
          <w:rFonts w:ascii="Times New Roman" w:hAnsi="Times New Roman"/>
          <w:caps w:val="false"/>
          <w:smallCaps w:val="false"/>
          <w:sz w:val="20"/>
        </w:rPr>
        <w:t xml:space="preserve"> The leased premises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for office, warehouse and light manufacturing and assembly purposes. The leased term is 130 months, commencing </w:t>
      </w:r>
      <w:r>
        <w:rPr>
          <w:rStyle w:val="Emphasis"/>
          <w:rFonts w:ascii="Times New Roman" w:hAnsi="Times New Roman"/>
          <w:caps w:val="false"/>
          <w:smallCaps w:val="false"/>
          <w:sz w:val="20"/>
        </w:rPr>
        <w:t xml:space="preserve">February 10, 2026. </w:t>
      </w:r>
      <w:r>
        <w:rPr>
          <w:rFonts w:ascii="Times New Roman" w:hAnsi="Times New Roman"/>
          <w:caps w:val="false"/>
          <w:smallCaps w:val="false"/>
          <w:sz w:val="20"/>
        </w:rPr>
        <w:t xml:space="preserve">Blue Ridge has agreed to provide improvement allowance in the amount of $3,078,560. Base rent is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of the term. For months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monthly base rent is $5.16 per rentable square foot on an annualized basis (approximately $66,189 per month). Beginning in month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base rent increases to $10.32 per rentable square foot on an annualized basis (approximately $132,378 per month) and escalates periodically throughout the remainder of the term, reflecting an average annual increase of approximately 3.5%. These scheduled increases culminate in base rent of $14.56 per rentable square foot on an annualized basis (approximately $186,732 per month) during the final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months of the term (months </w:t>
      </w:r>
      <w:r>
        <w:rPr>
          <w:rStyle w:val="Emphasis"/>
          <w:rFonts w:ascii="Times New Roman" w:hAnsi="Times New Roman"/>
          <w:caps w:val="false"/>
          <w:smallCaps w:val="false"/>
          <w:sz w:val="20"/>
        </w:rPr>
        <w:t>121</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130</w:t>
      </w:r>
      <w:r>
        <w:rPr>
          <w:rFonts w:ascii="Times New Roman" w:hAnsi="Times New Roman"/>
          <w:caps w:val="false"/>
          <w:smallCaps w:val="false"/>
          <w:sz w:val="20"/>
        </w:rPr>
        <w:t xml:space="preserve">). The Company is required to pay (i) prepaid rent of $163,164 to be applied against the </w:t>
      </w:r>
      <w:r>
        <w:rPr>
          <w:rStyle w:val="Emphasis"/>
          <w:rFonts w:ascii="Times New Roman" w:hAnsi="Times New Roman"/>
          <w:caps w:val="false"/>
          <w:smallCaps w:val="false"/>
          <w:sz w:val="20"/>
        </w:rPr>
        <w:t>eleventh</w:t>
      </w:r>
      <w:r>
        <w:rPr>
          <w:rFonts w:ascii="Times New Roman" w:hAnsi="Times New Roman"/>
          <w:caps w:val="false"/>
          <w:smallCaps w:val="false"/>
          <w:sz w:val="20"/>
        </w:rPr>
        <w:t xml:space="preserve"> month’s rent and (ii) an initial security deposit of $2 million, which accrues interest and is subject to partial reductions during the lease term if specified payment-performance conditions are satisfied. The lease provides for scheduled reductions of the security deposit of $0.5 million after </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months, $0.5 million after </w:t>
      </w:r>
      <w:r>
        <w:rPr>
          <w:rStyle w:val="Emphasis"/>
          <w:rFonts w:ascii="Times New Roman" w:hAnsi="Times New Roman"/>
          <w:caps w:val="false"/>
          <w:smallCaps w:val="false"/>
          <w:sz w:val="20"/>
        </w:rPr>
        <w:t>70</w:t>
      </w:r>
      <w:r>
        <w:rPr>
          <w:rFonts w:ascii="Times New Roman" w:hAnsi="Times New Roman"/>
          <w:caps w:val="false"/>
          <w:smallCaps w:val="false"/>
          <w:sz w:val="20"/>
        </w:rPr>
        <w:t xml:space="preserve"> months, and $0.34 million after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months, subject to the Company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being in default and other conditions set forth in the Lease. The total undiscounted lease payments over the initial lease term are approximately $19.5 million.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we recorded $12.5 million ROU asset and $12.8 million lease liability related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b w:val="false"/>
          <w:sz w:val="20"/>
        </w:rPr>
        <w:t xml:space="preserve">Lease expense is included under general and administrative expenses and were $2.2 million and $0.6 million for the </w:t>
      </w:r>
      <w:r>
        <w:rPr>
          <w:rStyle w:val="Emphasis"/>
          <w:rFonts w:ascii="Times New Roman;Times;serif" w:hAnsi="Times New Roman;Times;serif"/>
          <w:b w:val="false"/>
          <w:sz w:val="20"/>
        </w:rPr>
        <w:t>three</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March 31, 2026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2025</w:t>
      </w:r>
      <w:r>
        <w:rPr>
          <w:rFonts w:ascii="Times New Roman;Times;serif" w:hAnsi="Times New Roman;Times;serif"/>
          <w:b w:val="false"/>
          <w:sz w:val="20"/>
        </w:rPr>
        <w:t>, respectively.  The components of lease expense were as follows for the periods indicated (in thousands):</w:t>
      </w:r>
    </w:p>
    <w:p>
      <w:pPr>
        <w:pStyle w:val="TextBody"/>
        <w:bidi w:val="0"/>
        <w:spacing w:before="0" w:after="0"/>
        <w:ind w:left="0" w:right="0" w:firstLine="720"/>
        <w:jc w:val="left"/>
        <w:rPr/>
      </w:pPr>
      <w:r>
        <w:rPr/>
        <w:t> </w:t>
      </w:r>
    </w:p>
    <w:tbl>
      <w:tblPr>
        <w:tblW w:w="4777" w:type="dxa"/>
        <w:jc w:val="left"/>
        <w:tblInd w:w="0" w:type="dxa"/>
        <w:tblLayout w:type="fixed"/>
        <w:tblCellMar>
          <w:top w:w="0" w:type="dxa"/>
          <w:left w:w="0" w:type="dxa"/>
          <w:bottom w:w="0" w:type="dxa"/>
          <w:right w:w="0" w:type="dxa"/>
        </w:tblCellMar>
      </w:tblPr>
      <w:tblGrid>
        <w:gridCol w:w="2075"/>
        <w:gridCol w:w="60"/>
        <w:gridCol w:w="271"/>
        <w:gridCol w:w="1053"/>
        <w:gridCol w:w="130"/>
        <w:gridCol w:w="130"/>
        <w:gridCol w:w="271"/>
        <w:gridCol w:w="727"/>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expense</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March 31, 2026</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3225" w:type="dxa"/>
        <w:jc w:val="left"/>
        <w:tblInd w:w="0" w:type="dxa"/>
        <w:tblLayout w:type="fixed"/>
        <w:tblCellMar>
          <w:top w:w="0" w:type="dxa"/>
          <w:left w:w="0" w:type="dxa"/>
          <w:bottom w:w="0" w:type="dxa"/>
          <w:right w:w="0" w:type="dxa"/>
        </w:tblCellMar>
      </w:tblPr>
      <w:tblGrid>
        <w:gridCol w:w="2225"/>
        <w:gridCol w:w="60"/>
        <w:gridCol w:w="138"/>
        <w:gridCol w:w="722"/>
        <w:gridCol w:w="80"/>
      </w:tblGrid>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9 months)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7,586</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8,729</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8,724</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8,198</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7,830</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56,203</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97,270</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(23,355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73,915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8354" w:type="dxa"/>
        <w:jc w:val="left"/>
        <w:tblInd w:w="0" w:type="dxa"/>
        <w:tblLayout w:type="fixed"/>
        <w:tblCellMar>
          <w:top w:w="0" w:type="dxa"/>
          <w:left w:w="0" w:type="dxa"/>
          <w:bottom w:w="0" w:type="dxa"/>
          <w:right w:w="0" w:type="dxa"/>
        </w:tblCellMar>
      </w:tblPr>
      <w:tblGrid>
        <w:gridCol w:w="5525"/>
        <w:gridCol w:w="60"/>
        <w:gridCol w:w="116"/>
        <w:gridCol w:w="939"/>
        <w:gridCol w:w="358"/>
        <w:gridCol w:w="116"/>
        <w:gridCol w:w="116"/>
        <w:gridCol w:w="939"/>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5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w:t>
            </w:r>
          </w:p>
        </w:tc>
        <w:tc>
          <w:tcPr>
            <w:tcW w:w="35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976" w:type="dxa"/>
        <w:jc w:val="left"/>
        <w:tblInd w:w="0" w:type="dxa"/>
        <w:tblLayout w:type="fixed"/>
        <w:tblCellMar>
          <w:top w:w="0" w:type="dxa"/>
          <w:left w:w="0" w:type="dxa"/>
          <w:bottom w:w="0" w:type="dxa"/>
          <w:right w:w="0" w:type="dxa"/>
        </w:tblCellMar>
      </w:tblPr>
      <w:tblGrid>
        <w:gridCol w:w="6275"/>
        <w:gridCol w:w="60"/>
        <w:gridCol w:w="249"/>
        <w:gridCol w:w="1177"/>
        <w:gridCol w:w="119"/>
        <w:gridCol w:w="119"/>
        <w:gridCol w:w="249"/>
        <w:gridCol w:w="668"/>
        <w:gridCol w:w="60"/>
      </w:tblGrid>
      <w:tr>
        <w:trPr/>
        <w:tc>
          <w:tcPr>
            <w:tcW w:w="6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26" w:type="dxa"/>
            <w:gridSpan w:val="2"/>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17"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6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24,708</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9103" w:type="dxa"/>
        <w:jc w:val="left"/>
        <w:tblInd w:w="0" w:type="dxa"/>
        <w:tblLayout w:type="fixed"/>
        <w:tblCellMar>
          <w:top w:w="0" w:type="dxa"/>
          <w:left w:w="0" w:type="dxa"/>
          <w:bottom w:w="0" w:type="dxa"/>
          <w:right w:w="0" w:type="dxa"/>
        </w:tblCellMar>
      </w:tblPr>
      <w:tblGrid>
        <w:gridCol w:w="6845"/>
        <w:gridCol w:w="60"/>
        <w:gridCol w:w="133"/>
        <w:gridCol w:w="741"/>
        <w:gridCol w:w="60"/>
        <w:gridCol w:w="60"/>
        <w:gridCol w:w="173"/>
        <w:gridCol w:w="971"/>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206,140</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Restricted cash includes guarantee deposits for customs duties, a China government subsidy fund, and deposits as collateral in order to secure bank acceptance notes issued to vendors. As of </w:t>
      </w:r>
      <w:r>
        <w:rPr>
          <w:rStyle w:val="Emphasis"/>
          <w:rFonts w:ascii="Times New Roman" w:hAnsi="Times New Roman"/>
          <w:sz w:val="20"/>
        </w:rPr>
        <w:t xml:space="preserve"> March 31, 2026</w:t>
      </w:r>
      <w:r>
        <w:rPr>
          <w:rFonts w:ascii="Times New Roman" w:hAnsi="Times New Roman"/>
          <w:sz w:val="20"/>
        </w:rPr>
        <w:t> and  </w:t>
      </w:r>
      <w:r>
        <w:rPr>
          <w:rStyle w:val="Emphasis"/>
          <w:rFonts w:ascii="Times New Roman" w:hAnsi="Times New Roman"/>
          <w:sz w:val="20"/>
        </w:rPr>
        <w:t xml:space="preserve"> December 31, 2025</w:t>
      </w:r>
      <w:r>
        <w:rPr>
          <w:rFonts w:ascii="Times New Roman" w:hAnsi="Times New Roman"/>
          <w:sz w:val="20"/>
        </w:rPr>
        <w:t>, there were $7.8 million and $8.7 million of restricted cash required for bank acceptance notes issued to vendors, respectively. There were $1.6 million and $1.2 million guarantee deposits for customs duties as of </w:t>
      </w:r>
      <w:r>
        <w:rPr>
          <w:rStyle w:val="Emphasis"/>
          <w:rFonts w:ascii="Times New Roman" w:hAnsi="Times New Roman"/>
          <w:sz w:val="20"/>
        </w:rPr>
        <w:t xml:space="preserve"> March 31, 2026</w:t>
      </w:r>
      <w:r>
        <w:rPr>
          <w:rFonts w:ascii="Times New Roman" w:hAnsi="Times New Roman"/>
          <w:sz w:val="20"/>
        </w:rPr>
        <w:t> and </w:t>
      </w:r>
      <w:r>
        <w:rPr>
          <w:rStyle w:val="Emphasis"/>
          <w:rFonts w:ascii="Times New Roman" w:hAnsi="Times New Roman"/>
          <w:sz w:val="20"/>
        </w:rPr>
        <w:t xml:space="preserve"> December 31, 2025</w:t>
      </w:r>
      <w:r>
        <w:rPr>
          <w:rFonts w:ascii="Times New Roman" w:hAnsi="Times New Roman"/>
          <w:sz w:val="20"/>
        </w:rPr>
        <w:t> respectively. There were $0.2 million and $0 government subsidy funds as of </w:t>
      </w:r>
      <w:r>
        <w:rPr>
          <w:rStyle w:val="Emphasis"/>
          <w:rFonts w:ascii="Times New Roman" w:hAnsi="Times New Roman"/>
          <w:sz w:val="20"/>
        </w:rPr>
        <w:t xml:space="preserve"> March 31, 2026</w:t>
      </w:r>
      <w:r>
        <w:rPr>
          <w:rFonts w:ascii="Times New Roman" w:hAnsi="Times New Roman"/>
          <w:sz w:val="20"/>
        </w:rPr>
        <w:t> and </w:t>
      </w:r>
      <w:r>
        <w:rPr>
          <w:rStyle w:val="Emphasis"/>
          <w:rFonts w:ascii="Times New Roman" w:hAnsi="Times New Roman"/>
          <w:sz w:val="20"/>
        </w:rPr>
        <w:t xml:space="preserve"> December 31, 2025</w:t>
      </w:r>
      <w:r>
        <w:rPr>
          <w:rFonts w:ascii="Times New Roman" w:hAnsi="Times New Roman"/>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 On </w:t>
      </w:r>
      <w:r>
        <w:rPr>
          <w:rStyle w:val="Emphasis"/>
          <w:rFonts w:ascii="Times New Roman;Times;serif" w:hAnsi="Times New Roman;Times;serif"/>
          <w:sz w:val="20"/>
        </w:rPr>
        <w:t xml:space="preserve">March 13, 2025, </w:t>
      </w:r>
      <w:r>
        <w:rPr>
          <w:rFonts w:ascii="Times New Roman;Times;serif" w:hAnsi="Times New Roman;Times;serif"/>
          <w:sz w:val="20"/>
        </w:rPr>
        <w:t xml:space="preserve">the Company issued 7,945,399 stock warrants to a subsidiary of Amazon, and 1,324,233 warrants have been vested upon signing the warrant agreement.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such warrants are in the money and are considered dilutive instruments.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firstLine="720"/>
        <w:jc w:val="left"/>
        <w:rPr/>
      </w:pPr>
      <w:r>
        <w:rPr/>
        <w:t> </w:t>
      </w:r>
    </w:p>
    <w:tbl>
      <w:tblPr>
        <w:tblW w:w="7557" w:type="dxa"/>
        <w:jc w:val="left"/>
        <w:tblInd w:w="0" w:type="dxa"/>
        <w:tblLayout w:type="fixed"/>
        <w:tblCellMar>
          <w:top w:w="0" w:type="dxa"/>
          <w:left w:w="0" w:type="dxa"/>
          <w:bottom w:w="0" w:type="dxa"/>
          <w:right w:w="0" w:type="dxa"/>
        </w:tblCellMar>
      </w:tblPr>
      <w:tblGrid>
        <w:gridCol w:w="4835"/>
        <w:gridCol w:w="60"/>
        <w:gridCol w:w="198"/>
        <w:gridCol w:w="1030"/>
        <w:gridCol w:w="126"/>
        <w:gridCol w:w="95"/>
        <w:gridCol w:w="198"/>
        <w:gridCol w:w="935"/>
        <w:gridCol w:w="80"/>
      </w:tblGrid>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133"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133"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75,980</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75,980</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28" w:type="dxa"/>
            <w:gridSpan w:val="2"/>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133"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firstLine="720"/>
        <w:jc w:val="left"/>
        <w:rPr/>
      </w:pPr>
      <w:r>
        <w:rPr/>
        <w:t> </w:t>
      </w:r>
    </w:p>
    <w:tbl>
      <w:tblPr>
        <w:tblW w:w="5514" w:type="dxa"/>
        <w:jc w:val="left"/>
        <w:tblInd w:w="0" w:type="dxa"/>
        <w:tblLayout w:type="fixed"/>
        <w:tblCellMar>
          <w:top w:w="0" w:type="dxa"/>
          <w:left w:w="0" w:type="dxa"/>
          <w:bottom w:w="0" w:type="dxa"/>
          <w:right w:w="0" w:type="dxa"/>
        </w:tblCellMar>
      </w:tblPr>
      <w:tblGrid>
        <w:gridCol w:w="2810"/>
        <w:gridCol w:w="60"/>
        <w:gridCol w:w="128"/>
        <w:gridCol w:w="1036"/>
        <w:gridCol w:w="128"/>
        <w:gridCol w:w="128"/>
        <w:gridCol w:w="128"/>
        <w:gridCol w:w="1036"/>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2,796</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for convertible senior notes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Amazon warrant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antidilutive shares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consist of the following for the periods indicated (in thousands):​</w:t>
      </w:r>
    </w:p>
    <w:p>
      <w:pPr>
        <w:pStyle w:val="TextBody"/>
        <w:bidi w:val="0"/>
        <w:spacing w:before="0" w:after="0"/>
        <w:ind w:left="0" w:right="0" w:firstLine="720"/>
        <w:jc w:val="left"/>
        <w:rPr/>
      </w:pPr>
      <w:r>
        <w:rPr/>
        <w:t> </w:t>
      </w:r>
    </w:p>
    <w:tbl>
      <w:tblPr>
        <w:tblW w:w="6158" w:type="dxa"/>
        <w:jc w:val="left"/>
        <w:tblInd w:w="0" w:type="dxa"/>
        <w:tblLayout w:type="fixed"/>
        <w:tblCellMar>
          <w:top w:w="0" w:type="dxa"/>
          <w:left w:w="0" w:type="dxa"/>
          <w:bottom w:w="0" w:type="dxa"/>
          <w:right w:w="0" w:type="dxa"/>
        </w:tblCellMar>
      </w:tblPr>
      <w:tblGrid>
        <w:gridCol w:w="2930"/>
        <w:gridCol w:w="60"/>
        <w:gridCol w:w="204"/>
        <w:gridCol w:w="1135"/>
        <w:gridCol w:w="80"/>
        <w:gridCol w:w="60"/>
        <w:gridCol w:w="243"/>
        <w:gridCol w:w="1366"/>
        <w:gridCol w:w="8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85,740</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95,538</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18,822</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183,105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inventory reserve adjustment expensed for inventory was $</w:t>
      </w:r>
      <w:r>
        <w:rPr>
          <w:rFonts w:ascii="Times New Roman" w:hAnsi="Times New Roman"/>
          <w:caps w:val="false"/>
          <w:smallCaps w:val="false"/>
          <w:color w:val="000000"/>
          <w:sz w:val="20"/>
        </w:rPr>
        <w:t>2.4</w:t>
      </w:r>
      <w:r>
        <w:rPr>
          <w:rFonts w:ascii="Times New Roman" w:hAnsi="Times New Roman"/>
          <w:caps w:val="false"/>
          <w:smallCaps w:val="false"/>
          <w:sz w:val="20"/>
        </w:rPr>
        <w:t> million and $1.9 million,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direct inventory write-offs related to scrap, discontinued products and damaged inventories was $2.3 million and $0.9 million, respectively. </w:t>
      </w:r>
    </w:p>
    <w:p>
      <w:pPr>
        <w:pStyle w:val="TextBody"/>
        <w:bidi w:val="0"/>
        <w:spacing w:before="0" w:after="0"/>
        <w:ind w:left="0" w:right="0" w:hanging="0"/>
        <w:jc w:val="left"/>
        <w:rPr/>
      </w:pPr>
      <w:r>
        <w:rPr/>
        <w:t xml:space="preserve">    </w:t>
      </w:r>
      <w:r>
        <w:rPr>
          <w:shd w:fill="FFFFFF" w:val="clear"/>
        </w:rPr>
        <w:t xml:space="preserve">​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6533" w:type="dxa"/>
        <w:jc w:val="left"/>
        <w:tblInd w:w="0" w:type="dxa"/>
        <w:tblLayout w:type="fixed"/>
        <w:tblCellMar>
          <w:top w:w="0" w:type="dxa"/>
          <w:left w:w="0" w:type="dxa"/>
          <w:bottom w:w="0" w:type="dxa"/>
          <w:right w:w="0" w:type="dxa"/>
        </w:tblCellMar>
      </w:tblPr>
      <w:tblGrid>
        <w:gridCol w:w="3305"/>
        <w:gridCol w:w="60"/>
        <w:gridCol w:w="190"/>
        <w:gridCol w:w="1149"/>
        <w:gridCol w:w="80"/>
        <w:gridCol w:w="60"/>
        <w:gridCol w:w="228"/>
        <w:gridCol w:w="1381"/>
        <w:gridCol w:w="8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138,163</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404,145</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17,180</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568,054</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335,141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39,808</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the depreciation expense of property, plant and equipment was $9.1 million and $5.6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2026</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sz w:val="20"/>
        </w:rPr>
        <w:t>360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35</w:t>
      </w:r>
      <w:r>
        <w:rPr>
          <w:rFonts w:ascii="Times New Roman;Times;serif" w:hAnsi="Times New Roman;Times;serif"/>
          <w:sz w:val="20"/>
        </w:rPr>
        <w:t>-</w:t>
      </w:r>
      <w:r>
        <w:rPr>
          <w:rStyle w:val="Emphasis"/>
          <w:rFonts w:ascii="Times New Roman;Times;serif" w:hAnsi="Times New Roman;Times;serif"/>
          <w:sz w:val="20"/>
        </w:rPr>
        <w:t>21,</w:t>
      </w:r>
      <w:r>
        <w:rPr>
          <w:rFonts w:ascii="Times New Roman;Times;serif" w:hAnsi="Times New Roman;Times;serif"/>
          <w:sz w:val="20"/>
        </w:rPr>
        <w:t xml:space="preserve"> Property, Plant, and Equipment.  The Company performed a recoverability test and concluded that future undiscounted cash flows exceed the carrying amount of the Company’s long-lived assets and therefore </w:t>
      </w:r>
      <w:r>
        <w:rPr>
          <w:rStyle w:val="Emphasis"/>
          <w:rFonts w:ascii="Times New Roman;Times;serif" w:hAnsi="Times New Roman;Times;serif"/>
          <w:sz w:val="20"/>
        </w:rPr>
        <w:t>no</w:t>
      </w:r>
      <w:r>
        <w:rPr>
          <w:rFonts w:ascii="Times New Roman;Times;serif" w:hAnsi="Times New Roman;Times;serif"/>
          <w:sz w:val="20"/>
        </w:rPr>
        <w:t xml:space="preserve"> impairment charge was recorded. </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3,466</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amortization expense for intangible assets, included in general and administrative expenses on the statement of operations, was $0.1 million.  The remaining weighted average amortization period for intangible assets is approximately 7.5 years.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March 31, 2026</w:t>
      </w:r>
      <w:r>
        <w:rPr>
          <w:rFonts w:ascii="Times New Roman;Times;serif" w:hAnsi="Times New Roman;Times;serif"/>
          <w:sz w:val="20"/>
        </w:rPr>
        <w:t>, future amortization expenses for intangible assets for future periods are estimated to be (in thousands):</w:t>
      </w:r>
    </w:p>
    <w:p>
      <w:pPr>
        <w:pStyle w:val="TextBody"/>
        <w:bidi w:val="0"/>
        <w:spacing w:before="0" w:after="0"/>
        <w:ind w:left="0" w:right="0" w:firstLine="720"/>
        <w:jc w:val="left"/>
        <w:rPr/>
      </w:pPr>
      <w:r>
        <w:rPr/>
        <w:t> </w:t>
      </w:r>
    </w:p>
    <w:tbl>
      <w:tblPr>
        <w:tblW w:w="2955" w:type="dxa"/>
        <w:jc w:val="left"/>
        <w:tblInd w:w="0" w:type="dxa"/>
        <w:tblLayout w:type="fixed"/>
        <w:tblCellMar>
          <w:top w:w="0" w:type="dxa"/>
          <w:left w:w="0" w:type="dxa"/>
          <w:bottom w:w="0" w:type="dxa"/>
          <w:right w:w="0" w:type="dxa"/>
        </w:tblCellMar>
      </w:tblPr>
      <w:tblGrid>
        <w:gridCol w:w="2225"/>
        <w:gridCol w:w="60"/>
        <w:gridCol w:w="125"/>
        <w:gridCol w:w="485"/>
        <w:gridCol w:w="60"/>
      </w:tblGrid>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9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accounts receivable was $299.0 million as of </w:t>
      </w:r>
      <w:r>
        <w:rPr>
          <w:rStyle w:val="Emphasis"/>
          <w:rFonts w:ascii="Times New Roman;Times;serif" w:hAnsi="Times New Roman;Times;serif"/>
          <w:sz w:val="20"/>
        </w:rPr>
        <w:t xml:space="preserve">March 31, 2026. </w:t>
      </w:r>
      <w:r>
        <w:rPr>
          <w:rFonts w:ascii="Times New Roman;Times;serif" w:hAnsi="Times New Roman;Times;serif"/>
          <w:sz w:val="20"/>
        </w:rPr>
        <w:t xml:space="preserve">Of this amount, $222.7 million was due from Digicomm International Inc.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our top ten customers represented 98% and 97% of our revenue,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 March 31, 2026</w:t>
      </w:r>
      <w:r>
        <w:rPr>
          <w:rFonts w:ascii="Times New Roman;Times;serif" w:hAnsi="Times New Roman;Times;serif"/>
          <w:sz w:val="20"/>
        </w:rPr>
        <w:t xml:space="preserve"> was $278.7 million and $129.5 million, respectively. As of </w:t>
      </w:r>
      <w:r>
        <w:rPr>
          <w:rStyle w:val="Emphasis"/>
          <w:rFonts w:ascii="Times New Roman;Times;serif" w:hAnsi="Times New Roman;Times;serif"/>
          <w:sz w:val="20"/>
        </w:rPr>
        <w:t>December 31, 2025</w:t>
      </w:r>
      <w:r>
        <w:rPr>
          <w:rFonts w:ascii="Times New Roman;Times;serif" w:hAnsi="Times New Roman;Times;serif"/>
          <w:sz w:val="20"/>
        </w:rPr>
        <w:t xml:space="preserve">, the fair value and carrying amount of our convertible senior notes was $145.2 million and $129.8 million, respectively. The fair value is based on observable market prices for this debt, which is traded in less active markets and is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308"/>
        <w:gridCol w:w="60"/>
        <w:gridCol w:w="193"/>
        <w:gridCol w:w="1004"/>
        <w:gridCol w:w="80"/>
        <w:gridCol w:w="60"/>
        <w:gridCol w:w="228"/>
        <w:gridCol w:w="1189"/>
        <w:gridCol w:w="83"/>
      </w:tblGrid>
      <w:tr>
        <w:trPr/>
        <w:tc>
          <w:tcPr>
            <w:tcW w:w="7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3" w:type="dxa"/>
            <w:tcBorders/>
            <w:shd w:fill="FFFFFF" w:val="clear"/>
            <w:vAlign w:val="center"/>
          </w:tcPr>
          <w:p>
            <w:pPr>
              <w:pStyle w:val="TableContents"/>
              <w:bidi w:val="0"/>
              <w:spacing w:before="0" w:after="283"/>
              <w:jc w:val="left"/>
              <w:rPr/>
            </w:pPr>
            <w:r>
              <w:rPr/>
              <w:t> </w:t>
            </w:r>
          </w:p>
        </w:tc>
      </w:tr>
      <w:tr>
        <w:trPr/>
        <w:tc>
          <w:tcPr>
            <w:tcW w:w="7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$21.7 million with interest at 2.60%, maturing November 17, 2026</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30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$14.5 million with interest at 2.45%, maturing March 26, 2027</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p>
        </w:tc>
        <w:tc>
          <w:tcPr>
            <w:tcW w:w="100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18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13,772</w:t>
            </w:r>
          </w:p>
        </w:tc>
        <w:tc>
          <w:tcPr>
            <w:tcW w:w="83" w:type="dxa"/>
            <w:tcBorders/>
            <w:shd w:fill="FFFFFF" w:val="clear"/>
            <w:vAlign w:val="center"/>
          </w:tcPr>
          <w:p>
            <w:pPr>
              <w:pStyle w:val="TableContents"/>
              <w:bidi w:val="0"/>
              <w:spacing w:before="0" w:after="0"/>
              <w:jc w:val="left"/>
              <w:rPr/>
            </w:pPr>
            <w:r>
              <w:rPr/>
              <w:t> </w:t>
            </w:r>
          </w:p>
        </w:tc>
      </w:tr>
      <w:tr>
        <w:trPr/>
        <w:tc>
          <w:tcPr>
            <w:tcW w:w="7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Taiwan bank up to $3.1 million with interest at 2.55%, maturing May 12, 2026</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30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Taiwan bank up to $3.1 million with interest at 3.20%, maturing August 25, 2026</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0"/>
              <w:jc w:val="left"/>
              <w:rPr/>
            </w:pPr>
            <w:r>
              <w:rPr/>
              <w:t> </w:t>
            </w:r>
          </w:p>
        </w:tc>
      </w:tr>
      <w:tr>
        <w:trPr/>
        <w:tc>
          <w:tcPr>
            <w:tcW w:w="7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3" w:type="dxa"/>
            <w:tcBorders/>
            <w:shd w:fill="CCEEFF" w:val="clear"/>
            <w:vAlign w:val="center"/>
          </w:tcPr>
          <w:p>
            <w:pPr>
              <w:pStyle w:val="TableContents"/>
              <w:bidi w:val="0"/>
              <w:spacing w:before="0" w:after="283"/>
              <w:jc w:val="left"/>
              <w:rPr/>
            </w:pPr>
            <w:r>
              <w:rPr/>
              <w:t> </w:t>
            </w:r>
          </w:p>
        </w:tc>
      </w:tr>
      <w:tr>
        <w:trPr/>
        <w:tc>
          <w:tcPr>
            <w:tcW w:w="7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638" w:type="dxa"/>
        <w:jc w:val="left"/>
        <w:tblInd w:w="0" w:type="dxa"/>
        <w:tblLayout w:type="fixed"/>
        <w:tblCellMar>
          <w:top w:w="0" w:type="dxa"/>
          <w:left w:w="0" w:type="dxa"/>
          <w:bottom w:w="0" w:type="dxa"/>
          <w:right w:w="0" w:type="dxa"/>
        </w:tblCellMar>
      </w:tblPr>
      <w:tblGrid>
        <w:gridCol w:w="5450"/>
        <w:gridCol w:w="60"/>
        <w:gridCol w:w="234"/>
        <w:gridCol w:w="1105"/>
        <w:gridCol w:w="60"/>
        <w:gridCol w:w="60"/>
        <w:gridCol w:w="280"/>
        <w:gridCol w:w="1329"/>
        <w:gridCol w:w="60"/>
      </w:tblGrid>
      <w:tr>
        <w:trPr/>
        <w:tc>
          <w:tcPr>
            <w:tcW w:w="54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Acceptance Notes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notes issued to vendors with 0.05% handling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loans are all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March 31, 2026.</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SPD Credit Line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18, 2025, </w:t>
      </w:r>
      <w:r>
        <w:rPr>
          <w:rFonts w:ascii="Times New Roman;Times;serif" w:hAnsi="Times New Roman;Times;serif"/>
          <w:sz w:val="20"/>
        </w:rPr>
        <w:t xml:space="preserve">Global entered into a one-year credit facility with Shanghai Pudong Development Bank Co., Ltd. ("SPD"), totaling </w:t>
      </w:r>
      <w:r>
        <w:rPr>
          <w:rStyle w:val="Emphasis"/>
          <w:rFonts w:ascii="Times New Roman;Times;serif" w:hAnsi="Times New Roman;Times;serif"/>
          <w:sz w:val="20"/>
        </w:rPr>
        <w:t>82,000,000</w:t>
      </w:r>
      <w:r>
        <w:rPr>
          <w:rFonts w:ascii="Times New Roman;Times;serif" w:hAnsi="Times New Roman;Times;serif"/>
          <w:sz w:val="20"/>
        </w:rPr>
        <w:t xml:space="preserve"> RMB (the “¥82M Credit Facility”), or approximately $11.4 million at that time. Borrowing under the ¥82M Credit Facility will be used to repay the Company’s outstanding loans with China Zheshang Bank Co., Ltd., and for general corporate and capital investment purposes.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29, 2025, </w:t>
      </w:r>
      <w:r>
        <w:rPr>
          <w:rFonts w:ascii="Times New Roman;Times;serif" w:hAnsi="Times New Roman;Times;serif"/>
          <w:sz w:val="20"/>
        </w:rPr>
        <w:t xml:space="preserve">Global entered into a five-year revolving credit line agreement with SPD in Ningbo City, China, totaling </w:t>
      </w:r>
      <w:r>
        <w:rPr>
          <w:rStyle w:val="Emphasis"/>
          <w:rFonts w:ascii="Times New Roman;Times;serif" w:hAnsi="Times New Roman;Times;serif"/>
          <w:sz w:val="20"/>
        </w:rPr>
        <w:t>250,000,000</w:t>
      </w:r>
      <w:r>
        <w:rPr>
          <w:rFonts w:ascii="Times New Roman;Times;serif" w:hAnsi="Times New Roman;Times;serif"/>
          <w:sz w:val="20"/>
        </w:rPr>
        <w:t xml:space="preserve"> RMB (the "¥250M SPD Credit Line"), or approximately $34.9 million at that time, and a mortgage contract. Borrowing under the ¥250M SPD Credit Line will be used for general corporate and capital investment purposes. Any credit previously extended by SPD will be applied against the available amount under the ¥250M SPD Credit Line, inclusive of the ¥82M Credit Facility. Global's obligation under the ¥250M SPD Credit Line will be secured by certain real property owned by Global. As of </w:t>
      </w:r>
      <w:r>
        <w:rPr>
          <w:rStyle w:val="Emphasis"/>
          <w:rFonts w:ascii="Times New Roman;Times;serif" w:hAnsi="Times New Roman;Times;serif"/>
          <w:sz w:val="20"/>
        </w:rPr>
        <w:t xml:space="preserve">March 31, 2026, </w:t>
      </w:r>
      <w:r>
        <w:rPr>
          <w:rFonts w:ascii="Times New Roman;Times;serif" w:hAnsi="Times New Roman;Times;serif"/>
          <w:sz w:val="20"/>
        </w:rPr>
        <w:t>$20.5 million was outstanding under the ¥250M SPD Credit Line, and the outstanding balance of bank acceptance notes under this bank issued to vendors was $</w:t>
      </w:r>
      <w:r>
        <w:rPr>
          <w:rFonts w:cs="Times New Roman;Times;serif"/>
          <w:szCs w:val="20"/>
        </w:rPr>
        <w:t>﻿</w:t>
      </w:r>
      <w:r>
        <w:rPr>
          <w:rFonts w:ascii="Times New Roman;Times;serif" w:hAnsi="Times New Roman;Times;serif"/>
          <w:sz w:val="20"/>
        </w:rPr>
        <w:t xml:space="preserve">18.0 million. The unused credit as of </w:t>
      </w:r>
      <w:r>
        <w:rPr>
          <w:rStyle w:val="Emphasis"/>
          <w:rFonts w:ascii="Times New Roman;Times;serif" w:hAnsi="Times New Roman;Times;serif"/>
          <w:sz w:val="20"/>
        </w:rPr>
        <w:t>March 31, 2026 </w:t>
      </w:r>
      <w:r>
        <w:rPr>
          <w:rFonts w:ascii="Times New Roman;Times;serif" w:hAnsi="Times New Roman;Times;serif"/>
          <w:sz w:val="20"/>
        </w:rPr>
        <w:t>was $3.0 million.</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CZB Loan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26, 2025, </w:t>
      </w:r>
      <w:r>
        <w:rPr>
          <w:rFonts w:ascii="Times New Roman" w:hAnsi="Times New Roman"/>
          <w:caps w:val="false"/>
          <w:smallCaps w:val="false"/>
          <w:sz w:val="20"/>
        </w:rPr>
        <w:t xml:space="preserve">Global entered into an agreement with China Zheshang Bank in Ningbo City, China ("CZB") for bank acceptance notes of 40,000,000 RMB or approximately $5.7 million at the time.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outstanding balance of bank acceptance notes issued to vendors was $0.2 million. The unused credit was $2.7 million as of </w:t>
      </w:r>
      <w:r>
        <w:rPr>
          <w:rStyle w:val="Emphasis"/>
          <w:rFonts w:ascii="Times New Roman" w:hAnsi="Times New Roman"/>
          <w:caps w:val="false"/>
          <w:smallCaps w:val="false"/>
          <w:sz w:val="20"/>
        </w:rPr>
        <w:t>March 31, 2026.</w:t>
      </w:r>
    </w:p>
    <w:p>
      <w:pPr>
        <w:pStyle w:val="TextBody"/>
        <w:bidi w:val="0"/>
        <w:spacing w:before="0" w:after="0"/>
        <w:ind w:left="180" w:right="0" w:hanging="0"/>
        <w:jc w:val="left"/>
        <w:rPr/>
      </w:pPr>
      <w:r>
        <w:rPr/>
        <w:t> </w:t>
      </w:r>
    </w:p>
    <w:p>
      <w:pPr>
        <w:pStyle w:val="TextBody"/>
        <w:bidi w:val="0"/>
        <w:spacing w:before="0" w:after="0"/>
        <w:ind w:left="180" w:right="0" w:hanging="180"/>
        <w:jc w:val="left"/>
        <w:rPr>
          <w:rFonts w:ascii="Times New Roman;Times;serif" w:hAnsi="Times New Roman;Times;serif"/>
          <w:i/>
          <w:sz w:val="20"/>
        </w:rPr>
      </w:pPr>
      <w:r>
        <w:rPr>
          <w:rFonts w:ascii="Times New Roman;Times;serif" w:hAnsi="Times New Roman;Times;serif"/>
          <w:i/>
          <w:sz w:val="20"/>
        </w:rPr>
        <w:t xml:space="preserve">CCB Loan </w:t>
      </w:r>
    </w:p>
    <w:p>
      <w:pPr>
        <w:pStyle w:val="TextBody"/>
        <w:bidi w:val="0"/>
        <w:spacing w:before="0" w:after="0"/>
        <w:ind w:left="18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12, 2025, </w:t>
      </w:r>
      <w:r>
        <w:rPr>
          <w:rFonts w:ascii="Times New Roman;Times;serif" w:hAnsi="Times New Roman;Times;serif"/>
          <w:sz w:val="20"/>
        </w:rPr>
        <w:t>Global entered into a one-year credit facility with China Construction Bank Co., Ltd., in Ningbo, City, China ("CCB"), totaling 96,800,000 RMB (the "CCB Credit Facility"), or approximately $13.5 million at that time.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26, 2025, </w:t>
      </w:r>
      <w:r>
        <w:rPr>
          <w:rFonts w:ascii="Times New Roman;Times;serif" w:hAnsi="Times New Roman;Times;serif"/>
          <w:sz w:val="20"/>
        </w:rPr>
        <w:t xml:space="preserve">Global entered into a five-year revolving credit line agreement with CCB, totaling 162,260,000 RMB (the "CCB Credit Line"), or approximately $22.7 million at that time. The amount available under the CCB Credit Line is inclusive of the CCB Credit Facility previously granted by CCB on </w:t>
      </w:r>
      <w:r>
        <w:rPr>
          <w:rStyle w:val="Emphasis"/>
          <w:rFonts w:ascii="Times New Roman;Times;serif" w:hAnsi="Times New Roman;Times;serif"/>
          <w:sz w:val="20"/>
        </w:rPr>
        <w:t xml:space="preserve">June 12, 2025.  </w:t>
      </w:r>
      <w:r>
        <w:rPr>
          <w:rFonts w:ascii="Times New Roman;Times;serif" w:hAnsi="Times New Roman;Times;serif"/>
          <w:sz w:val="20"/>
        </w:rPr>
        <w:t xml:space="preserve">On </w:t>
      </w:r>
      <w:r>
        <w:rPr>
          <w:rStyle w:val="Emphasis"/>
          <w:rFonts w:ascii="Times New Roman;Times;serif" w:hAnsi="Times New Roman;Times;serif"/>
          <w:sz w:val="20"/>
        </w:rPr>
        <w:t xml:space="preserve">December 19, 2025, </w:t>
      </w:r>
      <w:r>
        <w:rPr>
          <w:rFonts w:ascii="Times New Roman;Times;serif" w:hAnsi="Times New Roman;Times;serif"/>
          <w:sz w:val="20"/>
        </w:rPr>
        <w:t xml:space="preserve">the CCB Credit Line was increased to 250,000,000 RMB. Global's obligation under the CCB Credit Line is secured by certain real property owned by Global. As of </w:t>
      </w:r>
      <w:r>
        <w:rPr>
          <w:rStyle w:val="Emphasis"/>
          <w:rFonts w:ascii="Times New Roman;Times;serif" w:hAnsi="Times New Roman;Times;serif"/>
          <w:sz w:val="20"/>
        </w:rPr>
        <w:t xml:space="preserve">March 31, 2026, </w:t>
      </w:r>
      <w:r>
        <w:rPr>
          <w:rFonts w:ascii="Times New Roman;Times;serif" w:hAnsi="Times New Roman;Times;serif"/>
          <w:sz w:val="20"/>
        </w:rPr>
        <w:t xml:space="preserve">there was $14.5 million outstanding under the CCB Credit Line. The outstanding balance of bank acceptances notes under this bank issued to vendors was $12.2 million as of </w:t>
      </w:r>
      <w:r>
        <w:rPr>
          <w:rStyle w:val="Emphasis"/>
          <w:rFonts w:ascii="Times New Roman;Times;serif" w:hAnsi="Times New Roman;Times;serif"/>
          <w:sz w:val="20"/>
        </w:rPr>
        <w:t>March 31, 2026. </w:t>
      </w:r>
      <w:r>
        <w:rPr>
          <w:rFonts w:ascii="Times New Roman;Times;serif" w:hAnsi="Times New Roman;Times;serif"/>
          <w:sz w:val="20"/>
        </w:rPr>
        <w:t xml:space="preserve">The unused credit as of </w:t>
      </w:r>
      <w:r>
        <w:rPr>
          <w:rStyle w:val="Emphasis"/>
          <w:rFonts w:ascii="Times New Roman;Times;serif" w:hAnsi="Times New Roman;Times;serif"/>
          <w:sz w:val="20"/>
        </w:rPr>
        <w:t>March 31, 2026 </w:t>
      </w:r>
      <w:r>
        <w:rPr>
          <w:rFonts w:ascii="Times New Roman;Times;serif" w:hAnsi="Times New Roman;Times;serif"/>
          <w:sz w:val="20"/>
        </w:rPr>
        <w:t>was $11.9 million.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BOKF Loan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31, 2025, </w:t>
      </w:r>
      <w:r>
        <w:rPr>
          <w:rFonts w:ascii="Times New Roman;Times;serif" w:hAnsi="Times New Roman;Times;serif"/>
          <w:sz w:val="20"/>
        </w:rPr>
        <w:t xml:space="preserve">the Company entered into a Loan and Security Agreement (the “BOKF Credit Facility”) with BOKF, NA dba BOK Financial, as agent for secured parties. The BOKF Credit Facility provides the Company with a three-year, $35 million revolving line of credit, with the ability to request additional lender commitments in an aggregate amount </w:t>
      </w:r>
      <w:r>
        <w:rPr>
          <w:rStyle w:val="Emphasis"/>
          <w:rFonts w:ascii="Times New Roman;Times;serif" w:hAnsi="Times New Roman;Times;serif"/>
          <w:sz w:val="20"/>
        </w:rPr>
        <w:t>not</w:t>
      </w:r>
      <w:r>
        <w:rPr>
          <w:rFonts w:ascii="Times New Roman;Times;serif" w:hAnsi="Times New Roman;Times;serif"/>
          <w:sz w:val="20"/>
        </w:rPr>
        <w:t xml:space="preserve"> to exceed $40 million (for a total aggregate amount of $75 million) pursuant to certain conditions. As of </w:t>
      </w:r>
      <w:r>
        <w:rPr>
          <w:rStyle w:val="Emphasis"/>
          <w:rFonts w:ascii="Times New Roman;Times;serif" w:hAnsi="Times New Roman;Times;serif"/>
          <w:sz w:val="20"/>
        </w:rPr>
        <w:t xml:space="preserve">March 31, 2026, </w:t>
      </w:r>
      <w:r>
        <w:rPr>
          <w:rFonts w:ascii="Times New Roman;Times;serif" w:hAnsi="Times New Roman;Times;serif"/>
          <w:sz w:val="20"/>
        </w:rPr>
        <w:t>$0 was outstanding under the BOKF Credit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Taishin Loan</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November 27, 2025, </w:t>
      </w:r>
      <w:r>
        <w:rPr>
          <w:rFonts w:ascii="Times New Roman;Times;serif" w:hAnsi="Times New Roman;Times;serif"/>
          <w:sz w:val="20"/>
        </w:rPr>
        <w:t xml:space="preserve">Prime World entered into a credit facility with Taishin International Bank in Taiwan (“Taishin Bank”), consisting of a NT$100,000,000 line of credit (the </w:t>
      </w:r>
      <w:r>
        <w:rPr>
          <w:rStyle w:val="Emphasis"/>
          <w:rFonts w:ascii="Times New Roman;Times;serif" w:hAnsi="Times New Roman;Times;serif"/>
          <w:sz w:val="20"/>
        </w:rPr>
        <w:t>“NT$100M</w:t>
      </w:r>
      <w:r>
        <w:rPr>
          <w:rFonts w:ascii="Times New Roman;Times;serif" w:hAnsi="Times New Roman;Times;serif"/>
          <w:sz w:val="20"/>
        </w:rPr>
        <w:t xml:space="preserve"> Credit Line”) and a US$2,000,000 line of credit (the </w:t>
      </w:r>
      <w:r>
        <w:rPr>
          <w:rStyle w:val="Emphasis"/>
          <w:rFonts w:ascii="Times New Roman;Times;serif" w:hAnsi="Times New Roman;Times;serif"/>
          <w:sz w:val="20"/>
        </w:rPr>
        <w:t>“US$2M</w:t>
      </w:r>
      <w:r>
        <w:rPr>
          <w:rFonts w:ascii="Times New Roman;Times;serif" w:hAnsi="Times New Roman;Times;serif"/>
          <w:sz w:val="20"/>
        </w:rPr>
        <w:t xml:space="preserve"> Credit Line”, collectively, with the </w:t>
      </w:r>
      <w:r>
        <w:rPr>
          <w:rStyle w:val="Emphasis"/>
          <w:rFonts w:ascii="Times New Roman;Times;serif" w:hAnsi="Times New Roman;Times;serif"/>
          <w:sz w:val="20"/>
        </w:rPr>
        <w:t>NT$100M</w:t>
      </w:r>
      <w:r>
        <w:rPr>
          <w:rFonts w:ascii="Times New Roman;Times;serif" w:hAnsi="Times New Roman;Times;serif"/>
          <w:sz w:val="20"/>
        </w:rPr>
        <w:t xml:space="preserve"> Credit Line, the “Taishin Credit Facility”). Prime World </w:t>
      </w:r>
      <w:r>
        <w:rPr>
          <w:rStyle w:val="Emphasis"/>
          <w:rFonts w:ascii="Times New Roman;Times;serif" w:hAnsi="Times New Roman;Times;serif"/>
          <w:sz w:val="20"/>
        </w:rPr>
        <w:t xml:space="preserve">may </w:t>
      </w:r>
      <w:r>
        <w:rPr>
          <w:rFonts w:ascii="Times New Roman;Times;serif" w:hAnsi="Times New Roman;Times;serif"/>
          <w:sz w:val="20"/>
        </w:rPr>
        <w:t xml:space="preserve">utilize the Taishin Credit Facility from </w:t>
      </w:r>
      <w:r>
        <w:rPr>
          <w:rStyle w:val="Emphasis"/>
          <w:rFonts w:ascii="Times New Roman;Times;serif" w:hAnsi="Times New Roman;Times;serif"/>
          <w:sz w:val="20"/>
        </w:rPr>
        <w:t xml:space="preserve">November 27, 2025 </w:t>
      </w:r>
      <w:r>
        <w:rPr>
          <w:rFonts w:ascii="Times New Roman;Times;serif" w:hAnsi="Times New Roman;Times;serif"/>
          <w:sz w:val="20"/>
        </w:rPr>
        <w:t xml:space="preserve">through </w:t>
      </w:r>
      <w:r>
        <w:rPr>
          <w:rStyle w:val="Emphasis"/>
          <w:rFonts w:ascii="Times New Roman;Times;serif" w:hAnsi="Times New Roman;Times;serif"/>
          <w:sz w:val="20"/>
        </w:rPr>
        <w:t xml:space="preserve">October 31, 2026. </w:t>
      </w:r>
      <w:r>
        <w:rPr>
          <w:rFonts w:ascii="Times New Roman;Times;serif" w:hAnsi="Times New Roman;Times;serif"/>
          <w:sz w:val="20"/>
        </w:rPr>
        <w:t xml:space="preserve">Borrowings under the </w:t>
      </w:r>
      <w:r>
        <w:rPr>
          <w:rStyle w:val="Emphasis"/>
          <w:rFonts w:ascii="Times New Roman;Times;serif" w:hAnsi="Times New Roman;Times;serif"/>
          <w:sz w:val="20"/>
        </w:rPr>
        <w:t>NT$100M</w:t>
      </w:r>
      <w:r>
        <w:rPr>
          <w:rFonts w:ascii="Times New Roman;Times;serif" w:hAnsi="Times New Roman;Times;serif"/>
          <w:sz w:val="20"/>
        </w:rPr>
        <w:t xml:space="preserve"> Credit Line </w:t>
      </w:r>
      <w:r>
        <w:rPr>
          <w:rStyle w:val="Emphasis"/>
          <w:rFonts w:ascii="Times New Roman;Times;serif" w:hAnsi="Times New Roman;Times;serif"/>
          <w:sz w:val="20"/>
        </w:rPr>
        <w:t xml:space="preserve">may </w:t>
      </w:r>
      <w:r>
        <w:rPr>
          <w:rFonts w:ascii="Times New Roman;Times;serif" w:hAnsi="Times New Roman;Times;serif"/>
          <w:sz w:val="20"/>
        </w:rPr>
        <w:t xml:space="preserve">be drawn as short-term loans, while the </w:t>
      </w:r>
      <w:r>
        <w:rPr>
          <w:rStyle w:val="Emphasis"/>
          <w:rFonts w:ascii="Times New Roman;Times;serif" w:hAnsi="Times New Roman;Times;serif"/>
          <w:sz w:val="20"/>
        </w:rPr>
        <w:t>US$2M</w:t>
      </w:r>
      <w:r>
        <w:rPr>
          <w:rFonts w:ascii="Times New Roman;Times;serif" w:hAnsi="Times New Roman;Times;serif"/>
          <w:sz w:val="20"/>
        </w:rPr>
        <w:t xml:space="preserve"> Credit Line is a derivatives-based facility and </w:t>
      </w:r>
      <w:r>
        <w:rPr>
          <w:rStyle w:val="Emphasis"/>
          <w:rFonts w:ascii="Times New Roman;Times;serif" w:hAnsi="Times New Roman;Times;serif"/>
          <w:sz w:val="20"/>
        </w:rPr>
        <w:t xml:space="preserve">may </w:t>
      </w:r>
      <w:r>
        <w:rPr>
          <w:rFonts w:ascii="Times New Roman;Times;serif" w:hAnsi="Times New Roman;Times;serif"/>
          <w:sz w:val="20"/>
        </w:rPr>
        <w:t xml:space="preserve">be used by Prime World to enter into foreign exchange hedging transactions. As of </w:t>
      </w:r>
      <w:r>
        <w:rPr>
          <w:rStyle w:val="Emphasis"/>
          <w:rFonts w:ascii="Times New Roman;Times;serif" w:hAnsi="Times New Roman;Times;serif"/>
          <w:sz w:val="20"/>
        </w:rPr>
        <w:t xml:space="preserve">March 31, 2026, </w:t>
      </w:r>
      <w:r>
        <w:rPr>
          <w:rFonts w:ascii="Times New Roman;Times;serif" w:hAnsi="Times New Roman;Times;serif"/>
          <w:sz w:val="20"/>
        </w:rPr>
        <w:t>the Company has fully utilized its line of credit and has no unused credit available.</w:t>
      </w:r>
    </w:p>
    <w:p>
      <w:pPr>
        <w:pStyle w:val="TextBody"/>
        <w:bidi w:val="0"/>
        <w:spacing w:before="0" w:after="0"/>
        <w:ind w:left="0" w:right="0" w:firstLine="720"/>
        <w:jc w:val="left"/>
        <w:rPr/>
      </w:pPr>
      <w:r>
        <w:rPr/>
        <w:t> </w:t>
      </w:r>
    </w:p>
    <w:p>
      <w:pPr>
        <w:pStyle w:val="TextBody"/>
        <w:bidi w:val="0"/>
        <w:jc w:val="left"/>
        <w:rPr>
          <w:rFonts w:ascii="Times New Roman;Times;serif" w:hAnsi="Times New Roman;Times;serif"/>
          <w:sz w:val="20"/>
        </w:rPr>
      </w:pPr>
      <w:r>
        <w:rPr>
          <w:rFonts w:ascii="Times New Roman;Times;serif" w:hAnsi="Times New Roman;Times;serif"/>
          <w:i/>
          <w:sz w:val="20"/>
        </w:rPr>
        <w:t>FCB Loan</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pPr>
      <w:r>
        <w:rPr>
          <w:caps w:val="false"/>
          <w:smallCaps w:val="false"/>
        </w:rPr>
        <w:t>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 2026, </w:t>
      </w:r>
      <w:r>
        <w:rPr>
          <w:rFonts w:ascii="Times New Roman" w:hAnsi="Times New Roman"/>
          <w:caps w:val="false"/>
          <w:smallCaps w:val="false"/>
          <w:sz w:val="20"/>
        </w:rPr>
        <w:t xml:space="preserve">Prime World entered into a credit facility with First Commercial Bank in Taiwan, consisting of a NT$100,000,000 line of credit (the “FCB Credit Facility”).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outstanding borrowings under the FCB Credit Facility were $3.1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Unused Borrowing Capacity</w:t>
      </w:r>
    </w:p>
    <w:p>
      <w:pPr>
        <w:pStyle w:val="TextBody"/>
        <w:bidi w:val="0"/>
        <w:spacing w:before="0" w:after="0"/>
        <w:ind w:left="0" w:right="0" w:firstLine="720"/>
        <w:jc w:val="left"/>
        <w:rPr/>
      </w:pPr>
      <w:r>
        <w:rPr/>
        <w:t> </w:t>
      </w:r>
    </w:p>
    <w:p>
      <w:pPr>
        <w:pStyle w:val="TextBody"/>
        <w:bidi w:val="0"/>
        <w:ind w:left="0" w:right="0" w:firstLine="720"/>
        <w:jc w:val="left"/>
        <w:rPr/>
      </w:pPr>
      <w:r>
        <w:rPr>
          <w:rFonts w:ascii="Times New Roman;Times;serif" w:hAnsi="Times New Roman;Times;serif"/>
          <w:sz w:val="20"/>
          <w:shd w:fill="FFFFFF" w:val="clear"/>
        </w:rPr>
        <w:t>As of </w:t>
      </w:r>
      <w:r>
        <w:rPr>
          <w:rFonts w:ascii="Times New Roman;Times;serif" w:hAnsi="Times New Roman;Times;serif"/>
          <w:sz w:val="20"/>
        </w:rPr>
        <w:t xml:space="preserve"> </w:t>
      </w:r>
      <w:r>
        <w:rPr>
          <w:rStyle w:val="Emphasis"/>
          <w:rFonts w:ascii="Times New Roman;Times;serif" w:hAnsi="Times New Roman;Times;serif"/>
          <w:sz w:val="20"/>
        </w:rPr>
        <w:t>March 31, 2026</w:t>
      </w:r>
      <w:r>
        <w:rPr>
          <w:rFonts w:ascii="Times New Roman;Times;serif" w:hAnsi="Times New Roman;Times;serif"/>
          <w:sz w:val="20"/>
        </w:rPr>
        <w:t xml:space="preserve"> </w:t>
      </w:r>
      <w:r>
        <w:rPr>
          <w:rFonts w:ascii="Times New Roman;Times;serif" w:hAnsi="Times New Roman;Times;serif"/>
          <w:sz w:val="20"/>
          <w:shd w:fill="FFFFFF" w:val="clear"/>
        </w:rPr>
        <w:t xml:space="preserve">and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Fonts w:ascii="Times New Roman;Times;serif" w:hAnsi="Times New Roman;Times;serif"/>
          <w:sz w:val="20"/>
          <w:shd w:fill="FFFFFF" w:val="clear"/>
        </w:rPr>
        <w:t>, the Company had $61.7 million and $60.7</w:t>
      </w:r>
      <w:r>
        <w:rPr>
          <w:rFonts w:ascii="Times New Roman;Times;serif" w:hAnsi="Times New Roman;Times;serif"/>
          <w:sz w:val="20"/>
        </w:rPr>
        <w:t xml:space="preserve"> million </w:t>
      </w:r>
      <w:r>
        <w:rPr>
          <w:rFonts w:ascii="Times New Roman;Times;serif" w:hAnsi="Times New Roman;Times;serif"/>
          <w:sz w:val="20"/>
          <w:shd w:fill="FFFFFF" w:val="clear"/>
        </w:rPr>
        <w:t> of unused borrowing capacity, respectively.</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there </w:t>
      </w:r>
      <w:r>
        <w:rPr>
          <w:rFonts w:ascii="Times New Roman;Times;serif" w:hAnsi="Times New Roman;Times;serif"/>
          <w:sz w:val="20"/>
          <w:shd w:fill="FFFFFF" w:val="clear"/>
        </w:rPr>
        <w:t>was $7.8 million and $8.7 million of restricted cash, investme</w:t>
      </w:r>
      <w:r>
        <w:rPr>
          <w:rFonts w:ascii="Times New Roman;Times;serif" w:hAnsi="Times New Roman;Times;serif"/>
          <w:sz w:val="20"/>
        </w:rPr>
        <w:t xml:space="preserve">nts or security deposits associated with the loan facilities, respectively.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 xml:space="preserve">the Company entered into exchange agreements with certain holders of its 5.25% senior convertible notes due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to exchange approximately $76.7 million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for aggregate consideration consisting of (i) $125.0 million aggregate principal amount of 2.75% Convertible Senior Notes due </w:t>
      </w:r>
      <w:r>
        <w:rPr>
          <w:rStyle w:val="Emphasis"/>
          <w:rFonts w:ascii="Times New Roman" w:hAnsi="Times New Roman"/>
          <w:caps w:val="false"/>
          <w:smallCaps w:val="false"/>
          <w:sz w:val="20"/>
        </w:rPr>
        <w:t>2030</w:t>
      </w:r>
      <w:r>
        <w:rPr>
          <w:rFonts w:ascii="Times New Roman" w:hAnsi="Times New Roman"/>
          <w:caps w:val="false"/>
          <w:smallCaps w:val="false"/>
          <w:sz w:val="20"/>
        </w:rPr>
        <w: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(ii) 1,487,874 shares of the Company’s common stock, par value $0.001 per share (the "Common Stock") and (iii) approximately $89.6 thousands of cash in aggregate, representing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the value of fractional shares of Common Stock (such transactions, collectively, the "Exchanges"). The Exchanges closed on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and we recorded a debt extinguishment loss of $112.0 million due to these Exchanges. There was $3.5 million principal amount for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remaining. On </w:t>
      </w:r>
      <w:r>
        <w:rPr>
          <w:rStyle w:val="Emphasis"/>
          <w:rFonts w:ascii="Times New Roman" w:hAnsi="Times New Roman"/>
          <w:caps w:val="false"/>
          <w:smallCaps w:val="false"/>
          <w:sz w:val="20"/>
        </w:rPr>
        <w:t xml:space="preserve">July 30, 2025, </w:t>
      </w:r>
      <w:r>
        <w:rPr>
          <w:rFonts w:ascii="Times New Roman" w:hAnsi="Times New Roman"/>
          <w:caps w:val="false"/>
          <w:smallCaps w:val="false"/>
          <w:sz w:val="20"/>
        </w:rPr>
        <w:t xml:space="preserve">the Company retired the final $3.5 million principal and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by exchanging such outstanding principal for 239,404 shares of the Company's common stock and by paying the accrued and outstanding interest in 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the "Indenture"), between the Company, as issuer, and Computershare Trust Company, N.A., as trustee.  The </w:t>
      </w:r>
      <w:r>
        <w:rPr>
          <w:rStyle w:val="Emphasis"/>
          <w:rFonts w:ascii="Times New Roman" w:hAnsi="Times New Roman"/>
          <w:caps w:val="false"/>
          <w:smallCaps w:val="false"/>
          <w:sz w:val="20"/>
        </w:rPr>
        <w:t>2030</w:t>
      </w:r>
      <w:r>
        <w:rPr>
          <w:rFonts w:ascii="Times New Roman" w:hAnsi="Times New Roman"/>
          <w:caps w:val="false"/>
          <w:smallCaps w:val="false"/>
          <w:sz w:val="20"/>
        </w:rPr>
        <w:t> Notes bear interest at a rate of 2.75% per year and will pay interest semiannually in arrears on </w:t>
      </w:r>
      <w:r>
        <w:rPr>
          <w:rStyle w:val="Emphasis"/>
          <w:rFonts w:ascii="Times New Roman" w:hAnsi="Times New Roman"/>
          <w:caps w:val="false"/>
          <w:smallCaps w:val="false"/>
          <w:sz w:val="20"/>
        </w:rPr>
        <w:t xml:space="preserve"> January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July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July 15, 2025. </w:t>
      </w: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mature on </w:t>
      </w:r>
      <w:r>
        <w:rPr>
          <w:rStyle w:val="Emphasis"/>
          <w:rFonts w:ascii="Times New Roman" w:hAnsi="Times New Roman"/>
          <w:caps w:val="false"/>
          <w:smallCaps w:val="false"/>
          <w:sz w:val="20"/>
        </w:rPr>
        <w:t xml:space="preserve"> January 15, 2030, </w:t>
      </w:r>
      <w:r>
        <w:rPr>
          <w:rFonts w:ascii="Times New Roman" w:hAnsi="Times New Roman"/>
          <w:caps w:val="false"/>
          <w:smallCaps w:val="false"/>
          <w:sz w:val="20"/>
        </w:rPr>
        <w:t>unless earlier converted, redeemed or repurchased in accordance with their terms.</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The following table presents the carrying value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for the periods indicated (in thousands):</w:t>
      </w:r>
    </w:p>
    <w:p>
      <w:pPr>
        <w:pStyle w:val="TextBody"/>
        <w:bidi w:val="0"/>
        <w:spacing w:before="0" w:after="0"/>
        <w:ind w:left="0" w:right="0" w:firstLine="941"/>
        <w:jc w:val="left"/>
        <w:rPr/>
      </w:pPr>
      <w:r>
        <w:rPr/>
        <w:t>​</w:t>
      </w:r>
    </w:p>
    <w:tbl>
      <w:tblPr>
        <w:tblW w:w="4958" w:type="dxa"/>
        <w:jc w:val="left"/>
        <w:tblInd w:w="0" w:type="dxa"/>
        <w:tblLayout w:type="fixed"/>
        <w:tblCellMar>
          <w:top w:w="0" w:type="dxa"/>
          <w:left w:w="0" w:type="dxa"/>
          <w:bottom w:w="0" w:type="dxa"/>
          <w:right w:w="0" w:type="dxa"/>
        </w:tblCellMar>
      </w:tblPr>
      <w:tblGrid>
        <w:gridCol w:w="2660"/>
        <w:gridCol w:w="60"/>
        <w:gridCol w:w="133"/>
        <w:gridCol w:w="741"/>
        <w:gridCol w:w="80"/>
        <w:gridCol w:w="60"/>
        <w:gridCol w:w="173"/>
        <w:gridCol w:w="971"/>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Notes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Premium upon issuance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8,376</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carrying amount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conversion rate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is 23.0884 shares of Common Stock per </w:t>
      </w:r>
      <w:r>
        <w:rPr>
          <w:rStyle w:val="Emphasis"/>
          <w:rFonts w:ascii="Times New Roman" w:hAnsi="Times New Roman"/>
          <w:caps w:val="false"/>
          <w:smallCaps w:val="false"/>
          <w:sz w:val="20"/>
        </w:rPr>
        <w:t>$1,000</w:t>
      </w:r>
      <w:r>
        <w:rPr>
          <w:rFonts w:ascii="Times New Roman" w:hAnsi="Times New Roman"/>
          <w:caps w:val="false"/>
          <w:smallCaps w:val="false"/>
          <w:sz w:val="20"/>
        </w:rPr>
        <w:t>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(which is equivalent to a conversion price of approximately $43.31 per share of Common Stock, representing a premium of approximately 27.50% over the last reported sale price of the Common Stock 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of $33.97 per share), subject to adjustment. Before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any time at their election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will be redeemable, in whole or in part (subject to certain limitations described in the Indenture), at the Company’s option at any time, and from time to time, on or after </w:t>
      </w:r>
      <w:r>
        <w:rPr>
          <w:rStyle w:val="Emphasis"/>
          <w:rFonts w:ascii="Times New Roman" w:hAnsi="Times New Roman"/>
          <w:caps w:val="false"/>
          <w:smallCaps w:val="false"/>
          <w:sz w:val="20"/>
        </w:rPr>
        <w:t xml:space="preserve">January 15, 2027 </w:t>
      </w:r>
      <w:r>
        <w:rPr>
          <w:rFonts w:ascii="Times New Roman" w:hAnsi="Times New Roman"/>
          <w:caps w:val="false"/>
          <w:smallCaps w:val="false"/>
          <w:sz w:val="20"/>
        </w:rPr>
        <w:t xml:space="preserve">and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xml:space="preserve">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to be redeemed, plus accrued and unpaid interest, if any, to, but excluding, the redemption date, but only if the last reported sale price per share of the Common Stock exceeds 130% of the conversion price on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each of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consecutive, during the 30 consecutive trading days ending on, and including, the trading day immediately before the date the Company sends the related redemption notice; and (</w:t>
      </w:r>
      <w:r>
        <w:rPr>
          <w:rStyle w:val="Emphasis"/>
          <w:rFonts w:ascii="Times New Roman" w:hAnsi="Times New Roman"/>
          <w:caps w:val="false"/>
          <w:smallCaps w:val="false"/>
          <w:sz w:val="20"/>
        </w:rPr>
        <w:t>2</w:t>
      </w:r>
      <w:r>
        <w:rPr>
          <w:rFonts w:ascii="Times New Roman" w:hAnsi="Times New Roman"/>
          <w:caps w:val="false"/>
          <w:smallCaps w:val="false"/>
          <w:sz w:val="20"/>
        </w:rPr>
        <w:t>) the trading day immediately before the date it sends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will be redeemable, in whole or in part, at the Company’s option at any time, and from time to time,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xml:space="preserve">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to be redeemed, plus accrued and unpaid interest, if any, to, but excluding, the redemption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as of the close of business on a record date to receive the related interest payment on the corresponding interest payment date), if the “Specified Divestiture” (as defined in the Indenture)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Calling any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for redemption will constitute a "Make-Whole Fundamental Change" (as defined in the Indenture) with respect to that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in which case the conversion rate applicable to the conversion of that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will be increased in certain circumstances if it is converted after it is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if the Specified Divestiture is completed, then unless the Company has previously elected to redeem all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each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require the Company to repurchase its </w:t>
      </w:r>
      <w:r>
        <w:rPr>
          <w:rStyle w:val="Emphasis"/>
          <w:rFonts w:ascii="Times New Roman" w:hAnsi="Times New Roman"/>
          <w:caps w:val="false"/>
          <w:smallCaps w:val="false"/>
          <w:sz w:val="20"/>
        </w:rPr>
        <w:t>2030</w:t>
      </w:r>
      <w:r>
        <w:rPr>
          <w:rFonts w:ascii="Times New Roman" w:hAnsi="Times New Roman"/>
          <w:caps w:val="false"/>
          <w:smallCaps w:val="false"/>
          <w:sz w:val="20"/>
        </w:rPr>
        <w:t> Notes for cash on a date of the Company’s choosing, which must be a business day that is </w:t>
      </w:r>
      <w:r>
        <w:rPr>
          <w:rStyle w:val="Emphasis"/>
          <w:rFonts w:ascii="Times New Roman" w:hAnsi="Times New Roman"/>
          <w:caps w:val="false"/>
          <w:smallCaps w:val="false"/>
          <w:sz w:val="20"/>
        </w:rPr>
        <w:t>no</w:t>
      </w:r>
      <w:r>
        <w:rPr>
          <w:rFonts w:ascii="Times New Roman" w:hAnsi="Times New Roman"/>
          <w:caps w:val="false"/>
          <w:smallCaps w:val="false"/>
          <w:sz w:val="20"/>
        </w:rPr>
        <w:t> more than </w:t>
      </w:r>
      <w:r>
        <w:rPr>
          <w:rStyle w:val="Emphasis"/>
          <w:rFonts w:ascii="Times New Roman" w:hAnsi="Times New Roman"/>
          <w:caps w:val="false"/>
          <w:smallCaps w:val="false"/>
          <w:sz w:val="20"/>
        </w:rPr>
        <w:t>35,</w:t>
      </w:r>
      <w:r>
        <w:rPr>
          <w:rFonts w:ascii="Times New Roman" w:hAnsi="Times New Roman"/>
          <w:caps w:val="false"/>
          <w:smallCaps w:val="false"/>
          <w:sz w:val="20"/>
        </w:rPr>
        <w:t> nor less than </w:t>
      </w:r>
      <w:r>
        <w:rPr>
          <w:rStyle w:val="Emphasis"/>
          <w:rFonts w:ascii="Times New Roman" w:hAnsi="Times New Roman"/>
          <w:caps w:val="false"/>
          <w:smallCaps w:val="false"/>
          <w:sz w:val="20"/>
        </w:rPr>
        <w:t>20,</w:t>
      </w:r>
      <w:r>
        <w:rPr>
          <w:rFonts w:ascii="Times New Roman" w:hAnsi="Times New Roman"/>
          <w:caps w:val="false"/>
          <w:smallCaps w:val="false"/>
          <w:sz w:val="20"/>
        </w:rPr>
        <w:t> business days after the date the Company’s sends the related notice of Specified Divestiture. The repurchase price for a note tendered for such repurchase will be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if any, to, but excluding, the repurchase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as of the close of business on a record date to receive the related interest payment on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Moreover, if the Company undergoes a fundamental change, as described in the Indenture, 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repurchase for cash all or part of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 repurchase price equal to 100% of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to, but excluding, the required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Additionally,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subject to customary events of default.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do </w:t>
      </w:r>
      <w:r>
        <w:rPr>
          <w:rStyle w:val="Emphasis"/>
          <w:rFonts w:ascii="Times New Roman" w:hAnsi="Times New Roman"/>
          <w:caps w:val="false"/>
          <w:smallCaps w:val="false"/>
          <w:sz w:val="20"/>
        </w:rPr>
        <w:t>not</w:t>
      </w:r>
      <w:r>
        <w:rPr>
          <w:rFonts w:ascii="Times New Roman" w:hAnsi="Times New Roman"/>
          <w:caps w:val="false"/>
          <w:smallCaps w:val="false"/>
          <w:sz w:val="20"/>
        </w:rPr>
        <w:t> restrict the Company’s ability to incur debt or liens. </w:t>
      </w:r>
      <w:r>
        <w:rPr>
          <w:rStyle w:val="Emphasis"/>
          <w:rFonts w:ascii="Times New Roman" w:hAnsi="Times New Roman"/>
          <w:caps w:val="false"/>
          <w:smallCaps w:val="false"/>
          <w:sz w:val="20"/>
        </w:rPr>
        <w:t>No</w:t>
      </w:r>
      <w:r>
        <w:rPr>
          <w:rFonts w:ascii="Times New Roman" w:hAnsi="Times New Roman"/>
          <w:caps w:val="false"/>
          <w:smallCaps w:val="false"/>
          <w:sz w:val="20"/>
        </w:rPr>
        <w:t> sinking fund is provided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There are </w:t>
      </w:r>
      <w:r>
        <w:rPr>
          <w:rStyle w:val="Emphasis"/>
          <w:rFonts w:ascii="Times New Roman" w:hAnsi="Times New Roman"/>
          <w:caps w:val="false"/>
          <w:smallCaps w:val="false"/>
          <w:sz w:val="20"/>
        </w:rPr>
        <w:t>no</w:t>
      </w:r>
      <w:r>
        <w:rPr>
          <w:rFonts w:ascii="Times New Roman" w:hAnsi="Times New Roman"/>
          <w:caps w:val="false"/>
          <w:smallCaps w:val="false"/>
          <w:sz w:val="20"/>
        </w:rPr>
        <w:t> guarantors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meet the requirements of the equity classification guidance. Based upon the Company’s analysis, it was determined the conversion option is indexed to its own stock and also met all the criteria for equity classification.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instrument as a derivative.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the Company further determined that the contingent redemption features in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contract and accounted for separately. Additionally,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Debt with Conversion and Other Options, and determined that the additional premium was </w:t>
      </w:r>
      <w:r>
        <w:rPr>
          <w:rStyle w:val="Emphasis"/>
          <w:rFonts w:ascii="Times New Roman" w:hAnsi="Times New Roman"/>
          <w:caps w:val="false"/>
          <w:smallCaps w:val="false"/>
          <w:sz w:val="20"/>
        </w:rPr>
        <w:t>not</w:t>
      </w:r>
      <w:r>
        <w:rPr>
          <w:rFonts w:ascii="Times New Roman" w:hAnsi="Times New Roman"/>
          <w:caps w:val="false"/>
          <w:smallCaps w:val="false"/>
          <w:sz w:val="20"/>
        </w:rPr>
        <w:t> substantial. Accordingly, that amount was recognized as a premium on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360" w:right="0" w:firstLine="540"/>
        <w:jc w:val="left"/>
        <w:rPr/>
      </w:pPr>
      <w:r>
        <w:rPr/>
        <w:t> </w:t>
      </w:r>
    </w:p>
    <w:p>
      <w:pPr>
        <w:pStyle w:val="TextBody"/>
        <w:bidi w:val="0"/>
        <w:spacing w:before="0" w:after="0"/>
        <w:ind w:left="0" w:right="0" w:firstLine="720"/>
        <w:jc w:val="left"/>
        <w:rPr/>
      </w:pPr>
      <w:r>
        <w:rPr>
          <w:rFonts w:ascii="Times New Roman" w:hAnsi="Times New Roman"/>
          <w:sz w:val="20"/>
        </w:rPr>
        <w:t xml:space="preserve">The following table sets forth interest expense information related to the </w:t>
      </w:r>
      <w:r>
        <w:rPr>
          <w:rStyle w:val="Emphasis"/>
          <w:rFonts w:ascii="Times New Roman" w:hAnsi="Times New Roman"/>
          <w:color w:val="000000"/>
          <w:sz w:val="20"/>
        </w:rPr>
        <w:t>2026</w:t>
      </w:r>
      <w:r>
        <w:rPr>
          <w:rFonts w:ascii="Times New Roman" w:hAnsi="Times New Roman"/>
          <w:color w:val="000000"/>
          <w:sz w:val="20"/>
        </w:rPr>
        <w:t xml:space="preserve"> Notes and </w:t>
      </w:r>
      <w:r>
        <w:rPr>
          <w:rStyle w:val="Emphasis"/>
          <w:rFonts w:ascii="Times New Roman" w:hAnsi="Times New Roman"/>
          <w:color w:val="000000"/>
          <w:sz w:val="20"/>
        </w:rPr>
        <w:t>2030</w:t>
      </w:r>
      <w:r>
        <w:rPr>
          <w:rFonts w:ascii="Times New Roman" w:hAnsi="Times New Roman"/>
          <w:color w:val="000000"/>
          <w:sz w:val="20"/>
        </w:rPr>
        <w:t> Notes (in thousands):</w:t>
      </w:r>
    </w:p>
    <w:p>
      <w:pPr>
        <w:pStyle w:val="TextBody"/>
        <w:bidi w:val="0"/>
        <w:spacing w:before="0" w:after="0"/>
        <w:ind w:left="0" w:right="0" w:firstLine="720"/>
        <w:jc w:val="left"/>
        <w:rPr/>
      </w:pPr>
      <w:r>
        <w:rPr/>
        <w:t> </w:t>
      </w:r>
    </w:p>
    <w:tbl>
      <w:tblPr>
        <w:tblW w:w="5728" w:type="dxa"/>
        <w:jc w:val="left"/>
        <w:tblInd w:w="0" w:type="dxa"/>
        <w:tblLayout w:type="fixed"/>
        <w:tblCellMar>
          <w:top w:w="0" w:type="dxa"/>
          <w:left w:w="0" w:type="dxa"/>
          <w:bottom w:w="0" w:type="dxa"/>
          <w:right w:w="0" w:type="dxa"/>
        </w:tblCellMar>
      </w:tblPr>
      <w:tblGrid>
        <w:gridCol w:w="2900"/>
        <w:gridCol w:w="60"/>
        <w:gridCol w:w="277"/>
        <w:gridCol w:w="743"/>
        <w:gridCol w:w="410"/>
        <w:gridCol w:w="133"/>
        <w:gridCol w:w="277"/>
        <w:gridCol w:w="743"/>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41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41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41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41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6208" w:type="dxa"/>
        <w:jc w:val="left"/>
        <w:tblInd w:w="0" w:type="dxa"/>
        <w:tblLayout w:type="fixed"/>
        <w:tblCellMar>
          <w:top w:w="0" w:type="dxa"/>
          <w:left w:w="0" w:type="dxa"/>
          <w:bottom w:w="0" w:type="dxa"/>
          <w:right w:w="0" w:type="dxa"/>
        </w:tblCellMar>
      </w:tblPr>
      <w:tblGrid>
        <w:gridCol w:w="3020"/>
        <w:gridCol w:w="60"/>
        <w:gridCol w:w="234"/>
        <w:gridCol w:w="1105"/>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shipping and tariff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commission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capital expenditure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1,583</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firstLine="720"/>
        <w:jc w:val="left"/>
        <w:rPr/>
      </w:pPr>
      <w:r>
        <w:rPr/>
        <w:t> </w:t>
      </w:r>
    </w:p>
    <w:tbl>
      <w:tblPr>
        <w:tblW w:w="5532" w:type="dxa"/>
        <w:jc w:val="left"/>
        <w:tblInd w:w="0" w:type="dxa"/>
        <w:tblLayout w:type="fixed"/>
        <w:tblCellMar>
          <w:top w:w="0" w:type="dxa"/>
          <w:left w:w="0" w:type="dxa"/>
          <w:bottom w:w="0" w:type="dxa"/>
          <w:right w:w="0" w:type="dxa"/>
        </w:tblCellMar>
      </w:tblPr>
      <w:tblGrid>
        <w:gridCol w:w="2810"/>
        <w:gridCol w:w="60"/>
        <w:gridCol w:w="254"/>
        <w:gridCol w:w="1109"/>
        <w:gridCol w:w="162"/>
        <w:gridCol w:w="122"/>
        <w:gridCol w:w="254"/>
        <w:gridCol w:w="681"/>
        <w:gridCol w:w="8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6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16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gain</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6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5845" w:type="dxa"/>
        <w:jc w:val="left"/>
        <w:tblInd w:w="0" w:type="dxa"/>
        <w:tblLayout w:type="fixed"/>
        <w:tblCellMar>
          <w:top w:w="0" w:type="dxa"/>
          <w:left w:w="0" w:type="dxa"/>
          <w:bottom w:w="0" w:type="dxa"/>
          <w:right w:w="0" w:type="dxa"/>
        </w:tblCellMar>
      </w:tblPr>
      <w:tblGrid>
        <w:gridCol w:w="60"/>
        <w:gridCol w:w="170"/>
        <w:gridCol w:w="5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615" w:type="dxa"/>
            <w:tcBorders/>
            <w:vAlign w:val="center"/>
          </w:tcPr>
          <w:p>
            <w:pPr>
              <w:pStyle w:val="TableContents"/>
              <w:bidi w:val="0"/>
              <w:spacing w:before="0" w:after="0"/>
              <w:ind w:left="0" w:right="0" w:hanging="0"/>
              <w:jc w:val="left"/>
              <w:rPr/>
            </w:pPr>
            <w:r>
              <w:rPr>
                <w:rFonts w:ascii="Times New Roman" w:hAnsi="Times New Roman"/>
                <w:sz w:val="20"/>
              </w:rPr>
              <w:t xml:space="preserve">the Amended and Restated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has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be granted from these plans.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Performance Based Incentive Plan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Starting in </w:t>
      </w:r>
      <w:r>
        <w:rPr>
          <w:rStyle w:val="Emphasis"/>
          <w:rFonts w:ascii="Times New Roman" w:hAnsi="Times New Roman"/>
          <w:sz w:val="20"/>
        </w:rPr>
        <w:t>2021,</w:t>
      </w:r>
      <w:r>
        <w:rPr>
          <w:rFonts w:ascii="Times New Roman" w:hAnsi="Times New Roman"/>
          <w:sz w:val="20"/>
        </w:rPr>
        <w:t xml:space="preserve"> certain senior executives were granted performance stock units ("PSUs") under our </w:t>
      </w:r>
      <w:r>
        <w:rPr>
          <w:rStyle w:val="Emphasis"/>
          <w:rFonts w:ascii="Times New Roman" w:hAnsi="Times New Roman"/>
          <w:sz w:val="20"/>
        </w:rPr>
        <w:t>2021</w:t>
      </w:r>
      <w:r>
        <w:rPr>
          <w:rFonts w:ascii="Times New Roman" w:hAnsi="Times New Roman"/>
          <w:sz w:val="20"/>
        </w:rPr>
        <w:t xml:space="preserve">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applicable </w:t>
      </w:r>
      <w:r>
        <w:rPr>
          <w:rStyle w:val="Emphasis"/>
          <w:rFonts w:ascii="Times New Roman" w:hAnsi="Times New Roman"/>
          <w:sz w:val="20"/>
        </w:rPr>
        <w:t>three</w:t>
      </w:r>
      <w:r>
        <w:rPr>
          <w:rFonts w:ascii="Times New Roman" w:hAnsi="Times New Roman"/>
          <w:sz w:val="20"/>
        </w:rPr>
        <w:t>-year performance period</w:t>
      </w:r>
      <w:r>
        <w:rPr>
          <w:rFonts w:ascii="Times New Roman" w:hAnsi="Times New Roman"/>
          <w:sz w:val="20"/>
          <w:shd w:fill="FFFFFF" w:val="clear"/>
        </w:rPr>
        <w:t xml:space="preserve">. 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three</w:t>
      </w:r>
      <w:r>
        <w:rPr>
          <w:rFonts w:ascii="Times New Roman" w:hAnsi="Times New Roman"/>
          <w:sz w:val="20"/>
        </w:rPr>
        <w:t> months ended </w:t>
      </w:r>
      <w:r>
        <w:rPr>
          <w:rStyle w:val="Emphasis"/>
          <w:rFonts w:ascii="Times New Roman" w:hAnsi="Times New Roman"/>
          <w:sz w:val="20"/>
        </w:rPr>
        <w:t xml:space="preserve"> March 31,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of $1.9 million and $0.9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following is a summary of PSU activity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March 31, 2026:</w:t>
      </w:r>
    </w:p>
    <w:p>
      <w:pPr>
        <w:pStyle w:val="TextBody"/>
        <w:bidi w:val="0"/>
        <w:spacing w:before="0" w:after="0"/>
        <w:ind w:left="160" w:right="0" w:firstLine="540"/>
        <w:jc w:val="left"/>
        <w:rPr>
          <w:caps w:val="false"/>
          <w:smallCaps w:val="false"/>
        </w:rPr>
      </w:pPr>
      <w:r>
        <w:rPr>
          <w:caps w:val="false"/>
          <w:smallCaps w:val="false"/>
        </w:rPr>
        <w:t> </w:t>
      </w:r>
    </w:p>
    <w:tbl>
      <w:tblPr>
        <w:tblW w:w="7198" w:type="dxa"/>
        <w:jc w:val="left"/>
        <w:tblInd w:w="0" w:type="dxa"/>
        <w:tblLayout w:type="fixed"/>
        <w:tblCellMar>
          <w:top w:w="0" w:type="dxa"/>
          <w:left w:w="0" w:type="dxa"/>
          <w:bottom w:w="0" w:type="dxa"/>
          <w:right w:w="0" w:type="dxa"/>
        </w:tblCellMar>
      </w:tblPr>
      <w:tblGrid>
        <w:gridCol w:w="2555"/>
        <w:gridCol w:w="60"/>
        <w:gridCol w:w="111"/>
        <w:gridCol w:w="924"/>
        <w:gridCol w:w="69"/>
        <w:gridCol w:w="69"/>
        <w:gridCol w:w="195"/>
        <w:gridCol w:w="754"/>
        <w:gridCol w:w="69"/>
        <w:gridCol w:w="69"/>
        <w:gridCol w:w="222"/>
        <w:gridCol w:w="866"/>
        <w:gridCol w:w="69"/>
        <w:gridCol w:w="69"/>
        <w:gridCol w:w="157"/>
        <w:gridCol w:w="880"/>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right"/>
              <w:rPr/>
            </w:pPr>
            <w:r>
              <w:rPr/>
              <w:t> </w:t>
            </w:r>
          </w:p>
        </w:tc>
        <w:tc>
          <w:tcPr>
            <w:tcW w:w="949"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b/>
                <w:sz w:val="20"/>
              </w:rPr>
              <w:t>Weighted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283"/>
              <w:jc w:val="lef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 and Contractual Life)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69"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ind w:left="0" w:right="0" w:hanging="0"/>
              <w:jc w:val="right"/>
              <w:rPr/>
            </w:pPr>
            <w:r>
              <w:rPr/>
              <w:t> </w:t>
            </w:r>
          </w:p>
        </w:tc>
        <w:tc>
          <w:tcPr>
            <w:tcW w:w="754" w:type="dxa"/>
            <w:tcBorders/>
            <w:shd w:fill="CCEEFF" w:val="clear"/>
            <w:vAlign w:val="center"/>
          </w:tcPr>
          <w:p>
            <w:pPr>
              <w:pStyle w:val="TableContents"/>
              <w:bidi w:val="0"/>
              <w:spacing w:before="0" w:after="283"/>
              <w:ind w:left="0" w:right="0" w:hanging="0"/>
              <w:jc w:val="right"/>
              <w:rPr/>
            </w:pPr>
            <w:r>
              <w:rPr>
                <w:rStyle w:val="Emphasis"/>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41,442</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69"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ind w:left="0" w:right="0" w:hanging="0"/>
              <w:jc w:val="right"/>
              <w:rPr/>
            </w:pPr>
            <w:r>
              <w:rPr/>
              <w:t> </w:t>
            </w:r>
          </w:p>
        </w:tc>
        <w:tc>
          <w:tcPr>
            <w:tcW w:w="754" w:type="dxa"/>
            <w:tcBorders/>
            <w:shd w:fill="FFFFFF" w:val="clear"/>
            <w:vAlign w:val="center"/>
          </w:tcPr>
          <w:p>
            <w:pPr>
              <w:pStyle w:val="TableContents"/>
              <w:bidi w:val="0"/>
              <w:spacing w:before="0" w:after="283"/>
              <w:ind w:left="0" w:right="0" w:hanging="0"/>
              <w:jc w:val="right"/>
              <w:rPr/>
            </w:pPr>
            <w:r>
              <w:rPr>
                <w:rStyle w:val="Emphasis"/>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ind w:left="0" w:right="0" w:hanging="0"/>
              <w:jc w:val="right"/>
              <w:rPr/>
            </w:pPr>
            <w:r>
              <w:rPr/>
              <w:t> </w:t>
            </w:r>
          </w:p>
        </w:tc>
        <w:tc>
          <w:tcPr>
            <w:tcW w:w="754" w:type="dxa"/>
            <w:tcBorders/>
            <w:shd w:fill="CCEEFF" w:val="clear"/>
            <w:vAlign w:val="center"/>
          </w:tcPr>
          <w:p>
            <w:pPr>
              <w:pStyle w:val="TableContents"/>
              <w:bidi w:val="0"/>
              <w:spacing w:before="0" w:after="283"/>
              <w:ind w:left="0" w:right="0" w:hanging="0"/>
              <w:jc w:val="right"/>
              <w:rPr/>
            </w:pPr>
            <w:r>
              <w:rPr>
                <w:rStyle w:val="Emphasis"/>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righ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March 31, 2026</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w:t>
            </w:r>
          </w:p>
        </w:tc>
        <w:tc>
          <w:tcPr>
            <w:tcW w:w="69"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righ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114,988</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w:t>
            </w:r>
          </w:p>
        </w:tc>
        <w:tc>
          <w:tcPr>
            <w:tcW w:w="69"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ind w:left="0" w:right="0" w:hanging="0"/>
              <w:jc w:val="right"/>
              <w:rPr/>
            </w:pPr>
            <w:r>
              <w:rPr/>
              <w:t> </w:t>
            </w:r>
          </w:p>
        </w:tc>
        <w:tc>
          <w:tcPr>
            <w:tcW w:w="754" w:type="dxa"/>
            <w:tcBorders/>
            <w:shd w:fill="FFFFFF" w:val="clear"/>
            <w:vAlign w:val="center"/>
          </w:tcPr>
          <w:p>
            <w:pPr>
              <w:pStyle w:val="TableContents"/>
              <w:bidi w:val="0"/>
              <w:spacing w:before="0" w:after="283"/>
              <w:ind w:left="0" w:right="0" w:hanging="0"/>
              <w:jc w:val="right"/>
              <w:rPr/>
            </w:pPr>
            <w:r>
              <w:rPr>
                <w:rStyle w:val="Emphasis"/>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114,988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2026</w:t>
      </w:r>
      <w:r>
        <w:rPr>
          <w:rFonts w:ascii="Times New Roman" w:hAnsi="Times New Roman"/>
          <w:sz w:val="20"/>
        </w:rPr>
        <w:t>, there was $18.9 million of unrecognized stock-based compensation expense related to outstanding PSUs, which expense is expected to be recognized over 2.6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Restricted stock units are issued to employees through a vesting plan and distribution schedule after employee remains with the Company for a particular length of time. 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047" w:type="dxa"/>
        <w:jc w:val="left"/>
        <w:tblInd w:w="0" w:type="dxa"/>
        <w:tblLayout w:type="fixed"/>
        <w:tblCellMar>
          <w:top w:w="0" w:type="dxa"/>
          <w:left w:w="0" w:type="dxa"/>
          <w:bottom w:w="0" w:type="dxa"/>
          <w:right w:w="0" w:type="dxa"/>
        </w:tblCellMar>
      </w:tblPr>
      <w:tblGrid>
        <w:gridCol w:w="2405"/>
        <w:gridCol w:w="60"/>
        <w:gridCol w:w="96"/>
        <w:gridCol w:w="793"/>
        <w:gridCol w:w="80"/>
        <w:gridCol w:w="60"/>
        <w:gridCol w:w="304"/>
        <w:gridCol w:w="930"/>
        <w:gridCol w:w="60"/>
        <w:gridCol w:w="60"/>
        <w:gridCol w:w="231"/>
        <w:gridCol w:w="898"/>
        <w:gridCol w:w="60"/>
        <w:gridCol w:w="60"/>
        <w:gridCol w:w="135"/>
        <w:gridCol w:w="755"/>
        <w:gridCol w:w="6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January 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50,964</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18,621</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11,365</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March 31,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135,468</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2026</w:t>
      </w:r>
      <w:r>
        <w:rPr>
          <w:rFonts w:ascii="Times New Roman" w:hAnsi="Times New Roman"/>
          <w:sz w:val="20"/>
        </w:rPr>
        <w:t>, there was</w:t>
      </w:r>
      <w:r>
        <w:rPr>
          <w:rFonts w:ascii="Times New Roman" w:hAnsi="Times New Roman"/>
          <w:sz w:val="20"/>
          <w:shd w:fill="FFFFFF" w:val="clear"/>
        </w:rPr>
        <w:t xml:space="preserve"> $26.7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shd w:fill="FFFFFF" w:val="clear"/>
        </w:rPr>
        <w:t>3.2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firstLine="720"/>
        <w:jc w:val="left"/>
        <w:rPr/>
      </w:pPr>
      <w:r>
        <w:rPr/>
        <w:t> </w:t>
      </w:r>
    </w:p>
    <w:tbl>
      <w:tblPr>
        <w:tblW w:w="5527" w:type="dxa"/>
        <w:jc w:val="left"/>
        <w:tblInd w:w="0" w:type="dxa"/>
        <w:tblLayout w:type="fixed"/>
        <w:tblCellMar>
          <w:top w:w="0" w:type="dxa"/>
          <w:left w:w="0" w:type="dxa"/>
          <w:bottom w:w="0" w:type="dxa"/>
          <w:right w:w="0" w:type="dxa"/>
        </w:tblCellMar>
      </w:tblPr>
      <w:tblGrid>
        <w:gridCol w:w="3725"/>
        <w:gridCol w:w="60"/>
        <w:gridCol w:w="157"/>
        <w:gridCol w:w="609"/>
        <w:gridCol w:w="75"/>
        <w:gridCol w:w="75"/>
        <w:gridCol w:w="157"/>
        <w:gridCol w:w="609"/>
        <w:gridCol w:w="60"/>
      </w:tblGrid>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 by expense types</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xml:space="preserve">  Income Taxes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the Company recorded an income tax expense of $1.0 million, compared with no income tax expense or benefit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2025.  </w:t>
      </w:r>
      <w:r>
        <w:rPr>
          <w:rFonts w:ascii="Times New Roman;Times;serif" w:hAnsi="Times New Roman;Times;serif"/>
          <w:sz w:val="20"/>
        </w:rPr>
        <w:t>The income tax expense for the current period was primarily attributable to income in foreign jurisdictions, as well as the impact of valuation allowances and discrete items.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the effective tax rate of (7.9)% and 0.0% differed from the U.S. federal statutory rate of 21%, primarily due to the impact of valuation allowances recorded against deferred tax assets ("DTA") in the United States and Taiwan.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 assesses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Times;serif" w:hAnsi="Times New Roman;Times;serif"/>
          <w:sz w:val="20"/>
        </w:rPr>
        <w:t>not”</w:t>
      </w:r>
      <w:r>
        <w:rPr>
          <w:rFonts w:ascii="Times New Roman;Times;serif" w:hAnsi="Times New Roman;Times;serif"/>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US and Taiwan net deferred tax assets remains appropriate as of </w:t>
      </w:r>
      <w:r>
        <w:rPr>
          <w:rStyle w:val="Emphasis"/>
          <w:rFonts w:ascii="Times New Roman;Times;serif" w:hAnsi="Times New Roman;Times;serif"/>
          <w:sz w:val="20"/>
        </w:rPr>
        <w:t xml:space="preserve"> March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expects any earnings of foreign subsidiaries to be indefinitely invested outside the United States.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however, the Company does not have any accumulated undistributed earnings generated by foreign subsidiaries and has estimated that its tax basis in foreign subsidiaries exceeds its book basis. The Company has concluded that </w:t>
      </w:r>
      <w:r>
        <w:rPr>
          <w:rStyle w:val="Emphasis"/>
          <w:rFonts w:ascii="Times New Roman" w:hAnsi="Times New Roman"/>
          <w:caps w:val="false"/>
          <w:smallCaps w:val="false"/>
          <w:sz w:val="20"/>
        </w:rPr>
        <w:t>no</w:t>
      </w:r>
      <w:r>
        <w:rPr>
          <w:rFonts w:ascii="Times New Roman" w:hAnsi="Times New Roman"/>
          <w:caps w:val="false"/>
          <w:smallCaps w:val="false"/>
          <w:sz w:val="20"/>
        </w:rPr>
        <w:t> deferred tax asset (DTA) should be recorded because at the present time it does </w:t>
      </w:r>
      <w:r>
        <w:rPr>
          <w:rStyle w:val="Emphasis"/>
          <w:rFonts w:ascii="Times New Roman" w:hAnsi="Times New Roman"/>
          <w:caps w:val="false"/>
          <w:smallCaps w:val="false"/>
          <w:sz w:val="20"/>
        </w:rPr>
        <w:t>not</w:t>
      </w:r>
      <w:r>
        <w:rPr>
          <w:rFonts w:ascii="Times New Roman" w:hAnsi="Times New Roman"/>
          <w:caps w:val="false"/>
          <w:smallCaps w:val="false"/>
          <w:sz w:val="20"/>
        </w:rPr>
        <w:t> expect that the temporary book-tax basis difference that would create this DTA will reverse in the foreseeable future.</w:t>
      </w:r>
    </w:p>
    <w:p>
      <w:pPr>
        <w:pStyle w:val="TextBody"/>
        <w:bidi w:val="0"/>
        <w:spacing w:before="0" w:after="0"/>
        <w:ind w:left="0" w:right="0" w:hanging="180"/>
        <w:jc w:val="left"/>
        <w:rPr/>
      </w:pPr>
      <w:r>
        <w:rPr/>
        <w:t> </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xml:space="preserve"> Segment and Geographic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w:t>
      </w:r>
      <w:r>
        <w:rPr>
          <w:rStyle w:val="Emphasis"/>
          <w:rFonts w:ascii="Times New Roman" w:hAnsi="Times New Roman"/>
          <w:caps w:val="false"/>
          <w:smallCaps w:val="false"/>
          <w:sz w:val="20"/>
        </w:rPr>
        <w:t>not</w:t>
      </w:r>
      <w:r>
        <w:rPr>
          <w:rFonts w:ascii="Times New Roman" w:hAnsi="Times New Roman"/>
          <w:caps w:val="false"/>
          <w:smallCaps w:val="false"/>
          <w:sz w:val="20"/>
        </w:rPr>
        <w:t> have individual financial or operating goals for each location, nor for any other subset of the Company's operations. As such, the Company has determined it operates as </w:t>
      </w:r>
      <w:r>
        <w:rPr>
          <w:rStyle w:val="Emphasis"/>
          <w:rFonts w:ascii="Times New Roman" w:hAnsi="Times New Roman"/>
          <w:caps w:val="false"/>
          <w:smallCaps w:val="false"/>
          <w:sz w:val="20"/>
        </w:rPr>
        <w:t>one</w:t>
      </w:r>
      <w:r>
        <w:rPr>
          <w:rFonts w:ascii="Times New Roman" w:hAnsi="Times New Roman"/>
          <w:caps w:val="false"/>
          <w:smallCaps w:val="false"/>
          <w:sz w:val="20"/>
        </w:rPr>
        <w:t> reportable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CODM uses net income or loss to allocate resources and assess performance. The CODM regularly reviews the consolidated net income or loss to make strategic decisions, such as capital expenditure plan, production plan and manpower allocation. The following table is in thousands.</w:t>
      </w:r>
    </w:p>
    <w:p>
      <w:pPr>
        <w:pStyle w:val="TextBody"/>
        <w:bidi w:val="0"/>
        <w:spacing w:before="0" w:after="0"/>
        <w:ind w:left="0" w:right="0" w:firstLine="720"/>
        <w:jc w:val="left"/>
        <w:rPr>
          <w:caps w:val="false"/>
          <w:smallCaps w:val="false"/>
        </w:rPr>
      </w:pPr>
      <w:r>
        <w:rPr>
          <w:caps w:val="false"/>
          <w:smallCaps w:val="false"/>
        </w:rPr>
        <w:t> </w:t>
      </w:r>
    </w:p>
    <w:tbl>
      <w:tblPr>
        <w:tblW w:w="5681" w:type="dxa"/>
        <w:jc w:val="left"/>
        <w:tblInd w:w="0" w:type="dxa"/>
        <w:tblLayout w:type="fixed"/>
        <w:tblCellMar>
          <w:top w:w="0" w:type="dxa"/>
          <w:left w:w="0" w:type="dxa"/>
          <w:bottom w:w="0" w:type="dxa"/>
          <w:right w:w="0" w:type="dxa"/>
        </w:tblCellMar>
      </w:tblPr>
      <w:tblGrid>
        <w:gridCol w:w="2960"/>
        <w:gridCol w:w="60"/>
        <w:gridCol w:w="192"/>
        <w:gridCol w:w="1072"/>
        <w:gridCol w:w="123"/>
        <w:gridCol w:w="92"/>
        <w:gridCol w:w="192"/>
        <w:gridCol w:w="910"/>
        <w:gridCol w:w="80"/>
      </w:tblGrid>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151,144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107,228</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69,232</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research and development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17,535</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sales and marketing</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5,896</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general and administrative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20,273</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12,888</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4,342</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sz w:val="20"/>
        </w:rPr>
        <w:t xml:space="preserve">We exclude share-based compensation and related expense, certain legal expenses associated with litigation and other </w:t>
      </w:r>
      <w:r>
        <w:rPr>
          <w:rStyle w:val="Emphasis"/>
          <w:rFonts w:ascii="Times New Roman" w:hAnsi="Times New Roman"/>
          <w:sz w:val="20"/>
        </w:rPr>
        <w:t>one</w:t>
      </w:r>
      <w:r>
        <w:rPr>
          <w:rFonts w:ascii="Times New Roman" w:hAnsi="Times New Roman"/>
          <w:sz w:val="20"/>
        </w:rPr>
        <w:t>-time expenses from adjusted research and development, adjusted sales and marketing and adjusted general and administrative expenses.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Other segment items include share-based compensation expense, interest expense, interest income, certain legal expenses associated with litigation and other </w:t>
      </w:r>
      <w:r>
        <w:rPr>
          <w:rStyle w:val="Emphasis"/>
          <w:rFonts w:ascii="Times New Roman" w:hAnsi="Times New Roman"/>
          <w:sz w:val="20"/>
        </w:rPr>
        <w:t>one</w:t>
      </w:r>
      <w:r>
        <w:rPr>
          <w:rFonts w:ascii="Times New Roman" w:hAnsi="Times New Roman"/>
          <w:sz w:val="20"/>
        </w:rPr>
        <w:t>-time items. </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property, plant, equipment, land use rights, right of use assets and intangible assets (in thousands):</w:t>
      </w:r>
    </w:p>
    <w:p>
      <w:pPr>
        <w:pStyle w:val="TextBody"/>
        <w:bidi w:val="0"/>
        <w:spacing w:before="0" w:after="0"/>
        <w:ind w:left="0" w:right="0" w:firstLine="720"/>
        <w:jc w:val="left"/>
        <w:rPr/>
      </w:pPr>
      <w:r>
        <w:rPr/>
        <w:t> </w:t>
      </w:r>
    </w:p>
    <w:tbl>
      <w:tblPr>
        <w:tblW w:w="3802" w:type="dxa"/>
        <w:jc w:val="left"/>
        <w:tblInd w:w="0" w:type="dxa"/>
        <w:tblLayout w:type="fixed"/>
        <w:tblCellMar>
          <w:top w:w="0" w:type="dxa"/>
          <w:left w:w="0" w:type="dxa"/>
          <w:bottom w:w="0" w:type="dxa"/>
          <w:right w:w="0" w:type="dxa"/>
        </w:tblCellMar>
      </w:tblPr>
      <w:tblGrid>
        <w:gridCol w:w="1100"/>
        <w:gridCol w:w="60"/>
        <w:gridCol w:w="195"/>
        <w:gridCol w:w="1085"/>
        <w:gridCol w:w="93"/>
        <w:gridCol w:w="93"/>
        <w:gridCol w:w="195"/>
        <w:gridCol w:w="921"/>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80" w:type="dxa"/>
            <w:gridSpan w:val="2"/>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80,938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70,881</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69,329</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27,828</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151,144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3763" w:type="dxa"/>
        <w:jc w:val="left"/>
        <w:tblInd w:w="0" w:type="dxa"/>
        <w:tblLayout w:type="fixed"/>
        <w:tblCellMar>
          <w:top w:w="0" w:type="dxa"/>
          <w:left w:w="0" w:type="dxa"/>
          <w:bottom w:w="0" w:type="dxa"/>
          <w:right w:w="0" w:type="dxa"/>
        </w:tblCellMar>
      </w:tblPr>
      <w:tblGrid>
        <w:gridCol w:w="1505"/>
        <w:gridCol w:w="60"/>
        <w:gridCol w:w="133"/>
        <w:gridCol w:w="741"/>
        <w:gridCol w:w="60"/>
        <w:gridCol w:w="60"/>
        <w:gridCol w:w="173"/>
        <w:gridCol w:w="971"/>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7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125,200</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146,673</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162,322</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xml:space="preserve">  Commitments and Contingencies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The Company believes that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claims or actions pending or threatened against it, the ultimate disposition of which would have a material adverse effect on 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9, 2021, </w:t>
      </w:r>
      <w:r>
        <w:rPr>
          <w:rFonts w:ascii="Times New Roman" w:hAnsi="Times New Roman"/>
          <w:caps w:val="false"/>
          <w:smallCaps w:val="false"/>
          <w:sz w:val="20"/>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rPr>
        <w:t>2016</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informing the Company that the Comptroller believes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but challenged the remaining tax assessments and vigorously defended its position. The Comptroller’s office exhausted its redetermination period and therefore moved the Company’s case to the hearing process.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hearing date has yet been scheduled, and as a result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sales tax dispute or the likelihood or amount of the Company’s loss, if any, arising from this matter.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United States Supreme Court issued a ruling invalidating certain tariffs previously imposed under the International Emergency Economic Powers Act (“IEEPA”). Following this ruling, the U.S. Court of International Trade issued an order directing U.S. Customs and Border Protection (“CBP”) to establish a process for the submission and review of refund claims related to affected IEEPA tariffs. On </w:t>
      </w:r>
      <w:r>
        <w:rPr>
          <w:rStyle w:val="Emphasis"/>
          <w:rFonts w:ascii="Times New Roman" w:hAnsi="Times New Roman"/>
          <w:caps w:val="false"/>
          <w:smallCaps w:val="false"/>
          <w:sz w:val="20"/>
        </w:rPr>
        <w:t xml:space="preserve">April 20, 2026, </w:t>
      </w:r>
      <w:r>
        <w:rPr>
          <w:rFonts w:ascii="Times New Roman" w:hAnsi="Times New Roman"/>
          <w:caps w:val="false"/>
          <w:smallCaps w:val="false"/>
          <w:sz w:val="20"/>
        </w:rPr>
        <w:t xml:space="preserve">CBP launched an online portal through which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submit IEEPA tariff refund requests. On </w:t>
      </w:r>
      <w:r>
        <w:rPr>
          <w:rStyle w:val="Emphasis"/>
          <w:rFonts w:ascii="Times New Roman" w:hAnsi="Times New Roman"/>
          <w:caps w:val="false"/>
          <w:smallCaps w:val="false"/>
          <w:sz w:val="20"/>
        </w:rPr>
        <w:t xml:space="preserve">April 29, </w:t>
      </w:r>
      <w:r>
        <w:rPr>
          <w:rFonts w:ascii="Times New Roman" w:hAnsi="Times New Roman"/>
          <w:caps w:val="false"/>
          <w:smallCaps w:val="false"/>
          <w:sz w:val="20"/>
        </w:rPr>
        <w:t xml:space="preserve">the Company submitted refund claims totaling $5.7 million. Submitted claims are subject to review and validation by CBP, and while the vast majority of these claims are unliquidated, the approval, timing, and amount of any refunds remain subject to CBP determination. Because of these uncertainties, the Company cannot reasonably estimate the amount or timing of any refund and therefore it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a receivable as of </w:t>
      </w:r>
      <w:r>
        <w:rPr>
          <w:rStyle w:val="Emphasis"/>
          <w:rFonts w:ascii="Times New Roman" w:hAnsi="Times New Roman"/>
          <w:caps w:val="false"/>
          <w:smallCaps w:val="false"/>
          <w:sz w:val="20"/>
        </w:rPr>
        <w:t>March 31, 2026e.</w:t>
      </w:r>
      <w:r>
        <w:rPr>
          <w:rFonts w:ascii="Times New Roman" w:hAnsi="Times New Roman"/>
          <w:caps w:val="false"/>
          <w:smallCaps w:val="false"/>
          <w:sz w:val="20"/>
        </w:rPr>
        <w:t xml:space="preserve"> The Company will continue to evaluate new information and will recognize the refund when the requirements under ASC </w:t>
      </w:r>
      <w:r>
        <w:rPr>
          <w:rStyle w:val="Emphasis"/>
          <w:rFonts w:ascii="Times New Roman" w:hAnsi="Times New Roman"/>
          <w:caps w:val="false"/>
          <w:smallCaps w:val="false"/>
          <w:sz w:val="20"/>
        </w:rPr>
        <w:t>450,</w:t>
      </w:r>
      <w:r>
        <w:rPr>
          <w:rFonts w:ascii="Times New Roman" w:hAnsi="Times New Roman"/>
          <w:caps w:val="false"/>
          <w:smallCaps w:val="false"/>
          <w:sz w:val="20"/>
        </w:rPr>
        <w:t xml:space="preserve"> Contingencies, have been met.</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7, 2026, </w:t>
      </w:r>
      <w:r>
        <w:rPr>
          <w:rFonts w:ascii="Times New Roman" w:hAnsi="Times New Roman"/>
          <w:caps w:val="false"/>
          <w:smallCaps w:val="false"/>
          <w:sz w:val="20"/>
        </w:rPr>
        <w:t xml:space="preserve">the Company entered into a Purchase and Sale Agreement with SRPF D/Kirby Industrial, L.P. (the “Seller”), pursuant to which the Company agreed to acquire from the Seller certain real property and improvements located at </w:t>
      </w:r>
      <w:r>
        <w:rPr>
          <w:rStyle w:val="Emphasis"/>
          <w:rFonts w:ascii="Times New Roman" w:hAnsi="Times New Roman"/>
          <w:caps w:val="false"/>
          <w:smallCaps w:val="false"/>
          <w:sz w:val="20"/>
        </w:rPr>
        <w:t>14621</w:t>
      </w:r>
      <w:r>
        <w:rPr>
          <w:rFonts w:ascii="Times New Roman" w:hAnsi="Times New Roman"/>
          <w:caps w:val="false"/>
          <w:smallCaps w:val="false"/>
          <w:sz w:val="20"/>
        </w:rPr>
        <w:t xml:space="preserve"> Kirby Drive, Pearland, Texas </w:t>
      </w:r>
      <w:r>
        <w:rPr>
          <w:rStyle w:val="Emphasis"/>
          <w:rFonts w:ascii="Times New Roman" w:hAnsi="Times New Roman"/>
          <w:caps w:val="false"/>
          <w:smallCaps w:val="false"/>
          <w:sz w:val="20"/>
        </w:rPr>
        <w:t>77047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11555</w:t>
      </w:r>
      <w:r>
        <w:rPr>
          <w:rFonts w:ascii="Times New Roman" w:hAnsi="Times New Roman"/>
          <w:caps w:val="false"/>
          <w:smallCaps w:val="false"/>
          <w:sz w:val="20"/>
        </w:rPr>
        <w:t xml:space="preserve"> North Spectrum Boulevard, Pearland, Texas </w:t>
      </w:r>
      <w:r>
        <w:rPr>
          <w:rStyle w:val="Emphasis"/>
          <w:rFonts w:ascii="Times New Roman" w:hAnsi="Times New Roman"/>
          <w:caps w:val="false"/>
          <w:smallCaps w:val="false"/>
          <w:sz w:val="20"/>
        </w:rPr>
        <w:t>77047,</w:t>
      </w:r>
      <w:r>
        <w:rPr>
          <w:rFonts w:ascii="Times New Roman" w:hAnsi="Times New Roman"/>
          <w:caps w:val="false"/>
          <w:smallCaps w:val="false"/>
          <w:sz w:val="20"/>
        </w:rPr>
        <w:t xml:space="preserve"> consisting of approximately 388,133 square feet in the aggregate, together with certain related personal property, intangible personal property, and assignable contract rights relating thereto (collectively, the “Property”), for a total purchase price of approximately </w:t>
      </w:r>
      <w:r>
        <w:rPr>
          <w:rStyle w:val="Emphasis"/>
          <w:rFonts w:ascii="Times New Roman" w:hAnsi="Times New Roman"/>
          <w:caps w:val="false"/>
          <w:smallCaps w:val="false"/>
          <w:sz w:val="20"/>
        </w:rPr>
        <w:t>$58.4</w:t>
      </w:r>
      <w:r>
        <w:rPr>
          <w:rFonts w:ascii="Times New Roman" w:hAnsi="Times New Roman"/>
          <w:caps w:val="false"/>
          <w:smallCaps w:val="false"/>
          <w:sz w:val="20"/>
        </w:rPr>
        <w:t xml:space="preserve"> million. The Company intends to use the Property for office, warehouse, manufacturing, and assembly purposes.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29, 2026, </w:t>
      </w:r>
      <w:r>
        <w:rPr>
          <w:rFonts w:ascii="Times New Roman" w:hAnsi="Times New Roman"/>
          <w:caps w:val="false"/>
          <w:smallCaps w:val="false"/>
          <w:sz w:val="20"/>
        </w:rPr>
        <w:t>the Company’s subsidiary, Global, entered into a new loan agreement with Bank of China Ningbo Yinzhou Branch for 100,000,000 RMB or approximately $14.6 million.</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2026 and the audited consolidated financial statements and notes thereto and management’s discussion and analysis of financial condition and results of operations for the fiscal year ended December 31, 2025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those discussed in other documents we file with the SEC, including our Report on Form 10-K for the year ended December 31, 2025 and subsequent Quarterly Reports on Form 10-Q, and geopolitical tensions and conflicts, including with respect to international trade policies in areas such as tariffs and export controls.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vertically integrated manufacturing model provides us several advantages, including rapid product development, fast response times to customer requests and control over product quality and manufacturing costs. </w:t>
      </w:r>
    </w:p>
    <w:p>
      <w:pPr>
        <w:pStyle w:val="TextBody"/>
        <w:bidi w:val="0"/>
        <w:ind w:left="0" w:right="0" w:firstLine="72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Networks ("PON")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transceivers for the internet data center market,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We also manufacture CATV outdoor equipment including amplifiers. In our China facility, we do certain assembly operations on various products, including some optical subassemblies and transceivers for the CATV transmitters (at the headend), some CATV outdoor equipment and transceivers for our internet data center market. The extent of the assembly operations in our China facility do not always establish the country of origin for these products as China for U.S. tariff purposes. Each manufacturing facility conducts testing on the components, modules or subsystems it manufactures and each facility is certified to ISO 9001:2015. Our facilities in Ningbo, China, Taipei, Taiwan, and Sugar Land, Texas are all certified to ISO 14001:2015.</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and Other Matters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Recent developments in global trade policy, including the imposition of new and increased tariffs and export restrictions by the United States and certain foreign governments, have increased uncertainty in the global economic environment.  In particular, ongoing trade tensions between the United States and China, as well as other key markets such as Taiwan, have resulted in higher tariffs and the potential for additional restrictions affecting the semiconductor industry.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developments have increased our costs for materials, components, and finished goods and may continue to disrupt our supply chain and manufacturing operations.  In addition, uncertainty related to trade policies and geopolitical conditions may adversely affect customer demand, including demand from hyperscale data center customers, and could result in delays or reductions in customer orders.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February 2026, the U.S. Supreme Court held that tariffs imposed under the International Emergency Economic Powers Act (“IEEPA”) were unlawful, and the U.S. Customs and Border Protection subsequently announced IEEPA-based tariff provisions would be terminated effective February 24,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quarter ended March 31, 2026, the Company entered into a Grant Agreement (the “Grant Agreement”) with the State of Texas, acting through the Office of the Governor's Texas CHIPS Office, under the Texas Semiconductor Innovation Fund. Under the Grant Agreement, the Company is eligible to receive cost-reimbursement of up to approximately $20.9 million for equipment expenditures related to the expansion of its semiconductor manufacturing and research and development capabilities in Sugar Land, Texas. The Grant Agreement terminates on December 31, 2027, or upon the earlier completion of the grant project or depletion of grant funds. The project is anticipated to create approximately 500 new full-time jobs.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Receipt of funding under the Grant Agreement is subject to the Company’s compliance with specified program requirements and approval of qualifying expenditures by the Office of the Governor.  As of March 31, 2026, no amounts have been recognized in the Company’s financial statements.  The Company expects to recognize any funding received under the program as qualifying expenditures are incurred and the related conditions are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continue to monitor these developments and have implemented mitigation strategies, including pricing adjustments, supply chain diversification, and operational efficiencies.  However, these efforts may not fully offset the impact of increased costs or supply disruptions.  Accordingly, these conditions could materially and adversely affect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consolidated results of operations for the periods presented and as a percentage of our revenue for those periods (in thousands, except percentages):</w:t>
      </w:r>
    </w:p>
    <w:p>
      <w:pPr>
        <w:pStyle w:val="TextBody"/>
        <w:bidi w:val="0"/>
        <w:spacing w:before="0" w:after="0"/>
        <w:ind w:left="0" w:right="0" w:firstLine="720"/>
        <w:jc w:val="left"/>
        <w:rPr/>
      </w:pPr>
      <w:r>
        <w:rPr/>
        <w:t> </w:t>
      </w:r>
    </w:p>
    <w:tbl>
      <w:tblPr>
        <w:tblW w:w="6250" w:type="dxa"/>
        <w:jc w:val="left"/>
        <w:tblInd w:w="0" w:type="dxa"/>
        <w:tblLayout w:type="fixed"/>
        <w:tblCellMar>
          <w:top w:w="0" w:type="dxa"/>
          <w:left w:w="0" w:type="dxa"/>
          <w:bottom w:w="0" w:type="dxa"/>
          <w:right w:w="0" w:type="dxa"/>
        </w:tblCellMar>
      </w:tblPr>
      <w:tblGrid>
        <w:gridCol w:w="2735"/>
        <w:gridCol w:w="60"/>
        <w:gridCol w:w="125"/>
        <w:gridCol w:w="695"/>
        <w:gridCol w:w="80"/>
        <w:gridCol w:w="60"/>
        <w:gridCol w:w="60"/>
        <w:gridCol w:w="485"/>
        <w:gridCol w:w="245"/>
        <w:gridCol w:w="60"/>
        <w:gridCol w:w="125"/>
        <w:gridCol w:w="590"/>
        <w:gridCol w:w="80"/>
        <w:gridCol w:w="60"/>
        <w:gridCol w:w="60"/>
        <w:gridCol w:w="48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2026 and 2025 (in thousands, except percentages):</w:t>
      </w:r>
    </w:p>
    <w:p>
      <w:pPr>
        <w:pStyle w:val="TextBody"/>
        <w:bidi w:val="0"/>
        <w:spacing w:before="0" w:after="0"/>
        <w:ind w:left="0" w:right="0" w:firstLine="720"/>
        <w:jc w:val="left"/>
        <w:rPr/>
      </w:pPr>
      <w:r>
        <w:rPr/>
        <w:t> </w:t>
      </w:r>
    </w:p>
    <w:tbl>
      <w:tblPr>
        <w:tblW w:w="6790" w:type="dxa"/>
        <w:jc w:val="left"/>
        <w:tblInd w:w="0" w:type="dxa"/>
        <w:tblLayout w:type="fixed"/>
        <w:tblCellMar>
          <w:top w:w="0" w:type="dxa"/>
          <w:left w:w="0" w:type="dxa"/>
          <w:bottom w:w="0" w:type="dxa"/>
          <w:right w:w="0" w:type="dxa"/>
        </w:tblCellMar>
      </w:tblPr>
      <w:tblGrid>
        <w:gridCol w:w="1340"/>
        <w:gridCol w:w="60"/>
        <w:gridCol w:w="125"/>
        <w:gridCol w:w="695"/>
        <w:gridCol w:w="60"/>
        <w:gridCol w:w="60"/>
        <w:gridCol w:w="81"/>
        <w:gridCol w:w="659"/>
        <w:gridCol w:w="185"/>
        <w:gridCol w:w="60"/>
        <w:gridCol w:w="125"/>
        <w:gridCol w:w="590"/>
        <w:gridCol w:w="60"/>
        <w:gridCol w:w="60"/>
        <w:gridCol w:w="81"/>
        <w:gridCol w:w="659"/>
        <w:gridCol w:w="185"/>
        <w:gridCol w:w="60"/>
        <w:gridCol w:w="125"/>
        <w:gridCol w:w="590"/>
        <w:gridCol w:w="80"/>
        <w:gridCol w:w="60"/>
        <w:gridCol w:w="60"/>
        <w:gridCol w:w="485"/>
        <w:gridCol w:w="245"/>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4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4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Revenues for the three months ended March 31, 2026 increased by $51.3 million, or 51.4%, compared to the three months ended March 31, 2025. The increase was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a $49.4 million increase in data center product revenues, and a $2.3 million increase on CATV product revenues driven by higher sales.  These increases were partially offset by lower revenues from telecom and other product lines.</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believes the volume increase was primarily attributable to stronger customer demand and increase purchases from large data center customers to support ongoing capacity expansion and network infrastructure upgrades.  Based on current market conditions, management expects these demand trends to continue for the foreseeable future, subject to customer deployment timing, supply chain conditions and other factors related to our industry.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2026 and 2025, our top ten customers represented 98% and 97%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rPr/>
      </w:pPr>
      <w:r>
        <w:rPr/>
        <w:t>​</w:t>
      </w:r>
    </w:p>
    <w:tbl>
      <w:tblPr>
        <w:tblW w:w="6800" w:type="dxa"/>
        <w:jc w:val="left"/>
        <w:tblInd w:w="0" w:type="dxa"/>
        <w:tblLayout w:type="fixed"/>
        <w:tblCellMar>
          <w:top w:w="0" w:type="dxa"/>
          <w:left w:w="0" w:type="dxa"/>
          <w:bottom w:w="0" w:type="dxa"/>
          <w:right w:w="0" w:type="dxa"/>
        </w:tblCellMar>
      </w:tblPr>
      <w:tblGrid>
        <w:gridCol w:w="1535"/>
        <w:gridCol w:w="60"/>
        <w:gridCol w:w="125"/>
        <w:gridCol w:w="695"/>
        <w:gridCol w:w="60"/>
        <w:gridCol w:w="60"/>
        <w:gridCol w:w="100"/>
        <w:gridCol w:w="640"/>
        <w:gridCol w:w="185"/>
        <w:gridCol w:w="60"/>
        <w:gridCol w:w="125"/>
        <w:gridCol w:w="590"/>
        <w:gridCol w:w="60"/>
        <w:gridCol w:w="60"/>
        <w:gridCol w:w="100"/>
        <w:gridCol w:w="640"/>
        <w:gridCol w:w="185"/>
        <w:gridCol w:w="60"/>
        <w:gridCol w:w="125"/>
        <w:gridCol w:w="590"/>
        <w:gridCol w:w="60"/>
        <w:gridCol w:w="60"/>
        <w:gridCol w:w="60"/>
        <w:gridCol w:w="380"/>
        <w:gridCol w:w="18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2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$37.9 million, or 54.7%, for the three months ended </w:t>
      </w:r>
      <w:r>
        <w:rPr>
          <w:rFonts w:ascii="Times New Roman;Times;serif" w:hAnsi="Times New Roman;Times;serif"/>
          <w:sz w:val="20"/>
        </w:rPr>
        <w:t>March 31,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2025</w:t>
      </w:r>
      <w:r>
        <w:rPr>
          <w:rFonts w:ascii="Times New Roman;Times;serif" w:hAnsi="Times New Roman;Times;serif"/>
          <w:sz w:val="20"/>
          <w:shd w:fill="FFFFFF" w:val="clear"/>
        </w:rPr>
        <w:t>. </w:t>
      </w:r>
      <w:r>
        <w:rPr>
          <w:rFonts w:ascii="Times New Roman;Times;serif" w:hAnsi="Times New Roman;Times;serif"/>
          <w:sz w:val="20"/>
        </w:rPr>
        <w:t>The increase was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$22.0 million increase in direct material costs, primarily due to higher input costs for key materials and increased production volumes;</w:t>
            </w:r>
          </w:p>
        </w:tc>
      </w:tr>
    </w:tbl>
    <w:tbl>
      <w:tblPr>
        <w:tblW w:w="8065" w:type="dxa"/>
        <w:jc w:val="left"/>
        <w:tblInd w:w="0" w:type="dxa"/>
        <w:tblLayout w:type="fixed"/>
        <w:tblCellMar>
          <w:top w:w="0" w:type="dxa"/>
          <w:left w:w="0" w:type="dxa"/>
          <w:bottom w:w="0" w:type="dxa"/>
          <w:right w:w="0" w:type="dxa"/>
        </w:tblCellMar>
      </w:tblPr>
      <w:tblGrid>
        <w:gridCol w:w="60"/>
        <w:gridCol w:w="170"/>
        <w:gridCol w:w="7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$5.5 million increase in direct labor costs, primarily due to increased production ramp activity;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increase in other manufacturing and production related costs of approximately $8.4 million, associated with higher production levels;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$2.0 million increase in inventory reserves, primarily due to slow moving inventory and changes in demand forecasts related to certain slower-selling product lines.</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r>
        <w:rPr>
          <w:rFonts w:ascii="Times New Roman" w:hAnsi="Times New Roman"/>
          <w:caps w:val="false"/>
          <w:smallCaps w:val="false"/>
          <w:sz w:val="20"/>
        </w:rPr>
        <w:t xml:space="preserve">Gross margin decreased to 29.1% for the </w:t>
      </w:r>
      <w:r>
        <w:rPr>
          <w:rFonts w:ascii="Times New Roman" w:hAnsi="Times New Roman"/>
          <w:caps w:val="false"/>
          <w:smallCaps w:val="false"/>
          <w:sz w:val="20"/>
          <w:shd w:fill="FFFFFF" w:val="clear"/>
        </w:rPr>
        <w:t>three m</w:t>
      </w:r>
      <w:r>
        <w:rPr>
          <w:rFonts w:ascii="Times New Roman" w:hAnsi="Times New Roman"/>
          <w:caps w:val="false"/>
          <w:smallCaps w:val="false"/>
          <w:sz w:val="20"/>
        </w:rPr>
        <w:t>onths ended</w:t>
      </w:r>
      <w:r>
        <w:rPr>
          <w:rFonts w:ascii="Times New Roman" w:hAnsi="Times New Roman"/>
          <w:caps w:val="false"/>
          <w:smallCaps w:val="false"/>
          <w:sz w:val="20"/>
          <w:shd w:fill="FFFFFF" w:val="clear"/>
        </w:rPr>
        <w:t> </w:t>
      </w:r>
      <w:r>
        <w:rPr>
          <w:rFonts w:ascii="Times New Roman" w:hAnsi="Times New Roman"/>
          <w:caps w:val="false"/>
          <w:smallCaps w:val="false"/>
          <w:sz w:val="20"/>
        </w:rPr>
        <w:t>March 31, 2026, compared to 30.6% in the three months ended March 31, 2025. Despite the decrease in gross margin percentage, gross profit increased by $13.4 million or 43.8%, driven by higher revenues. The decrease in gross margin is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color w:val="000000"/>
              </w:rPr>
            </w:pPr>
            <w:r>
              <w:rPr>
                <w:color w:val="000000"/>
              </w:rPr>
              <w:t>increased manufacturing costs due to lower production efficiency, including the impact of higher CapEx investment and associated depreciation of approximately 1.1%; and</w:t>
            </w:r>
          </w:p>
        </w:tc>
      </w:tr>
    </w:tbl>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left"/>
              <w:rPr/>
            </w:pPr>
            <w:r>
              <w:rPr/>
              <w:t>a higher inventory reserve adjustment of 0.4%.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increase in gross profit was primarily attributable to:</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revenues which contributed approximately $15.7 million to the increase in gross profit;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increased costs associated with certain data center products, which negatively impacted gross profit by approximately $2.3 million.</w:t>
            </w:r>
          </w:p>
        </w:tc>
      </w:tr>
    </w:tbl>
    <w:p>
      <w:pPr>
        <w:pStyle w:val="TextBody"/>
        <w:bidi w:val="0"/>
        <w:spacing w:before="0" w:after="0"/>
        <w:jc w:val="left"/>
        <w:rPr/>
      </w:pPr>
      <w:r>
        <w:rPr/>
        <w:t xml:space="preserve">              </w:t>
      </w:r>
    </w:p>
    <w:p>
      <w:pPr>
        <w:pStyle w:val="TextBody"/>
        <w:bidi w:val="0"/>
        <w:spacing w:before="0" w:after="283"/>
        <w:jc w:val="left"/>
        <w:rPr/>
      </w:pPr>
      <w:r>
        <w:rPr/>
        <w:t>               </w:t>
      </w:r>
      <w:r>
        <w:rPr>
          <w:sz w:val="20"/>
        </w:rPr>
        <w:t xml:space="preserve">Management expects gross margin to increase in future periods as a result of product mix, cost optimization initiatives, and production efficiencies.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hanging="0"/>
        <w:jc w:val="left"/>
        <w:rPr/>
      </w:pPr>
      <w:r>
        <w:rPr/>
        <w:t> </w:t>
      </w:r>
    </w:p>
    <w:tbl>
      <w:tblPr>
        <w:tblW w:w="7280"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25"/>
        <w:gridCol w:w="590"/>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increased by $7.8 million, or 44.1%, for the three months ended March 31, 2026 compared to the three months ended March 31, 2025. The increases were primarily due to increased personnel-related expense and increased R&amp;D related project costs. The increases in R&amp;D expenses were driven by customer demand for new products as well as acceleration of previously-planned project expenditures which were necessary to accommodate accelerated demand projections for these products from certain customers.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and marketing expense increased by $1.0 million, or 18.5%, for the three months ended March 31, 2026 compared to the three months ended March 31, 2025.  The increases were primarily </w:t>
      </w:r>
      <w:r>
        <w:rPr>
          <w:rFonts w:ascii="Times New Roman;Times;serif" w:hAnsi="Times New Roman;Times;serif"/>
          <w:color w:val="000000"/>
          <w:sz w:val="20"/>
        </w:rPr>
        <w:t>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compensation and related costs associated with expanded sales efforts supporting data center and Quantum Bandwidth products; and</w:t>
            </w:r>
          </w:p>
        </w:tc>
      </w:tr>
    </w:tbl>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shipping and logistics expenses, including the impact of tariffs of approximately $0.7 million.</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Management continues to monitor tariff developments and their potential impact on its cost structure and pricing strategy. Based on current conditions, management expects shipping costs and tariff-related impacts to continue in 2026, likely at a reduced level compared to 2025 due to the Supreme Court’s decision overturning the IEPPA-related tariffs.  Management cannot currently assess whether this tariff trend will continue given the Administration’s current stated goal to replace the IEPPA tariffs with tariffs under other sections of federal law (e.g. Section 301 tariffs, reciprocal tariffs, etc.).</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 increased by $8.6 million, or 52.7%, for the three months ended </w:t>
      </w:r>
      <w:r>
        <w:rPr>
          <w:rFonts w:ascii="Times New Roman;Times;serif" w:hAnsi="Times New Roman;Times;serif"/>
          <w:sz w:val="20"/>
        </w:rPr>
        <w:t>March 31,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2025</w:t>
      </w:r>
      <w:r>
        <w:rPr>
          <w:rFonts w:ascii="Times New Roman;Times;serif" w:hAnsi="Times New Roman;Times;serif"/>
          <w:sz w:val="20"/>
          <w:shd w:fill="FFFFFF" w:val="clear"/>
        </w:rPr>
        <w:t xml:space="preserve">. The increases were primarily due to increased personnel-related expense </w:t>
      </w:r>
      <w:r>
        <w:rPr>
          <w:rFonts w:ascii="Times New Roman;Times;serif" w:hAnsi="Times New Roman;Times;serif"/>
          <w:sz w:val="20"/>
        </w:rPr>
        <w:t>and expanded corporate infrastructure to support company growth</w:t>
      </w:r>
      <w:r>
        <w:rPr>
          <w:rFonts w:ascii="Times New Roman;Times;serif" w:hAnsi="Times New Roman;Times;serif"/>
          <w:sz w:val="20"/>
          <w:shd w:fill="FFFFFF" w:val="clea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0"/>
        <w:ind w:left="0" w:right="0" w:hanging="0"/>
        <w:jc w:val="left"/>
        <w:rPr/>
      </w:pPr>
      <w:r>
        <w:rPr/>
        <w:t>​</w:t>
      </w:r>
    </w:p>
    <w:tbl>
      <w:tblPr>
        <w:tblW w:w="8164" w:type="dxa"/>
        <w:jc w:val="left"/>
        <w:tblInd w:w="0" w:type="dxa"/>
        <w:tblLayout w:type="fixed"/>
        <w:tblCellMar>
          <w:top w:w="0" w:type="dxa"/>
          <w:left w:w="0" w:type="dxa"/>
          <w:bottom w:w="0" w:type="dxa"/>
          <w:right w:w="0" w:type="dxa"/>
        </w:tblCellMar>
      </w:tblPr>
      <w:tblGrid>
        <w:gridCol w:w="2735"/>
        <w:gridCol w:w="60"/>
        <w:gridCol w:w="129"/>
        <w:gridCol w:w="566"/>
        <w:gridCol w:w="82"/>
        <w:gridCol w:w="61"/>
        <w:gridCol w:w="104"/>
        <w:gridCol w:w="591"/>
        <w:gridCol w:w="252"/>
        <w:gridCol w:w="61"/>
        <w:gridCol w:w="167"/>
        <w:gridCol w:w="528"/>
        <w:gridCol w:w="82"/>
        <w:gridCol w:w="61"/>
        <w:gridCol w:w="104"/>
        <w:gridCol w:w="591"/>
        <w:gridCol w:w="245"/>
        <w:gridCol w:w="60"/>
        <w:gridCol w:w="129"/>
        <w:gridCol w:w="566"/>
        <w:gridCol w:w="8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79" w:type="dxa"/>
            <w:gridSpan w:val="14"/>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p>
        </w:tc>
        <w:tc>
          <w:tcPr>
            <w:tcW w:w="305" w:type="dxa"/>
            <w:gridSpan w:val="2"/>
            <w:tcBorders/>
            <w:shd w:fill="FFFFFF" w:val="clear"/>
            <w:vAlign w:val="center"/>
          </w:tcPr>
          <w:p>
            <w:pPr>
              <w:pStyle w:val="TableContents"/>
              <w:bidi w:val="0"/>
              <w:spacing w:before="0" w:after="283"/>
              <w:jc w:val="center"/>
              <w:rPr/>
            </w:pPr>
            <w:r>
              <w:rPr/>
              <w:t> </w:t>
            </w:r>
          </w:p>
        </w:tc>
        <w:tc>
          <w:tcPr>
            <w:tcW w:w="1440" w:type="dxa"/>
            <w:gridSpan w:val="6"/>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25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533"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5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5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24"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increased by $1.5 million, or 675.4%, for the three months ended March 31, 2026 compared to the three months ended March 31, 2025. The increase was due to higher </w:t>
      </w:r>
      <w:r>
        <w:rPr>
          <w:rFonts w:ascii="Times New Roman;Times;serif" w:hAnsi="Times New Roman;Times;serif"/>
          <w:color w:val="000000"/>
          <w:sz w:val="20"/>
        </w:rPr>
        <w:t>saving balances in the first quarter of 2026</w:t>
      </w:r>
      <w:r>
        <w:rPr>
          <w:rFonts w:ascii="Times New Roman;Times;serif" w:hAnsi="Times New Roman;Times;serif"/>
          <w:color w:val="CC0000"/>
          <w:sz w:val="20"/>
        </w:rPr>
        <w:t>.</w:t>
      </w:r>
      <w:r>
        <w:rPr>
          <w:rFonts w:ascii="Times New Roman;Times;serif" w:hAnsi="Times New Roman;Times;serif"/>
          <w:sz w:val="20"/>
        </w:rPr>
        <w: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decreased by </w:t>
      </w:r>
      <w:r>
        <w:rPr>
          <w:rFonts w:ascii="Times New Roman;Times;serif" w:hAnsi="Times New Roman;Times;serif"/>
          <w:color w:val="000000"/>
          <w:sz w:val="20"/>
        </w:rPr>
        <w:t>$0.1 million, or 7.6%</w:t>
      </w:r>
      <w:r>
        <w:rPr>
          <w:rFonts w:ascii="Times New Roman;Times;serif" w:hAnsi="Times New Roman;Times;serif"/>
          <w:sz w:val="20"/>
        </w:rPr>
        <w:t xml:space="preserve">, for the three months ended March 31, 2026 compared to the three months ended March 31, 2025. The decrease was due to </w:t>
      </w:r>
      <w:r>
        <w:rPr>
          <w:rFonts w:ascii="Times New Roman;Times;serif" w:hAnsi="Times New Roman;Times;serif"/>
          <w:color w:val="000000"/>
          <w:sz w:val="20"/>
        </w:rPr>
        <w:t>the lower effective interest rate for our 2030 Notes.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Other income (expenses) decreased by $1.6 million, or </w:t>
      </w:r>
      <w:r>
        <w:rPr>
          <w:rFonts w:ascii="Times New Roman;Times;serif" w:hAnsi="Times New Roman;Times;serif"/>
          <w:color w:val="000000"/>
          <w:sz w:val="20"/>
          <w:shd w:fill="FFFFFF" w:val="clear"/>
        </w:rPr>
        <w:t>334.7%,</w:t>
      </w:r>
      <w:r>
        <w:rPr>
          <w:rFonts w:ascii="Times New Roman;Times;serif" w:hAnsi="Times New Roman;Times;serif"/>
          <w:sz w:val="20"/>
          <w:shd w:fill="FFFFFF" w:val="clear"/>
        </w:rPr>
        <w:t xml:space="preserve"> for the three months ended </w:t>
      </w:r>
      <w:r>
        <w:rPr>
          <w:rFonts w:ascii="Times New Roman;Times;serif" w:hAnsi="Times New Roman;Times;serif"/>
          <w:sz w:val="20"/>
        </w:rPr>
        <w:t>March 31,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2025</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The decrease was mainly due to the </w:t>
      </w:r>
      <w:r>
        <w:rPr>
          <w:rFonts w:ascii="Times New Roman;Times;serif" w:hAnsi="Times New Roman;Times;serif"/>
          <w:color w:val="000000"/>
          <w:sz w:val="20"/>
        </w:rPr>
        <w:t>negative foreign exchange impact.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rates for the three months </w:t>
      </w:r>
      <w:r>
        <w:rPr>
          <w:rFonts w:ascii="Times New Roman;Times;serif" w:hAnsi="Times New Roman;Times;serif"/>
          <w:sz w:val="20"/>
        </w:rPr>
        <w:t>ended March 31, 2026 and 2025</w:t>
      </w:r>
      <w:r>
        <w:rPr>
          <w:rFonts w:ascii="Times New Roman;Times;serif" w:hAnsi="Times New Roman;Times;serif"/>
          <w:sz w:val="20"/>
          <w:shd w:fill="FFFFFF" w:val="clear"/>
        </w:rPr>
        <w:t> were (7.9)% and 0%, respectively. The effective tax rate varied from the federal statutory rate of 21% primarily due to the change of the valuation allowance on federal, state, and Taiwan deferred tax assets ("DTA"), and the R&amp;D super deduction in China.</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9, 2022, the Creating Helpful Incentives to Produce Semiconductors Act ("CHIPS Act") was enacted. Among its provisions, the bill provides various federal grants, tax credits, and incentives for investment in the United States. To the extent that we make investments in expanding manufacturing in our semiconductor fabrication facility in Texas, we believe that the CHIPS Act would provide a refundable tax credit for certain equipment and facilities upgrades. We made significant investments in the three months ended March 31, 2026 which we believe should qualify for these credits, but we intend to continue to evaluate these and future investments for applicability to the tax credit provisions of the CHIPS 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9940" w:type="dxa"/>
        <w:jc w:val="left"/>
        <w:tblInd w:w="0" w:type="dxa"/>
        <w:tblLayout w:type="fixed"/>
        <w:tblCellMar>
          <w:top w:w="0" w:type="dxa"/>
          <w:left w:w="0" w:type="dxa"/>
          <w:bottom w:w="0" w:type="dxa"/>
          <w:right w:w="0" w:type="dxa"/>
        </w:tblCellMar>
      </w:tblPr>
      <w:tblGrid>
        <w:gridCol w:w="4445"/>
        <w:gridCol w:w="60"/>
        <w:gridCol w:w="125"/>
        <w:gridCol w:w="650"/>
        <w:gridCol w:w="80"/>
        <w:gridCol w:w="60"/>
        <w:gridCol w:w="104"/>
        <w:gridCol w:w="591"/>
        <w:gridCol w:w="245"/>
        <w:gridCol w:w="60"/>
        <w:gridCol w:w="129"/>
        <w:gridCol w:w="566"/>
        <w:gridCol w:w="80"/>
        <w:gridCol w:w="60"/>
        <w:gridCol w:w="104"/>
        <w:gridCol w:w="591"/>
        <w:gridCol w:w="245"/>
        <w:gridCol w:w="60"/>
        <w:gridCol w:w="129"/>
        <w:gridCol w:w="566"/>
        <w:gridCol w:w="80"/>
        <w:gridCol w:w="60"/>
        <w:gridCol w:w="60"/>
        <w:gridCol w:w="545"/>
        <w:gridCol w:w="245"/>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9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increased by $4.5 million, or 47.9%, for the three months ended </w:t>
      </w:r>
      <w:r>
        <w:rPr>
          <w:rFonts w:ascii="Times New Roman;Times;serif" w:hAnsi="Times New Roman;Times;serif"/>
          <w:sz w:val="20"/>
        </w:rPr>
        <w:t>March 31, 2026</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March 31, 2025</w:t>
      </w:r>
      <w:r>
        <w:rPr>
          <w:rFonts w:ascii="Times New Roman;Times;serif" w:hAnsi="Times New Roman;Times;serif"/>
          <w:sz w:val="20"/>
          <w:shd w:fill="FFFFFF" w:val="clear"/>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we ha</w:t>
      </w:r>
      <w:r>
        <w:rPr>
          <w:rFonts w:ascii="Times New Roman;Times;serif" w:hAnsi="Times New Roman;Times;serif"/>
          <w:sz w:val="20"/>
          <w:shd w:fill="FFFFFF" w:val="clear"/>
        </w:rPr>
        <w:t>d $61.7</w:t>
      </w:r>
      <w:r>
        <w:rPr>
          <w:rFonts w:ascii="Times New Roman;Times;serif" w:hAnsi="Times New Roman;Times;serif"/>
          <w:color w:val="000000"/>
          <w:sz w:val="20"/>
          <w:shd w:fill="FFFFFF" w:val="clear"/>
        </w:rPr>
        <w:t> m</w:t>
      </w:r>
      <w:r>
        <w:rPr>
          <w:rFonts w:ascii="Times New Roman;Times;serif" w:hAnsi="Times New Roman;Times;serif"/>
          <w:sz w:val="20"/>
        </w:rPr>
        <w:t>illion of unused borrowing capacity from all of our loan agreements. As of March 31, 2026, our cash, cash equivalents and restricted cash totale</w:t>
      </w:r>
      <w:r>
        <w:rPr>
          <w:rFonts w:ascii="Times New Roman;Times;serif" w:hAnsi="Times New Roman;Times;serif"/>
          <w:sz w:val="20"/>
          <w:shd w:fill="FFFFFF" w:val="clear"/>
        </w:rPr>
        <w:t xml:space="preserve">d $449.4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On December 18, 2024, </w:t>
      </w:r>
      <w:r>
        <w:rPr>
          <w:rFonts w:cs="Times New Roman"/>
          <w:szCs w:val="20"/>
        </w:rPr>
        <w:t>﻿</w:t>
      </w:r>
      <w:r>
        <w:rPr>
          <w:rFonts w:ascii="Times New Roman" w:hAnsi="Times New Roman"/>
          <w:sz w:val="20"/>
        </w:rPr>
        <w:t xml:space="preserve">the Company filed an automatic shelf registration statement on Form S-3ASR (Registration File No. 333-283905) (the "Automatic Shelf Registration Statement") with the U.S. Securities and Exchange Commission, which became effective immediately upon filing. </w:t>
      </w:r>
    </w:p>
    <w:p>
      <w:pPr>
        <w:pStyle w:val="TextBody"/>
        <w:bidi w:val="0"/>
        <w:ind w:left="0" w:right="0" w:firstLine="720"/>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26, 2026, the Company entered into an Equity Distribution Agreement (the "Agreement") with Raymond James &amp; Associates and Needham &amp; Company, LLC (collectively, the "Sales Agents" and each, a "Sales Agent") pursuant to which the Company could issue and sell shares of the Company’s common stock, par value $0.001 per share (the "Shares") having an aggregate offering price of up to $250 million (the "ATM Offering"), from time to time through the Sales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Upon delivery of a placement notice and subject to the terms and conditions of the Agreement, sales of the Shares were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 maximum number of Shares to be sold through the Sales Agents, the time period during which sales were requested to be made, the minimum price for the Shares to be sold, and any limitation on the number of Shares that could be sold in any one day. Subject to the terms and conditions of the Agreement, the Sales Agents would use their commercially reasonable efforts to sell Shares on the Company’s behalf up to the designated amount specified in the placement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provided that each of the Sales Agents would be entitled to compensation of up to 2% of the gross sales price of the Shares sold through such Sales Agent from time to time. The Company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Agents against certain liabilities, including liabilities under the Securities Act, or to contribute to payments that the Sales Agents could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12, 2026, the Company entered into Amendment No. 1 to the Agreement with the Sales Agents, to increase the aggregate offering price from $250 million to $500 million. On April 2, 2026, the Company completed the ATM Offering and sold approximately 4.8 million shares at a weighted average price of $103.51 per share, providing proceeds of approximately $490 million, net of expenses and underwriting discounts and commissions.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details of the shares of common stock sold through the ATM Offering as of the end of March 31, 2026 are as follows (in thousands, except shares and weighted average per share price):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2460"/>
        <w:gridCol w:w="60"/>
        <w:gridCol w:w="709"/>
        <w:gridCol w:w="60"/>
        <w:gridCol w:w="81"/>
        <w:gridCol w:w="1147"/>
        <w:gridCol w:w="60"/>
        <w:gridCol w:w="60"/>
        <w:gridCol w:w="260"/>
        <w:gridCol w:w="1230"/>
        <w:gridCol w:w="60"/>
        <w:gridCol w:w="60"/>
        <w:gridCol w:w="74"/>
        <w:gridCol w:w="876"/>
        <w:gridCol w:w="60"/>
        <w:gridCol w:w="60"/>
        <w:gridCol w:w="367"/>
        <w:gridCol w:w="1426"/>
        <w:gridCol w:w="60"/>
        <w:gridCol w:w="60"/>
        <w:gridCol w:w="138"/>
        <w:gridCol w:w="772"/>
        <w:gridCol w:w="65"/>
      </w:tblGrid>
      <w:tr>
        <w:trPr/>
        <w:tc>
          <w:tcPr>
            <w:tcW w:w="24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9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4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70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6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382,628</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3229" w:type="dxa"/>
            <w:gridSpan w:val="3"/>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4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7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6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382,628</w:t>
            </w:r>
          </w:p>
        </w:tc>
        <w:tc>
          <w:tcPr>
            <w:tcW w:w="6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approximately $125.0 million aggregate principal amount of 2.75% convertible senior notes due 2030 (the "2030 Notes"), and on the same day consummated various separate, privately negotiated exchange agreements with certain holders of its 2026 Notes to exchange approximately $76.6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12 "Convertible Senior Notes" to the consolidated financial statements for further discussion of the 2030 Notes.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rPr/>
      </w:pPr>
      <w:r>
        <w:rPr/>
        <w:t> </w:t>
      </w:r>
    </w:p>
    <w:tbl>
      <w:tblPr>
        <w:tblW w:w="7136" w:type="dxa"/>
        <w:jc w:val="left"/>
        <w:tblInd w:w="0" w:type="dxa"/>
        <w:tblLayout w:type="fixed"/>
        <w:tblCellMar>
          <w:top w:w="0" w:type="dxa"/>
          <w:left w:w="0" w:type="dxa"/>
          <w:bottom w:w="0" w:type="dxa"/>
          <w:right w:w="0" w:type="dxa"/>
        </w:tblCellMar>
      </w:tblPr>
      <w:tblGrid>
        <w:gridCol w:w="4355"/>
        <w:gridCol w:w="60"/>
        <w:gridCol w:w="190"/>
        <w:gridCol w:w="1059"/>
        <w:gridCol w:w="121"/>
        <w:gridCol w:w="91"/>
        <w:gridCol w:w="190"/>
        <w:gridCol w:w="990"/>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(85,353</w:t>
            </w:r>
          </w:p>
        </w:tc>
        <w:tc>
          <w:tcPr>
            <w:tcW w:w="1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(68,087</w:t>
            </w:r>
          </w:p>
        </w:tc>
        <w:tc>
          <w:tcPr>
            <w:tcW w:w="1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389,265</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70,014</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w:t>
            </w:r>
          </w:p>
        </w:tc>
        <w:tc>
          <w:tcPr>
            <w:tcW w:w="1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233,342</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$85.4 million during the three months ended March 31, 2026 as compared to $50.9 million during the three months ended March 31, 2025, an increase of 67.6%.  Net cash used in operating activities consisted of our net loss of $14.3 million, adjusted for non-cash items of $19.0 million, and a net use of cash from changes in working capital of $90.1 million.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           </w:t>
      </w:r>
      <w:r>
        <w:rPr>
          <w:rFonts w:ascii="Times New Roman" w:hAnsi="Times New Roman"/>
          <w:caps w:val="false"/>
          <w:smallCaps w:val="false"/>
          <w:sz w:val="20"/>
        </w:rPr>
        <w:t>The changes in working capital were primarily attributable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which increased by approximately $54.4 million during the three months ended March 31, 2026, as compared to an increase of approximately $54.3 million during the three months ended March 31, 2025, an increase of 0.3%, primarily due to higher revenues during the period, partially offset by the timing of customer collections.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which increased by approximately $25.3 million, as compared to an increase of approximately $16.2 million during the three months ended March 31, 2025, an increase of 56.4%, primarily due to production ramp and build to support anticipated demand, as well as longer lead times for certain components.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Accounts payable increased by $4.2 million during the three months ended March 31, 2026, compared to an increase of approximately $19.9 million during the three months ended March 31, 2025, a decrease of 78.7%. The decrease in the current period was primarily due to the timing of purchases and related vendor payments, as amounts accrued in the fourth quarter of 2025 were paid during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caps w:val="false"/>
          <w:smallCaps w:val="false"/>
        </w:rPr>
      </w:pPr>
      <w:r>
        <w:rPr>
          <w:caps w:val="false"/>
          <w:smallCaps w:val="false"/>
        </w:rPr>
        <w:t> </w:t>
      </w:r>
      <w:r>
        <w:rPr>
          <w:rFonts w:ascii="Times New Roman" w:hAnsi="Times New Roman"/>
          <w:caps w:val="false"/>
          <w:smallCaps w:val="false"/>
          <w:sz w:val="20"/>
        </w:rPr>
        <w:t>Management believes these changes are consistent with ongoing production ramp and customer demand dynamics, which may result in variability in operating cash flows from period to period.</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Customer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March 31, 2026, Digicomm represented approximately 74.5% of total accounts receivable. This concentration is primarily attributable to customer purchasing patterns, shipment timing, and billing concentration. Management has extended longer than typical payment terms to Digicomm in order to ensure Digicomm has adequate inventory on hand to quickly provide products to customers when needed for their network builds. The Company has a multi-year history with Digicomm and over this period the Company’s collection experience has been good. Digicomm’s payment history has generally been relatively consistent over time. In addition, to the extent customers in the Company’s data center business continue to grow relative to Digicomm, Management expects Accounts Receivable concentration with Digicomm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continues to monitor credit exposure and collection trends related to significant customers and does not believe this concentration will create a material credit</w:t>
        <w:noBreakHyphen/>
        <w:t>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2026, revenues from Digicomm were approximately $66.7 million, representing approximately 44.1% of consolidated revenues. These revenues were primarily attributable to the CATV product category.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$68.1 million during the three months ended March 31, 2026 compared with $36.3 million in the three months ended March 31, 2025. The increase was primarily driven by capital expenditures of $58.2 million, which included $26.6 million capital expenditures in the US, $9.9 million in Taiwan, and $21.7 million in China.  The increase in capital expenditures was primarily attributable to facility expansion and equipment purchases to support increased production capacity for the Company’s internet data center and broadband product lines, including investments related to Quantum Bandwidth products and the continued expansion of manufacturing operations for 400G, 800G, and 1.6T transceiver products. Based on current demand trends, Management expects that 2026 CapEx will be materially higher than 2025 CapEx.</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expects to continue to make investments in capacity expansion through at least the end of 2027 and believes that this expansion will provide adequate production capacity to meet expected demand for data center transceiver, semiconductor lasers, and Quantum Bandwidth broadband products, subject to demand variability, customer ramp timing, supply chain, and other factors. The Company expects to expand manufacturing operations in the U.S. and Taiwan during 2026 and 2027 primarily to support laser diode production and production of 800G and 1.6T transceivers.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Financing Activities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$389.3 million during the three months ended March 31, 2026 compared with $70.0 million in the three months ended March 31, 2025. The increase was primarily attributable to the net proceeds of $382.4 million from the ATM Offering, the net proceeds from line of credit borrowings of $6.8 million, and net proceeds from bank acceptance payable of $1.8 million, partially offset by tax payments related to share-based compensation of $1.7 million.</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Loans and Commitments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As of March 31, 2026, we have lending arrangements with one U.S. bank</w:t>
      </w:r>
      <w:r>
        <w:rPr>
          <w:rFonts w:ascii="Times New Roman;Times;serif" w:hAnsi="Times New Roman;Times;serif"/>
          <w:sz w:val="20"/>
        </w:rPr>
        <w:t xml:space="preserve">, two financial institution in Taiwan, </w:t>
      </w:r>
      <w:r>
        <w:rPr>
          <w:rFonts w:ascii="Times New Roman;Times;serif" w:hAnsi="Times New Roman;Times;serif"/>
          <w:sz w:val="20"/>
          <w:shd w:fill="FFFFFF" w:val="clear"/>
        </w:rPr>
        <w:t xml:space="preserve">and four financial institutions in China. As of </w:t>
      </w:r>
      <w:r>
        <w:rPr>
          <w:rFonts w:ascii="Times New Roman;Times;serif" w:hAnsi="Times New Roman;Times;serif"/>
          <w:sz w:val="20"/>
        </w:rPr>
        <w:t>March 31, 2026</w:t>
      </w:r>
      <w:r>
        <w:rPr>
          <w:rFonts w:ascii="Times New Roman;Times;serif" w:hAnsi="Times New Roman;Times;serif"/>
          <w:sz w:val="20"/>
          <w:shd w:fill="FFFFFF" w:val="clear"/>
        </w:rPr>
        <w:t>, we were in compliance with the covenants in the lending arrangements. </w:t>
      </w:r>
      <w:r>
        <w:rPr>
          <w:rFonts w:ascii="Times New Roman;Times;serif" w:hAnsi="Times New Roman;Times;serif"/>
          <w:color w:val="000000"/>
          <w:sz w:val="20"/>
          <w:shd w:fill="FFFFFF" w:val="clear"/>
        </w:rPr>
        <w:t xml:space="preserve">As of </w:t>
      </w:r>
      <w:r>
        <w:rPr>
          <w:rFonts w:ascii="Times New Roman;Times;serif" w:hAnsi="Times New Roman;Times;serif"/>
          <w:color w:val="000000"/>
          <w:sz w:val="20"/>
        </w:rPr>
        <w:t>March 31, 2026</w:t>
      </w:r>
      <w:r>
        <w:rPr>
          <w:rFonts w:ascii="Times New Roman;Times;serif" w:hAnsi="Times New Roman;Times;serif"/>
          <w:color w:val="000000"/>
          <w:sz w:val="20"/>
          <w:shd w:fill="FFFFFF" w:val="clear"/>
        </w:rPr>
        <w:t>, we had $61.7 million of unused borrowing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$125.0 million of 2.75% convertible senior notes due 2030. The 2030 Notes will mature on January 15, 2030, unless earlier repurchased, redeemed or converted in accordance with their terms.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13, 2025, we issued a warrant (the "Customer Warrant") to an Amazon affiliate to purchase up to an aggregate of 7,945,399 shares of the Company's common stock ("Warrant Shares") at an exercise price of $23.6956 per share. The Customer Warrant has a contractual term of 10 years. At the time of issuance, the Customer Warrant is exercisable to purchase 1,324,233 Warrant Shares. The remaining 6,621,166 Warrant Shares may vest over the next 10 years, dependent on aggregate purchases by Amazon of $4 billion of our products over this time period. See Note 3 "Revenue Recognition" of our Condensed Consolidated Financial Statements for additional description of the Warrant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$449.4 million as of March 31, 2026, an increase of approximately $233.4 million compared to December 31, 2025.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in Taiwan or U.S.,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we </w:t>
      </w:r>
      <w:r>
        <w:rPr>
          <w:rFonts w:ascii="Times New Roman;Times;serif" w:hAnsi="Times New Roman;Times;serif"/>
          <w:color w:val="000000"/>
          <w:sz w:val="20"/>
        </w:rPr>
        <w:t>had a total loan balance (excluding convertible notes) of $41.2 million from</w:t>
      </w:r>
      <w:r>
        <w:rPr>
          <w:rFonts w:ascii="Times New Roman;Times;serif" w:hAnsi="Times New Roman;Times;serif"/>
          <w:sz w:val="20"/>
        </w:rPr>
        <w:t xml:space="preserve"> various lenders and had $61.7 million available borrowing capacity on existing credit lines. Should additional liquidity be needed, our Board may authorize issuance of additional common stock under an at-the-market offering in the future (see the discussion of "Liquidity and Capital Resources" in Item 2).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2025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Inflation in the United States has moderated in recent periods.  However, certain cost components, including labor, materials, logistics and tariffs, remain elevated relative to historical levels.  These cost pressures were partially offset by improved supply chain conditions and continued cost optimization initiatives.</w:t>
      </w:r>
      <w:r>
        <w:rPr>
          <w:rFonts w:ascii="Times New Roman" w:hAnsi="Times New Roman"/>
          <w:caps w:val="false"/>
          <w:smallCaps w:val="false"/>
          <w:color w:val="FF0000"/>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three months ended March 31, 2026, we experienced continued inflationary pressures in certain areas of our operations.  However, these pressures did not have a material impact on our business, financial condition, or results of operations. Compared to other global markets, China has experienced relatively stable inflationary conditions.  While we have implemented pricing actions and operational efficiencies to mitigate the effects of inflation, there can be no assurance that these measures will fully offset future cost increases.  Continued inflationary pressures, particularly related to labor, tariffs and raw materials, could adversely affect our cost structure, gross margins and operating results in future periods.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2025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2025. We do not believe the Company’s exposure to market risk has changed materially since December 31, 2025.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affected by changes in currency exchange and interest rates. Our risk management programs are designed to reduce, but may not entirely eliminate, the impacts of these risks. We performed an evaluation of these risks to our financial positions as of December 31, 2025, and updated that analysis as of March 31, 2026, to determine whether material changes in market risks pertaining to currency and interest rates have occurred as a result of the changes in international trade policies, including tariffs and export controls. No material revisions were noted since disclosing "Quantitative and Qualitative Disclosures About Market Risk" within MD&amp;A, in our 2025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2026.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during the three months ended March 31, 2026, including with respect to the controls implemented as part of previously disclosed remediation efforts, that have materially affected, or are reasonably likely to materially affect, the Company’s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2025 f</w:t>
      </w:r>
      <w:r>
        <w:rPr>
          <w:rFonts w:ascii="Times New Roman;Times;serif" w:hAnsi="Times New Roman;Times;serif"/>
          <w:sz w:val="20"/>
        </w:rPr>
        <w:t>or a detailed discussion of the risk factors affecting our Company. As of March 31, 2026, there have been no material changes to those risk factors.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17" w:name="item5"/>
      <w:bookmarkEnd w:id="17"/>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None</w:t>
      </w:r>
    </w:p>
    <w:p>
      <w:pPr>
        <w:pStyle w:val="TextBody"/>
        <w:bidi w:val="0"/>
        <w:spacing w:before="0" w:after="0"/>
        <w:ind w:left="0" w:right="0" w:hanging="0"/>
        <w:jc w:val="left"/>
        <w:rPr/>
      </w:pPr>
      <w:r>
        <w:rPr>
          <w:rFonts w:ascii="Times New Roman;Times;serif" w:hAnsi="Times New Roman;Times;serif"/>
          <w:sz w:val="20"/>
        </w:rPr>
        <w:br/>
        <w:t xml:space="preserve">(b) </w:t>
      </w:r>
      <w:r>
        <w:rPr>
          <w:rStyle w:val="Emphasis"/>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(c)</w:t>
      </w:r>
      <w:r>
        <w:rPr>
          <w:rFonts w:ascii="Times New Roman;Times;serif" w:hAnsi="Times New Roman;Times;serif"/>
          <w:color w:val="0782C1"/>
          <w:sz w:val="20"/>
        </w:rPr>
        <w:t> </w:t>
      </w:r>
      <w:r>
        <w:rPr>
          <w:rFonts w:ascii="Times New Roman;Times;serif" w:hAnsi="Times New Roman;Times;serif"/>
          <w:sz w:val="20"/>
        </w:rPr>
        <w:t xml:space="preserve">The adoption or termination of contracts, instructions or written plans for the purchase or sale of our securities by our Section </w:t>
      </w:r>
      <w:r>
        <w:rPr>
          <w:rStyle w:val="Emphasis"/>
          <w:rFonts w:ascii="Times New Roman;Times;serif" w:hAnsi="Times New Roman;Times;serif"/>
          <w:sz w:val="20"/>
        </w:rPr>
        <w:t>16</w:t>
      </w:r>
      <w:r>
        <w:rPr>
          <w:rFonts w:ascii="Times New Roman;Times;serif" w:hAnsi="Times New Roman;Times;serif"/>
          <w:sz w:val="20"/>
        </w:rPr>
        <w:t xml:space="preserve"> officers and directors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each of which is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under the Exchange Act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were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91"/>
        <w:gridCol w:w="2351"/>
        <w:gridCol w:w="800"/>
        <w:gridCol w:w="1143"/>
        <w:gridCol w:w="1183"/>
        <w:gridCol w:w="2937"/>
      </w:tblGrid>
      <w:tr>
        <w:trPr/>
        <w:tc>
          <w:tcPr>
            <w:tcW w:w="1791" w:type="dxa"/>
            <w:tcBorders/>
            <w:vAlign w:val="center"/>
          </w:tcPr>
          <w:p>
            <w:pPr>
              <w:pStyle w:val="TableContents"/>
              <w:bidi w:val="0"/>
              <w:spacing w:before="0" w:after="0"/>
              <w:ind w:left="0" w:right="0" w:hanging="0"/>
              <w:jc w:val="left"/>
              <w:rPr>
                <w:caps w:val="false"/>
                <w:smallCaps w:val="false"/>
                <w:u w:val="single"/>
              </w:rPr>
            </w:pPr>
            <w:r>
              <w:rPr>
                <w:rFonts w:cs="Times New Roman"/>
                <w:caps w:val="false"/>
                <w:smallCaps w:val="false"/>
                <w:szCs w:val="20"/>
                <w:u w:val="single"/>
              </w:rPr>
              <w:t>﻿</w:t>
            </w:r>
            <w:r>
              <w:rPr>
                <w:rFonts w:ascii="Times New Roman" w:hAnsi="Times New Roman"/>
                <w:caps w:val="false"/>
                <w:smallCaps w:val="false"/>
                <w:sz w:val="20"/>
                <w:u w:val="single"/>
              </w:rPr>
              <w:t>Name</w:t>
            </w:r>
          </w:p>
        </w:tc>
        <w:tc>
          <w:tcPr>
            <w:tcW w:w="2351" w:type="dxa"/>
            <w:tcBorders/>
            <w:vAlign w:val="center"/>
          </w:tcPr>
          <w:p>
            <w:pPr>
              <w:pStyle w:val="TableContents"/>
              <w:bidi w:val="0"/>
              <w:spacing w:before="0" w:after="0"/>
              <w:ind w:left="0" w:right="0" w:hanging="0"/>
              <w:jc w:val="left"/>
              <w:rPr>
                <w:caps w:val="false"/>
                <w:smallCaps w:val="false"/>
              </w:rPr>
            </w:pPr>
            <w:r>
              <w:rPr>
                <w:rFonts w:ascii="Times New Roman" w:hAnsi="Times New Roman"/>
                <w:caps w:val="false"/>
                <w:smallCaps w:val="false"/>
                <w:sz w:val="20"/>
                <w:u w:val="single"/>
              </w:rPr>
              <w:t>Title</w:t>
            </w:r>
            <w:r>
              <w:rPr>
                <w:rFonts w:cs="Times New Roman"/>
                <w:caps w:val="false"/>
                <w:smallCaps w:val="false"/>
                <w:szCs w:val="20"/>
                <w:u w:val="single"/>
              </w:rPr>
              <w:t>﻿</w:t>
            </w:r>
          </w:p>
        </w:tc>
        <w:tc>
          <w:tcPr>
            <w:tcW w:w="800" w:type="dxa"/>
            <w:tcBorders/>
            <w:vAlign w:val="center"/>
          </w:tcPr>
          <w:p>
            <w:pPr>
              <w:pStyle w:val="TableContents"/>
              <w:bidi w:val="0"/>
              <w:spacing w:before="0" w:after="0"/>
              <w:ind w:left="0" w:right="0" w:hanging="0"/>
              <w:jc w:val="left"/>
              <w:rPr>
                <w:caps w:val="false"/>
                <w:smallCaps w:val="false"/>
              </w:rPr>
            </w:pPr>
            <w:r>
              <w:rPr>
                <w:rFonts w:ascii="Times New Roman" w:hAnsi="Times New Roman"/>
                <w:caps w:val="false"/>
                <w:smallCaps w:val="false"/>
                <w:sz w:val="20"/>
                <w:u w:val="single"/>
              </w:rPr>
              <w:t>Action</w:t>
            </w:r>
            <w:r>
              <w:rPr>
                <w:rFonts w:cs="Times New Roman"/>
                <w:caps w:val="false"/>
                <w:smallCaps w:val="false"/>
                <w:szCs w:val="20"/>
                <w:u w:val="single"/>
              </w:rPr>
              <w:t>﻿</w:t>
            </w:r>
          </w:p>
        </w:tc>
        <w:tc>
          <w:tcPr>
            <w:tcW w:w="1143" w:type="dxa"/>
            <w:tcBorders/>
            <w:vAlign w:val="center"/>
          </w:tcPr>
          <w:p>
            <w:pPr>
              <w:pStyle w:val="TableContents"/>
              <w:bidi w:val="0"/>
              <w:spacing w:before="0" w:after="0"/>
              <w:ind w:left="0" w:right="0" w:hanging="0"/>
              <w:jc w:val="left"/>
              <w:rPr>
                <w:caps w:val="false"/>
                <w:smallCaps w:val="false"/>
              </w:rPr>
            </w:pPr>
            <w:r>
              <w:rPr>
                <w:rFonts w:ascii="Times New Roman" w:hAnsi="Times New Roman"/>
                <w:caps w:val="false"/>
                <w:smallCaps w:val="false"/>
                <w:sz w:val="20"/>
                <w:u w:val="single"/>
              </w:rPr>
              <w:t>Date Adopted</w:t>
            </w:r>
            <w:r>
              <w:rPr>
                <w:rFonts w:cs="Times New Roman"/>
                <w:caps w:val="false"/>
                <w:smallCaps w:val="false"/>
                <w:szCs w:val="20"/>
                <w:u w:val="single"/>
              </w:rPr>
              <w:t>﻿</w:t>
            </w:r>
          </w:p>
        </w:tc>
        <w:tc>
          <w:tcPr>
            <w:tcW w:w="1183" w:type="dxa"/>
            <w:tcBorders/>
            <w:vAlign w:val="center"/>
          </w:tcPr>
          <w:p>
            <w:pPr>
              <w:pStyle w:val="TableContents"/>
              <w:bidi w:val="0"/>
              <w:spacing w:before="0" w:after="0"/>
              <w:ind w:left="0" w:right="0" w:hanging="0"/>
              <w:jc w:val="left"/>
              <w:rPr>
                <w:caps w:val="false"/>
                <w:smallCaps w:val="false"/>
              </w:rPr>
            </w:pPr>
            <w:r>
              <w:rPr>
                <w:rFonts w:ascii="Times New Roman" w:hAnsi="Times New Roman"/>
                <w:caps w:val="false"/>
                <w:smallCaps w:val="false"/>
                <w:sz w:val="20"/>
                <w:u w:val="single"/>
              </w:rPr>
              <w:t>Expiration Date</w:t>
            </w:r>
            <w:r>
              <w:rPr>
                <w:rFonts w:cs="Times New Roman"/>
                <w:caps w:val="false"/>
                <w:smallCaps w:val="false"/>
                <w:szCs w:val="20"/>
                <w:u w:val="single"/>
              </w:rPr>
              <w:t>﻿</w:t>
            </w:r>
          </w:p>
        </w:tc>
        <w:tc>
          <w:tcPr>
            <w:tcW w:w="2937" w:type="dxa"/>
            <w:tcBorders/>
            <w:vAlign w:val="center"/>
          </w:tcPr>
          <w:p>
            <w:pPr>
              <w:pStyle w:val="TableContents"/>
              <w:bidi w:val="0"/>
              <w:spacing w:before="0" w:after="0"/>
              <w:ind w:left="0" w:right="0" w:hanging="0"/>
              <w:jc w:val="left"/>
              <w:rPr>
                <w:caps w:val="false"/>
                <w:smallCaps w:val="false"/>
              </w:rPr>
            </w:pPr>
            <w:r>
              <w:rPr>
                <w:rFonts w:ascii="Times New Roman" w:hAnsi="Times New Roman"/>
                <w:caps w:val="false"/>
                <w:smallCaps w:val="false"/>
                <w:sz w:val="20"/>
                <w:u w:val="single"/>
              </w:rPr>
              <w:t>Aggregate # of Securities to be Purchased/Sold</w:t>
            </w:r>
            <w:r>
              <w:rPr>
                <w:rFonts w:cs="Times New Roman"/>
                <w:caps w:val="false"/>
                <w:smallCaps w:val="false"/>
                <w:szCs w:val="20"/>
              </w:rPr>
              <w:t>﻿</w:t>
            </w:r>
          </w:p>
        </w:tc>
      </w:tr>
      <w:tr>
        <w:trPr/>
        <w:tc>
          <w:tcPr>
            <w:tcW w:w="1791" w:type="dxa"/>
            <w:tcBorders/>
            <w:vAlign w:val="center"/>
          </w:tcPr>
          <w:p>
            <w:pPr>
              <w:pStyle w:val="TableContents"/>
              <w:bidi w:val="0"/>
              <w:spacing w:lineRule="auto" w:line="288" w:before="0" w:after="0"/>
              <w:ind w:left="0" w:right="0" w:hanging="0"/>
              <w:jc w:val="left"/>
              <w:rPr/>
            </w:pPr>
            <w:r>
              <w:rPr>
                <w:rFonts w:ascii="Times New Roman" w:hAnsi="Times New Roman"/>
                <w:caps w:val="false"/>
                <w:smallCaps w:val="false"/>
                <w:sz w:val="20"/>
              </w:rPr>
              <w:t>Hung-Lun (Fred) Chang(</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23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SVP/North America General Manager</w:t>
            </w:r>
          </w:p>
        </w:tc>
        <w:tc>
          <w:tcPr>
            <w:tcW w:w="800" w:type="dxa"/>
            <w:tcBorders/>
            <w:vAlign w:val="center"/>
          </w:tcPr>
          <w:p>
            <w:pPr>
              <w:pStyle w:val="TableContents"/>
              <w:bidi w:val="0"/>
              <w:spacing w:before="0" w:after="0"/>
              <w:ind w:left="0" w:right="0" w:hanging="0"/>
              <w:jc w:val="left"/>
              <w:rPr>
                <w:caps w:val="false"/>
                <w:smallCaps w:val="false"/>
              </w:rPr>
            </w:pPr>
            <w:r>
              <w:rPr>
                <w:rFonts w:ascii="Times New Roman" w:hAnsi="Times New Roman"/>
                <w:caps w:val="false"/>
                <w:smallCaps w:val="false"/>
                <w:sz w:val="20"/>
              </w:rPr>
              <w:t>Adoption</w:t>
            </w:r>
            <w:r>
              <w:rPr>
                <w:rFonts w:cs="Times New Roman"/>
                <w:caps w:val="false"/>
                <w:smallCaps w:val="false"/>
                <w:szCs w:val="20"/>
              </w:rPr>
              <w:t>﻿</w:t>
            </w:r>
          </w:p>
        </w:tc>
        <w:tc>
          <w:tcPr>
            <w:tcW w:w="1143"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March 18, 2026</w:t>
            </w:r>
            <w:r>
              <w:rPr>
                <w:rStyle w:val="Emphasis"/>
                <w:rFonts w:cs="Times New Roman"/>
                <w:caps w:val="false"/>
                <w:smallCaps w:val="false"/>
                <w:szCs w:val="20"/>
              </w:rPr>
              <w:t>﻿</w:t>
            </w:r>
          </w:p>
        </w:tc>
        <w:tc>
          <w:tcPr>
            <w:tcW w:w="1183"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March 1, 2027</w:t>
            </w:r>
            <w:r>
              <w:rPr>
                <w:rStyle w:val="Emphasis"/>
                <w:rFonts w:cs="Times New Roman"/>
                <w:caps w:val="false"/>
                <w:smallCaps w:val="false"/>
                <w:szCs w:val="20"/>
              </w:rPr>
              <w:t>﻿</w:t>
            </w:r>
          </w:p>
        </w:tc>
        <w:tc>
          <w:tcPr>
            <w:tcW w:w="29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55,329</w:t>
            </w:r>
          </w:p>
        </w:tc>
      </w:tr>
      <w:tr>
        <w:trPr/>
        <w:tc>
          <w:tcPr>
            <w:tcW w:w="1791" w:type="dxa"/>
            <w:tcBorders/>
            <w:vAlign w:val="center"/>
          </w:tcPr>
          <w:p>
            <w:pPr>
              <w:pStyle w:val="TableContents"/>
              <w:bidi w:val="0"/>
              <w:spacing w:lineRule="auto" w:line="288" w:before="0" w:after="0"/>
              <w:ind w:left="0" w:right="0" w:hanging="0"/>
              <w:jc w:val="left"/>
              <w:rPr/>
            </w:pPr>
            <w:r>
              <w:rPr>
                <w:rFonts w:ascii="Times New Roman" w:hAnsi="Times New Roman"/>
                <w:caps w:val="false"/>
                <w:smallCaps w:val="false"/>
                <w:sz w:val="20"/>
              </w:rPr>
              <w:t>Shu-Hua (Joshua) Yeh(</w:t>
            </w:r>
            <w:r>
              <w:rPr>
                <w:rStyle w:val="Emphasis"/>
                <w:rFonts w:ascii="Times New Roman" w:hAnsi="Times New Roman"/>
                <w:caps w:val="false"/>
                <w:smallCaps w:val="false"/>
                <w:sz w:val="20"/>
              </w:rPr>
              <w:t>2</w:t>
            </w:r>
            <w:r>
              <w:rPr>
                <w:rFonts w:ascii="Times New Roman" w:hAnsi="Times New Roman"/>
                <w:caps w:val="false"/>
                <w:smallCaps w:val="false"/>
                <w:sz w:val="20"/>
              </w:rPr>
              <w:t>)</w:t>
            </w:r>
          </w:p>
        </w:tc>
        <w:tc>
          <w:tcPr>
            <w:tcW w:w="23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SVP/Asia General Manager</w:t>
            </w:r>
          </w:p>
        </w:tc>
        <w:tc>
          <w:tcPr>
            <w:tcW w:w="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Adoption</w:t>
            </w:r>
          </w:p>
        </w:tc>
        <w:tc>
          <w:tcPr>
            <w:tcW w:w="1143"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March 19, 2026</w:t>
            </w:r>
          </w:p>
        </w:tc>
        <w:tc>
          <w:tcPr>
            <w:tcW w:w="1183"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June 18, 2027</w:t>
            </w:r>
          </w:p>
        </w:tc>
        <w:tc>
          <w:tcPr>
            <w:tcW w:w="29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72,000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Hung-Lun (Fred) Chang, our Senior Vice President and North America General Manager, entered into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March 18, 2026. </w:t>
      </w:r>
      <w:r>
        <w:rPr>
          <w:rFonts w:ascii="Times New Roman" w:hAnsi="Times New Roman"/>
          <w:caps w:val="false"/>
          <w:smallCaps w:val="false"/>
          <w:sz w:val="20"/>
        </w:rPr>
        <w:t xml:space="preserve">Dr. Chang's plan provides for the potential sale of up to </w:t>
      </w:r>
      <w:r>
        <w:rPr>
          <w:rStyle w:val="Emphasis"/>
          <w:rFonts w:ascii="Times New Roman" w:hAnsi="Times New Roman"/>
          <w:caps w:val="false"/>
          <w:smallCaps w:val="false"/>
          <w:sz w:val="20"/>
        </w:rPr>
        <w:t>55,329</w:t>
      </w:r>
      <w:r>
        <w:rPr>
          <w:rFonts w:ascii="Times New Roman" w:hAnsi="Times New Roman"/>
          <w:caps w:val="false"/>
          <w:smallCaps w:val="false"/>
          <w:sz w:val="20"/>
        </w:rPr>
        <w:t xml:space="preserve"> shares of the Company's common stock. The plan is set to expire on </w:t>
      </w:r>
      <w:r>
        <w:rPr>
          <w:rStyle w:val="Emphasis"/>
          <w:rFonts w:ascii="Times New Roman" w:hAnsi="Times New Roman"/>
          <w:caps w:val="false"/>
          <w:smallCaps w:val="false"/>
          <w:sz w:val="20"/>
        </w:rPr>
        <w:t xml:space="preserve">March 1, 2027, </w:t>
      </w:r>
      <w:r>
        <w:rPr>
          <w:rFonts w:ascii="Times New Roman" w:hAnsi="Times New Roman"/>
          <w:caps w:val="false"/>
          <w:smallCaps w:val="false"/>
          <w:sz w:val="20"/>
        </w:rPr>
        <w:t>or upon the earlier completion of all authorized transactions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Shu-Hua (Joshua) Yeh, our Senior Vice President and Asia General Manager, entered into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March 19, 2026. </w:t>
      </w:r>
      <w:r>
        <w:rPr>
          <w:rFonts w:ascii="Times New Roman" w:hAnsi="Times New Roman"/>
          <w:caps w:val="false"/>
          <w:smallCaps w:val="false"/>
          <w:sz w:val="20"/>
        </w:rPr>
        <w:t xml:space="preserve">Mr. Yeh's plan provides for the potential sale of up to </w:t>
      </w:r>
      <w:r>
        <w:rPr>
          <w:rStyle w:val="Emphasis"/>
          <w:rFonts w:ascii="Times New Roman" w:hAnsi="Times New Roman"/>
          <w:caps w:val="false"/>
          <w:smallCaps w:val="false"/>
          <w:sz w:val="20"/>
        </w:rPr>
        <w:t>72,000</w:t>
      </w:r>
      <w:r>
        <w:rPr>
          <w:rFonts w:ascii="Times New Roman" w:hAnsi="Times New Roman"/>
          <w:caps w:val="false"/>
          <w:smallCaps w:val="false"/>
          <w:sz w:val="20"/>
        </w:rPr>
        <w:t xml:space="preserve"> shares of the Company's common stock. The plan is set to expire on </w:t>
      </w:r>
      <w:r>
        <w:rPr>
          <w:rStyle w:val="Emphasis"/>
          <w:rFonts w:ascii="Times New Roman" w:hAnsi="Times New Roman"/>
          <w:caps w:val="false"/>
          <w:smallCaps w:val="false"/>
          <w:sz w:val="20"/>
        </w:rPr>
        <w:t xml:space="preserve">June 18, 2027, </w:t>
      </w:r>
      <w:r>
        <w:rPr>
          <w:rFonts w:ascii="Times New Roman" w:hAnsi="Times New Roman"/>
          <w:caps w:val="false"/>
          <w:smallCaps w:val="false"/>
          <w:sz w:val="20"/>
        </w:rPr>
        <w:t>or upon the earlier completion of all authorized transactions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8" w:name="exhibits"/>
      <w:bookmarkEnd w:id="18"/>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10"/>
        <w:gridCol w:w="240"/>
        <w:gridCol w:w="925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2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left"/>
              <w:rPr/>
            </w:pPr>
            <w:r>
              <w:rPr/>
              <w:t>3.1*</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2">
              <w:r>
                <w:rPr>
                  <w:rStyle w:val="InternetLink"/>
                </w:rPr>
                <w:t>Restated Certificate of Incorporation (filed as Exhibit 3.2 to the Registrant's Current Report on Form 8-K filed with the Securities and Exchange Commission on June 12, 2025).</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283"/>
              <w:jc w:val="left"/>
              <w:rPr/>
            </w:pPr>
            <w:r>
              <w:rPr/>
              <w:t>3.3*</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4">
              <w:r>
                <w:rPr>
                  <w:rStyle w:val="InternetLink"/>
                  <w:u w:val="single"/>
                </w:rPr>
                <w:t>Amendment No. 1 to the Amended and Restated Bylaws, as currently in effect (filed as Exhibit 3.1 to the Registrant’s Current Report on Form 8-K filed with the Securities and Exchange Commission on April 2, 2025).</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1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w:t>
            </w:r>
          </w:p>
        </w:tc>
      </w:tr>
      <w:tr>
        <w:trPr/>
        <w:tc>
          <w:tcPr>
            <w:tcW w:w="710" w:type="dxa"/>
            <w:tcBorders/>
            <w:tcMar>
              <w:bottom w:w="0" w:type="dxa"/>
            </w:tcMar>
            <w:vAlign w:val="center"/>
          </w:tcPr>
          <w:p>
            <w:pPr>
              <w:pStyle w:val="TableContents"/>
              <w:bidi w:val="0"/>
              <w:spacing w:before="0" w:after="283"/>
              <w:jc w:val="left"/>
              <w:rPr/>
            </w:pPr>
            <w:r>
              <w:rPr/>
              <w:t>4.2*</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6">
              <w:r>
                <w:rPr>
                  <w:rStyle w:val="InternetLink"/>
                  <w:u w:val="single"/>
                </w:rPr>
                <w:t>Indenture, dated as of December 23, 2024 between Applied Optoelectronics, Inc. and Computershare Trust Company, as trustee (filed as Exhibit 4.1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7">
              <w:r>
                <w:rPr>
                  <w:rStyle w:val="InternetLink"/>
                  <w:u w:val="single"/>
                </w:rPr>
                <w:t>Form of Note representing the Company’s 2.75% Convertible Senior Notes due 2030 (included as Exhibit 4.2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4.4*</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8">
              <w:r>
                <w:rPr>
                  <w:rStyle w:val="InternetLink"/>
                  <w:u w:val="single"/>
                </w:rPr>
                <w:t>First Supplemental Indenture, dated as of December 23, 2024, between Applied Optoelectronics, Inc. and Computershare Trust Company, N.A., as trustee (included as Exhibit 4.3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4.5*</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9">
              <w:r>
                <w:rPr>
                  <w:rStyle w:val="InternetLink"/>
                  <w:u w:val="single"/>
                </w:rPr>
                <w:t>Warrant to Purchase Common Stock of Applied Optoelectronics, Inc. by and between Applied Optoelectronics, Inc. and Amazon.com NV Investment Holdings LLC, dated as of March 13, 2025 (included as Exhibit 4.1 to the Registrant’</w:t>
              </w:r>
            </w:hyperlink>
            <w:hyperlink r:id="rId10">
              <w:r>
                <w:rPr>
                  <w:rStyle w:val="InternetLink"/>
                </w:rPr>
                <w:t>﻿</w:t>
              </w:r>
            </w:hyperlink>
            <w:hyperlink r:id="rId11">
              <w:r>
                <w:rPr>
                  <w:rStyle w:val="InternetLink"/>
                  <w:u w:val="single"/>
                </w:rPr>
                <w:t>s Current Report on Form 8-K filed with the Securities and Exchange Commission on March 13, 2025).</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3"/>
        <w:gridCol w:w="60"/>
        <w:gridCol w:w="9542"/>
      </w:tblGrid>
      <w:tr>
        <w:trPr/>
        <w:tc>
          <w:tcPr>
            <w:tcW w:w="60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60" w:type="dxa"/>
            <w:tcBorders/>
            <w:vAlign w:val="bottom"/>
          </w:tcPr>
          <w:p>
            <w:pPr>
              <w:pStyle w:val="TableContents"/>
              <w:bidi w:val="0"/>
              <w:spacing w:before="0" w:after="0"/>
              <w:ind w:left="0" w:right="0" w:hanging="0"/>
              <w:jc w:val="left"/>
              <w:rPr/>
            </w:pPr>
            <w:r>
              <w:rPr/>
              <w:t> </w:t>
            </w:r>
          </w:p>
        </w:tc>
        <w:tc>
          <w:tcPr>
            <w:tcW w:w="9542" w:type="dxa"/>
            <w:tcBorders/>
          </w:tcPr>
          <w:p>
            <w:pPr>
              <w:pStyle w:val="TableContents"/>
              <w:bidi w:val="0"/>
              <w:spacing w:before="0" w:after="0"/>
              <w:ind w:left="0" w:right="0" w:hanging="0"/>
              <w:jc w:val="left"/>
              <w:rPr/>
            </w:pPr>
            <w:hyperlink r:id="rId12">
              <w:r>
                <w:rPr>
                  <w:rStyle w:val="InternetLink"/>
                  <w:rFonts w:ascii="Times New Roman;Times;serif" w:hAnsi="Times New Roman;Times;serif"/>
                  <w:sz w:val="20"/>
                </w:rPr>
                <w:t>Form of Executive Employment Agreement Amendment approved on February 13, 2026 (included as Exhibit 10.1 to the Registrant’s Current Report on Form 8-K filed with the Securities and Exchange Commission on February 19, 2026). </w:t>
              </w:r>
            </w:hyperlink>
          </w:p>
        </w:tc>
      </w:tr>
      <w:tr>
        <w:trPr/>
        <w:tc>
          <w:tcPr>
            <w:tcW w:w="603"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9542" w:type="dxa"/>
            <w:tcBorders/>
          </w:tcPr>
          <w:p>
            <w:pPr>
              <w:pStyle w:val="TableContents"/>
              <w:bidi w:val="0"/>
              <w:spacing w:before="0" w:after="0"/>
              <w:ind w:left="0" w:right="0" w:hanging="0"/>
              <w:jc w:val="left"/>
              <w:rPr/>
            </w:pPr>
            <w:r>
              <w:rPr/>
              <w:t> </w:t>
            </w:r>
          </w:p>
        </w:tc>
      </w:tr>
      <w:tr>
        <w:trPr/>
        <w:tc>
          <w:tcPr>
            <w:tcW w:w="60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60" w:type="dxa"/>
            <w:tcBorders/>
            <w:vAlign w:val="bottom"/>
          </w:tcPr>
          <w:p>
            <w:pPr>
              <w:pStyle w:val="TableContents"/>
              <w:bidi w:val="0"/>
              <w:spacing w:before="0" w:after="0"/>
              <w:ind w:left="0" w:right="0" w:hanging="0"/>
              <w:jc w:val="left"/>
              <w:rPr/>
            </w:pPr>
            <w:r>
              <w:rPr/>
              <w:t> </w:t>
            </w:r>
          </w:p>
        </w:tc>
        <w:tc>
          <w:tcPr>
            <w:tcW w:w="9542" w:type="dxa"/>
            <w:tcBorders/>
          </w:tcPr>
          <w:p>
            <w:pPr>
              <w:pStyle w:val="TableContents"/>
              <w:bidi w:val="0"/>
              <w:spacing w:before="0" w:after="0"/>
              <w:ind w:left="0" w:right="0" w:hanging="0"/>
              <w:jc w:val="left"/>
              <w:rPr/>
            </w:pPr>
            <w:hyperlink r:id="rId13">
              <w:r>
                <w:rPr>
                  <w:rStyle w:val="InternetLink"/>
                  <w:rFonts w:ascii="Times New Roman;Times;serif" w:hAnsi="Times New Roman;Times;serif"/>
                  <w:sz w:val="20"/>
                </w:rPr>
                <w:t>Lease Agreement executed February 23, 2026, by and between Applied Optoelectronics, Inc. and Blue Ridge Commerce Center West LLC (included as Exhibit 10.1 to the Registrant’s Current Report on Form 8-K filed with the Securities and Exchange Commission on February 27, 2026).</w:t>
              </w:r>
            </w:hyperlink>
            <w:r>
              <w:rPr>
                <w:rFonts w:ascii="Times New Roman;Times;serif" w:hAnsi="Times New Roman;Times;serif"/>
                <w:sz w:val="20"/>
              </w:rPr>
              <w:t> </w:t>
            </w:r>
          </w:p>
        </w:tc>
      </w:tr>
      <w:tr>
        <w:trPr/>
        <w:tc>
          <w:tcPr>
            <w:tcW w:w="603"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9542" w:type="dxa"/>
            <w:tcBorders/>
          </w:tcPr>
          <w:p>
            <w:pPr>
              <w:pStyle w:val="TableContents"/>
              <w:bidi w:val="0"/>
              <w:spacing w:before="0" w:after="0"/>
              <w:ind w:left="0" w:right="0" w:hanging="0"/>
              <w:jc w:val="left"/>
              <w:rPr/>
            </w:pPr>
            <w:r>
              <w:rPr/>
              <w:t> </w:t>
            </w:r>
          </w:p>
        </w:tc>
      </w:tr>
      <w:tr>
        <w:trPr/>
        <w:tc>
          <w:tcPr>
            <w:tcW w:w="60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60" w:type="dxa"/>
            <w:tcBorders/>
            <w:vAlign w:val="bottom"/>
          </w:tcPr>
          <w:p>
            <w:pPr>
              <w:pStyle w:val="TableContents"/>
              <w:bidi w:val="0"/>
              <w:spacing w:before="0" w:after="0"/>
              <w:ind w:left="0" w:right="0" w:hanging="0"/>
              <w:jc w:val="left"/>
              <w:rPr/>
            </w:pPr>
            <w:r>
              <w:rPr/>
              <w:t> </w:t>
            </w:r>
          </w:p>
        </w:tc>
        <w:tc>
          <w:tcPr>
            <w:tcW w:w="9542" w:type="dxa"/>
            <w:tcBorders/>
          </w:tcPr>
          <w:p>
            <w:pPr>
              <w:pStyle w:val="TableContents"/>
              <w:bidi w:val="0"/>
              <w:spacing w:before="0" w:after="0"/>
              <w:ind w:left="0" w:right="0" w:hanging="0"/>
              <w:jc w:val="left"/>
              <w:rPr/>
            </w:pPr>
            <w:hyperlink r:id="rId14">
              <w:r>
                <w:rPr>
                  <w:rStyle w:val="InternetLink"/>
                  <w:rFonts w:ascii="Times New Roman;Times;serif" w:hAnsi="Times New Roman;Times;serif"/>
                  <w:sz w:val="20"/>
                </w:rPr>
                <w:t>Standard Form of Agreement between Owner and Design-Builder (AIA Document A141-2024), effective as of February 13, 2026, by and between Applied Optoelectronics, Inc. and LCC3 Solution Inc. (included as Exhibit 10.1 to the Registrant’s Current Report on Form 8-K filed with the Securities and Exchange Commission on March 5, 2026).</w:t>
              </w:r>
            </w:hyperlink>
            <w:r>
              <w:rPr>
                <w:rFonts w:ascii="Times New Roman;Times;serif" w:hAnsi="Times New Roman;Times;serif"/>
                <w:sz w:val="20"/>
              </w:rPr>
              <w:t> </w:t>
            </w:r>
          </w:p>
        </w:tc>
      </w:tr>
      <w:tr>
        <w:trPr/>
        <w:tc>
          <w:tcPr>
            <w:tcW w:w="603"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9542" w:type="dxa"/>
            <w:tcBorders/>
          </w:tcPr>
          <w:p>
            <w:pPr>
              <w:pStyle w:val="TableContents"/>
              <w:bidi w:val="0"/>
              <w:spacing w:before="0" w:after="0"/>
              <w:ind w:left="0" w:right="0" w:hanging="0"/>
              <w:jc w:val="left"/>
              <w:rPr/>
            </w:pPr>
            <w:r>
              <w:rPr/>
              <w:t> </w:t>
            </w:r>
          </w:p>
        </w:tc>
      </w:tr>
      <w:tr>
        <w:trPr/>
        <w:tc>
          <w:tcPr>
            <w:tcW w:w="60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vAlign w:val="bottom"/>
          </w:tcPr>
          <w:p>
            <w:pPr>
              <w:pStyle w:val="TableContents"/>
              <w:bidi w:val="0"/>
              <w:spacing w:before="0" w:after="0"/>
              <w:ind w:left="0" w:right="0" w:hanging="0"/>
              <w:jc w:val="left"/>
              <w:rPr/>
            </w:pPr>
            <w:r>
              <w:rPr/>
              <w:t> </w:t>
            </w:r>
          </w:p>
        </w:tc>
        <w:tc>
          <w:tcPr>
            <w:tcW w:w="9542" w:type="dxa"/>
            <w:tcBorders/>
          </w:tcPr>
          <w:p>
            <w:pPr>
              <w:pStyle w:val="TableContents"/>
              <w:bidi w:val="0"/>
              <w:spacing w:before="0" w:after="0"/>
              <w:ind w:left="0" w:right="0" w:hanging="0"/>
              <w:jc w:val="left"/>
              <w:rPr/>
            </w:pPr>
            <w:hyperlink r:id="rId15">
              <w:r>
                <w:rPr>
                  <w:rStyle w:val="InternetLink"/>
                  <w:rFonts w:ascii="Times New Roman;Times;serif" w:hAnsi="Times New Roman;Times;serif"/>
                  <w:sz w:val="20"/>
                </w:rPr>
                <w:t>Exhibits Package to Design-Build Contract (FAB2 Exhibit Package), effective as of February 13, 2026 (included as Exhibit 10.2 to the Registrant’s Current Report on Form 8-K filed with the Securities and Exchange Commission on March 5, 2026). </w:t>
              </w:r>
            </w:hyperlink>
          </w:p>
        </w:tc>
      </w:tr>
      <w:tr>
        <w:trPr/>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283"/>
              <w:jc w:val="left"/>
              <w:rPr/>
            </w:pPr>
            <w:r>
              <w:rPr/>
              <w:t> </w:t>
            </w:r>
          </w:p>
        </w:tc>
      </w:tr>
      <w:tr>
        <w:trPr/>
        <w:tc>
          <w:tcPr>
            <w:tcW w:w="603" w:type="dxa"/>
            <w:tcBorders/>
            <w:vAlign w:val="center"/>
          </w:tcPr>
          <w:p>
            <w:pPr>
              <w:pStyle w:val="TableContents"/>
              <w:bidi w:val="0"/>
              <w:spacing w:before="0" w:after="283"/>
              <w:jc w:val="left"/>
              <w:rPr/>
            </w:pPr>
            <w:r>
              <w:rPr/>
              <w:t>31.1**</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283"/>
              <w:jc w:val="left"/>
              <w:rPr/>
            </w:pPr>
            <w:hyperlink w:anchor="ex_904988.htm">
              <w:r>
                <w:rPr>
                  <w:rStyle w:val="InternetLink"/>
                </w:rPr>
                <w:t>Certification of Chief Executive Officer pursuant to Exchange Act Rule, 13a-14(a) and 15d-14(a), as adopted pursuant to Section 302 of the Sarbanes-Oxley Act of 2002.</w:t>
              </w:r>
            </w:hyperlink>
          </w:p>
        </w:tc>
      </w:tr>
      <w:tr>
        <w:trPr/>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283"/>
              <w:jc w:val="left"/>
              <w:rPr/>
            </w:pPr>
            <w:r>
              <w:rPr/>
              <w:t> </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hyperlink w:anchor="ex_904989.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60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r>
              <w:rPr/>
              <w:t> </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hyperlink w:anchor="ex_904990.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60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r>
              <w:rPr/>
              <w:t> </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283"/>
              <w:jc w:val="left"/>
              <w:rPr/>
            </w:pPr>
            <w:r>
              <w:rPr/>
              <w:t> </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283"/>
              <w:jc w:val="left"/>
              <w:rPr/>
            </w:pPr>
            <w:r>
              <w:rPr/>
              <w:t> </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03"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r>
              <w:rPr/>
              <w:t>​</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03"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r>
              <w:rPr/>
              <w:t>​</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03"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r>
              <w:rPr/>
              <w:t>​</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03"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pPr>
            <w:r>
              <w:rPr/>
              <w:t>​</w:t>
            </w:r>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0"/>
              <w:ind w:left="0" w:right="0" w:hanging="0"/>
              <w:jc w:val="left"/>
              <w:rPr/>
            </w:pPr>
            <w:r>
              <w:rPr/>
              <w:t>​</w:t>
            </w:r>
          </w:p>
        </w:tc>
        <w:tc>
          <w:tcPr>
            <w:tcW w:w="9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83"/>
        <w:jc w:val="left"/>
        <w:rPr/>
      </w:pPr>
      <w:r>
        <w:rPr/>
        <w:t xml:space="preserve">†          </w:t>
      </w:r>
      <w:r>
        <w:rPr>
          <w:rFonts w:ascii="Times New Roman;serif" w:hAnsi="Times New Roman;serif"/>
          <w:sz w:val="20"/>
        </w:rPr>
        <w:t xml:space="preserve">Management contract, compensatory plan or arrangement.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870" w:type="dxa"/>
        <w:jc w:val="left"/>
        <w:tblInd w:w="0" w:type="dxa"/>
        <w:tblLayout w:type="fixed"/>
        <w:tblCellMar>
          <w:top w:w="0" w:type="dxa"/>
          <w:left w:w="0" w:type="dxa"/>
          <w:bottom w:w="0" w:type="dxa"/>
          <w:right w:w="0" w:type="dxa"/>
        </w:tblCellMar>
      </w:tblPr>
      <w:tblGrid>
        <w:gridCol w:w="1535"/>
        <w:gridCol w:w="320"/>
        <w:gridCol w:w="5015"/>
      </w:tblGrid>
      <w:tr>
        <w:trPr/>
        <w:tc>
          <w:tcPr>
            <w:tcW w:w="1535"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1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33 </w:t>
      </w:r>
    </w:p>
    <w:p>
      <w:pPr>
        <w:pStyle w:val="TextBody"/>
        <w:bidi w:val="0"/>
        <w:spacing w:before="0" w:after="0"/>
        <w:ind w:left="0" w:right="0" w:hanging="0"/>
        <w:jc w:val="right"/>
        <w:rPr>
          <w:rFonts w:ascii="Times New Roman;Times;serif" w:hAnsi="Times New Roman;Times;serif"/>
          <w:sz w:val="20"/>
        </w:rPr>
      </w:pPr>
      <w:bookmarkStart w:id="20" w:name="ex_904988.htm"/>
      <w:bookmarkStart w:id="21" w:name="ksex_904988"/>
      <w:bookmarkEnd w:id="20"/>
      <w:bookmarkEnd w:id="21"/>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2" w:name="ex_904989.htm"/>
      <w:bookmarkStart w:id="23" w:name="ksex_904989"/>
      <w:bookmarkEnd w:id="22"/>
      <w:bookmarkEnd w:id="23"/>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4" w:name="ex_904990.htm"/>
      <w:bookmarkStart w:id="25" w:name="ksex_904990"/>
      <w:bookmarkEnd w:id="24"/>
      <w:bookmarkEnd w:id="25"/>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6" w:name="led539606F20242211711043696668"/>
            <w:bookmarkEnd w:id="26"/>
            <w:r>
              <w:rPr>
                <w:rFonts w:ascii="Times New Roman;Times;serif" w:hAnsi="Times New Roman;Times;serif"/>
                <w:sz w:val="20"/>
              </w:rPr>
              <w:t>March 31, 2026,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7th day of May, 2026.</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68316825004444/aaoi_ex0302.htm" TargetMode="External"/><Relationship Id="rId3" Type="http://schemas.openxmlformats.org/officeDocument/2006/relationships/hyperlink" Target="http://www.sec.gov/Archives/edgar/data/1158114/000101968713004306/aaoi_10q-ex0302.htm" TargetMode="External"/><Relationship Id="rId4" Type="http://schemas.openxmlformats.org/officeDocument/2006/relationships/hyperlink" Target="http://www.sec.gov/Archives/edgar/data/1158114/000110465925030932/tm2511114d1_ex3-1.htm" TargetMode="External"/><Relationship Id="rId5" Type="http://schemas.openxmlformats.org/officeDocument/2006/relationships/hyperlink" Target="http://www.sec.gov/Archives/edgar/data/1158114/000110465915051289/a15-15715_1ex4d1.htm" TargetMode="External"/><Relationship Id="rId6" Type="http://schemas.openxmlformats.org/officeDocument/2006/relationships/hyperlink" Target="http://www.sec.gov/Archives/edgar/data/0001158114/000110465924131385/tm2431223d10_ex4-1.htm" TargetMode="External"/><Relationship Id="rId7" Type="http://schemas.openxmlformats.org/officeDocument/2006/relationships/hyperlink" Target="http://www.sec.gov/Archives/edgar/data/0001158114/000110465924131385/tm2431223d10_ex4-1.htm" TargetMode="External"/><Relationship Id="rId8" Type="http://schemas.openxmlformats.org/officeDocument/2006/relationships/hyperlink" Target="http://www.sec.gov/Archives/edgar/data/1158114/000110465924131385/tm2431223d10_ex4-3.htm" TargetMode="External"/><Relationship Id="rId9" Type="http://schemas.openxmlformats.org/officeDocument/2006/relationships/hyperlink" Target="http://www.sec.gov/Archives/edgar/data/1158114/000168316825001580/appliedopto_ex0401.htm" TargetMode="External"/><Relationship Id="rId10" Type="http://schemas.openxmlformats.org/officeDocument/2006/relationships/hyperlink" Target="http://www.sec.gov/Archives/edgar/data/1158114/000168316825001580/appliedopto_ex0401.htm" TargetMode="External"/><Relationship Id="rId11" Type="http://schemas.openxmlformats.org/officeDocument/2006/relationships/hyperlink" Target="http://www.sec.gov/Archives/edgar/data/1158114/000168316825001580/appliedopto_ex0401.htm" TargetMode="External"/><Relationship Id="rId12" Type="http://schemas.openxmlformats.org/officeDocument/2006/relationships/hyperlink" Target="http://www.sec.gov/Archives/edgar/data/1158114/000168316826001184/aaoi_ex1001.htm" TargetMode="External"/><Relationship Id="rId13" Type="http://schemas.openxmlformats.org/officeDocument/2006/relationships/hyperlink" Target="http://www.sec.gov/Archives/edgar/data/1158114/000168316826001360/aaoi_ex1001.htm" TargetMode="External"/><Relationship Id="rId14" Type="http://schemas.openxmlformats.org/officeDocument/2006/relationships/hyperlink" Target="http://www.sec.gov/Archives/edgar/data/1158114/000168316826001522/aaoi_ex1001.htm" TargetMode="External"/><Relationship Id="rId15" Type="http://schemas.openxmlformats.org/officeDocument/2006/relationships/hyperlink" Target="http://www.sec.gov/Archives/edgar/data/1158114/000168316826001522/aaoi_ex1002.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18941</Words>
  <Characters>103374</Characters>
  <CharactersWithSpaces>124198</CharactersWithSpaces>
  <Paragraphs>5796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