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94"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229" w:right="1060" w:hanging="3229"/>
        <w:spacing w:after="0" w:line="493" w:lineRule="auto"/>
        <w:tabs>
          <w:tab w:leader="none" w:pos="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989" w:right="1040" w:hanging="2989"/>
        <w:spacing w:after="0" w:line="501" w:lineRule="auto"/>
        <w:tabs>
          <w:tab w:leader="none" w:pos="19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ind w:left="3769"/>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409"/>
          </w:cols>
          <w:pgMar w:left="751" w:top="233" w:right="739" w:bottom="1440" w:gutter="0" w:footer="0" w:header="0"/>
        </w:sectPr>
      </w:pPr>
    </w:p>
    <w:p>
      <w:pPr>
        <w:spacing w:after="0" w:line="220" w:lineRule="exact"/>
        <w:rPr>
          <w:sz w:val="24"/>
          <w:szCs w:val="24"/>
          <w:color w:val="auto"/>
        </w:rPr>
      </w:pPr>
    </w:p>
    <w:p>
      <w:pPr>
        <w:jc w:val="center"/>
        <w:ind w:right="511"/>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1"/>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5709" w:space="720"/>
            <w:col w:w="3980"/>
          </w:cols>
          <w:pgMar w:left="751" w:top="233" w:right="739" w:bottom="1440" w:gutter="0" w:footer="0" w:header="0"/>
          <w:type w:val="continuous"/>
        </w:sectPr>
      </w:pPr>
    </w:p>
    <w:p>
      <w:pPr>
        <w:spacing w:after="0" w:line="1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93" w:lineRule="exact"/>
        <w:rPr>
          <w:sz w:val="24"/>
          <w:szCs w:val="24"/>
          <w:color w:val="auto"/>
        </w:rPr>
      </w:pPr>
    </w:p>
    <w:p>
      <w:pPr>
        <w:ind w:left="5069" w:hanging="428"/>
        <w:spacing w:after="0"/>
        <w:tabs>
          <w:tab w:leader="none" w:pos="506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394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197" w:lineRule="exact"/>
        <w:rPr>
          <w:sz w:val="24"/>
          <w:szCs w:val="24"/>
          <w:color w:val="auto"/>
        </w:rPr>
      </w:pPr>
    </w:p>
    <w:p>
      <w:pPr>
        <w:jc w:val="both"/>
        <w:ind w:left="9" w:firstLine="416"/>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w:t>
      </w:r>
    </w:p>
    <w:p>
      <w:pPr>
        <w:spacing w:after="0" w:line="1" w:lineRule="exact"/>
        <w:rPr>
          <w:sz w:val="24"/>
          <w:szCs w:val="24"/>
          <w:color w:val="auto"/>
        </w:rPr>
      </w:pPr>
    </w:p>
    <w:p>
      <w:pPr>
        <w:ind w:left="9"/>
        <w:spacing w:after="0" w:line="207" w:lineRule="exact"/>
        <w:tabs>
          <w:tab w:leader="none" w:pos="8548" w:val="left"/>
        </w:tabs>
        <w:rPr>
          <w:sz w:val="20"/>
          <w:szCs w:val="20"/>
          <w:color w:val="auto"/>
        </w:rPr>
      </w:pPr>
      <w:r>
        <w:rPr>
          <w:rFonts w:ascii="Arial" w:cs="Arial" w:eastAsia="Arial" w:hAnsi="Arial"/>
          <w:sz w:val="18"/>
          <w:szCs w:val="18"/>
          <w:color w:val="auto"/>
        </w:rPr>
        <w:t>reports), and (2) has been subject to such filing 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202" w:lineRule="exact"/>
        <w:rPr>
          <w:sz w:val="24"/>
          <w:szCs w:val="24"/>
          <w:color w:val="auto"/>
        </w:rPr>
      </w:pPr>
    </w:p>
    <w:p>
      <w:pPr>
        <w:jc w:val="both"/>
        <w:ind w:left="9" w:right="20" w:firstLine="41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896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02" w:lineRule="exact"/>
        <w:rPr>
          <w:sz w:val="24"/>
          <w:szCs w:val="24"/>
          <w:color w:val="auto"/>
        </w:rPr>
      </w:pPr>
    </w:p>
    <w:p>
      <w:pPr>
        <w:jc w:val="both"/>
        <w:ind w:left="9" w:firstLine="4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9"/>
          </w:cols>
          <w:pgMar w:left="751" w:top="233" w:right="739" w:bottom="1440" w:gutter="0" w:footer="0" w:header="0"/>
          <w:type w:val="continuous"/>
        </w:sectPr>
      </w:pPr>
    </w:p>
    <w:p>
      <w:pPr>
        <w:spacing w:after="0" w:line="168" w:lineRule="exact"/>
        <w:rPr>
          <w:sz w:val="24"/>
          <w:szCs w:val="24"/>
          <w:color w:val="auto"/>
        </w:rPr>
      </w:pPr>
    </w:p>
    <w:p>
      <w:pPr>
        <w:jc w:val="center"/>
        <w:ind w:left="609"/>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86" w:lineRule="exact"/>
        <w:rPr>
          <w:sz w:val="24"/>
          <w:szCs w:val="24"/>
          <w:color w:val="auto"/>
        </w:rPr>
      </w:pPr>
    </w:p>
    <w:p>
      <w:pPr>
        <w:sectPr>
          <w:pgSz w:w="11900" w:h="16838" w:orient="portrait"/>
          <w:cols w:equalWidth="0" w:num="2">
            <w:col w:w="3429" w:space="720"/>
            <w:col w:w="6260"/>
          </w:cols>
          <w:pgMar w:left="751" w:top="233" w:right="739" w:bottom="1440" w:gutter="0" w:footer="0" w:header="0"/>
          <w:type w:val="continuous"/>
        </w:sectPr>
      </w:pPr>
    </w:p>
    <w:p>
      <w:pPr>
        <w:ind w:left="1209"/>
        <w:spacing w:after="0"/>
        <w:rPr>
          <w:sz w:val="20"/>
          <w:szCs w:val="20"/>
          <w:color w:val="auto"/>
        </w:rPr>
      </w:pPr>
      <w:r>
        <w:rPr>
          <w:rFonts w:ascii="Arial" w:cs="Arial" w:eastAsia="Arial" w:hAnsi="Arial"/>
          <w:sz w:val="18"/>
          <w:szCs w:val="18"/>
          <w:color w:val="auto"/>
        </w:rPr>
        <w:t>Accelerated filer</w:t>
      </w:r>
    </w:p>
    <w:p>
      <w:pPr>
        <w:ind w:left="1209"/>
        <w:spacing w:after="0" w:line="219" w:lineRule="auto"/>
        <w:rPr>
          <w:sz w:val="20"/>
          <w:szCs w:val="20"/>
          <w:color w:val="auto"/>
        </w:rPr>
      </w:pPr>
      <w:r>
        <w:rPr>
          <w:rFonts w:ascii="Arial" w:cs="Arial" w:eastAsia="Arial" w:hAnsi="Arial"/>
          <w:sz w:val="18"/>
          <w:szCs w:val="18"/>
          <w:color w:val="auto"/>
        </w:rPr>
        <w:t>Non-accelerated filer</w:t>
      </w:r>
    </w:p>
    <w:p>
      <w:pPr>
        <w:ind w:left="1209"/>
        <w:spacing w:after="0"/>
        <w:rPr>
          <w:sz w:val="20"/>
          <w:szCs w:val="20"/>
          <w:color w:val="auto"/>
        </w:rPr>
      </w:pPr>
      <w:r>
        <w:rPr>
          <w:rFonts w:ascii="Arial" w:cs="Arial" w:eastAsia="Arial" w:hAnsi="Arial"/>
          <w:sz w:val="16"/>
          <w:szCs w:val="16"/>
          <w:color w:val="auto"/>
        </w:rPr>
        <w:t>Smaller reporting company</w:t>
      </w:r>
    </w:p>
    <w:p>
      <w:pPr>
        <w:spacing w:after="0" w:line="5" w:lineRule="exact"/>
        <w:rPr>
          <w:sz w:val="24"/>
          <w:szCs w:val="24"/>
          <w:color w:val="auto"/>
        </w:rPr>
      </w:pPr>
    </w:p>
    <w:p>
      <w:pPr>
        <w:ind w:left="1209"/>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30" w:lineRule="exact"/>
        <w:rPr>
          <w:sz w:val="24"/>
          <w:szCs w:val="24"/>
          <w:color w:val="auto"/>
        </w:rPr>
      </w:pPr>
    </w:p>
    <w:p>
      <w:pPr>
        <w:sectPr>
          <w:pgSz w:w="11900" w:h="16838" w:orient="portrait"/>
          <w:cols w:equalWidth="0" w:num="2">
            <w:col w:w="3429" w:space="720"/>
            <w:col w:w="6260"/>
          </w:cols>
          <w:pgMar w:left="751" w:top="233" w:right="739" w:bottom="1440" w:gutter="0" w:footer="0" w:header="0"/>
          <w:type w:val="continuous"/>
        </w:sectPr>
      </w:pPr>
    </w:p>
    <w:p>
      <w:pPr>
        <w:spacing w:after="0" w:line="19" w:lineRule="exact"/>
        <w:rPr>
          <w:sz w:val="24"/>
          <w:szCs w:val="24"/>
          <w:color w:val="auto"/>
        </w:rPr>
      </w:pPr>
    </w:p>
    <w:p>
      <w:pPr>
        <w:ind w:left="409"/>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w:t>
      </w:r>
    </w:p>
    <w:p>
      <w:pPr>
        <w:spacing w:after="0" w:line="30" w:lineRule="exact"/>
        <w:rPr>
          <w:sz w:val="24"/>
          <w:szCs w:val="24"/>
          <w:color w:val="auto"/>
        </w:rPr>
      </w:pPr>
    </w:p>
    <w:tbl>
      <w:tblPr>
        <w:tblLayout w:type="fixed"/>
        <w:tblInd w:w="9" w:type="dxa"/>
        <w:tblCellMar>
          <w:top w:w="0" w:type="dxa"/>
          <w:left w:w="0" w:type="dxa"/>
          <w:bottom w:w="0" w:type="dxa"/>
          <w:right w:w="0" w:type="dxa"/>
        </w:tblCellMar>
      </w:tblPr>
      <w:tr>
        <w:trPr>
          <w:trHeight w:val="283"/>
        </w:trPr>
        <w:tc>
          <w:tcPr>
            <w:tcW w:w="8920" w:type="dxa"/>
            <w:vAlign w:val="bottom"/>
          </w:tcPr>
          <w:p>
            <w:pPr>
              <w:spacing w:after="0"/>
              <w:rPr>
                <w:sz w:val="20"/>
                <w:szCs w:val="20"/>
                <w:color w:val="auto"/>
              </w:rPr>
            </w:pPr>
            <w:r>
              <w:rPr>
                <w:rFonts w:ascii="Arial" w:cs="Arial" w:eastAsia="Arial" w:hAnsi="Arial"/>
                <w:sz w:val="18"/>
                <w:szCs w:val="18"/>
                <w:color w:val="auto"/>
                <w:w w:val="91"/>
              </w:rPr>
              <w:t>complying with any new or revised financial accounting standards provided pursuant to Section 13(a) of the Exchange Act.</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7"/>
        </w:trPr>
        <w:tc>
          <w:tcPr>
            <w:tcW w:w="8920" w:type="dxa"/>
            <w:vAlign w:val="bottom"/>
          </w:tcPr>
          <w:p>
            <w:pPr>
              <w:ind w:left="400"/>
              <w:spacing w:after="0"/>
              <w:rPr>
                <w:sz w:val="20"/>
                <w:szCs w:val="20"/>
                <w:color w:val="auto"/>
              </w:rPr>
            </w:pPr>
            <w:r>
              <w:rPr>
                <w:rFonts w:ascii="Arial" w:cs="Arial" w:eastAsia="Arial" w:hAnsi="Arial"/>
                <w:sz w:val="18"/>
                <w:szCs w:val="18"/>
                <w:color w:val="auto"/>
                <w:w w:val="94"/>
              </w:rPr>
              <w:t>Indicate by check mark whether the registrant is a shell company (as defined in Rule 12b-2 of the Exchange Act).</w:t>
            </w:r>
          </w:p>
        </w:tc>
        <w:tc>
          <w:tcPr>
            <w:tcW w:w="1020" w:type="dxa"/>
            <w:vAlign w:val="bottom"/>
            <w:vMerge w:val="restart"/>
          </w:tcPr>
          <w:p>
            <w:pPr>
              <w:ind w:left="40"/>
              <w:spacing w:after="0" w:line="207" w:lineRule="exact"/>
              <w:rPr>
                <w:sz w:val="20"/>
                <w:szCs w:val="20"/>
                <w:color w:val="auto"/>
              </w:rPr>
            </w:pPr>
            <w:r>
              <w:rPr>
                <w:rFonts w:ascii="Arial" w:cs="Arial" w:eastAsia="Arial" w:hAnsi="Arial"/>
                <w:sz w:val="18"/>
                <w:szCs w:val="18"/>
                <w:color w:val="auto"/>
                <w:w w:val="91"/>
              </w:rPr>
              <w:t xml:space="preserve">Yes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No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6"/>
        </w:trPr>
        <w:tc>
          <w:tcPr>
            <w:tcW w:w="89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9"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1, 2018 there were 19,798,663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w w:val="89"/>
              </w:rPr>
              <w:t>Applied Optoelectronics, Inc.</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0" w:type="dxa"/>
            <w:vAlign w:val="bottom"/>
            <w:gridSpan w:val="10"/>
          </w:tcPr>
          <w:p>
            <w:pPr>
              <w:jc w:val="center"/>
              <w:ind w:right="3400"/>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11"/>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6380" w:type="dxa"/>
            <w:vAlign w:val="bottom"/>
            <w:gridSpan w:val="14"/>
            <w:vMerge w:val="restart"/>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11"/>
            <w:vMerge w:val="continue"/>
          </w:tcPr>
          <w:p>
            <w:pPr>
              <w:spacing w:after="0"/>
              <w:rPr>
                <w:sz w:val="13"/>
                <w:szCs w:val="13"/>
                <w:color w:val="auto"/>
              </w:rPr>
            </w:pPr>
          </w:p>
        </w:tc>
        <w:tc>
          <w:tcPr>
            <w:tcW w:w="6380" w:type="dxa"/>
            <w:vAlign w:val="bottom"/>
            <w:gridSpan w:val="14"/>
            <w:vMerge w:val="continue"/>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36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as of September 30, 2018 (Unaudited) and December 31, 2017</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w:t>
              </w:r>
            </w:hyperlink>
          </w:p>
        </w:tc>
        <w:tc>
          <w:tcPr>
            <w:tcW w:w="3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2018 and 2017 (Unaudited)</w:t>
              </w:r>
            </w:hyperlink>
          </w:p>
        </w:tc>
        <w:tc>
          <w:tcPr>
            <w:tcW w:w="588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Nine Months ended</w:t>
              </w:r>
            </w:hyperlink>
          </w:p>
        </w:tc>
        <w:tc>
          <w:tcPr>
            <w:tcW w:w="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2017 (Unaudited)</w:t>
              </w:r>
            </w:hyperlink>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for the Three and Nine Months ended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2018 and 2017 (Unaudited)</w:t>
              </w:r>
            </w:hyperlink>
          </w:p>
        </w:tc>
        <w:tc>
          <w:tcPr>
            <w:tcW w:w="720" w:type="dxa"/>
            <w:vAlign w:val="bottom"/>
            <w:gridSpan w:val="4"/>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Nine Months ended September 30, 2018 and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(Unaudited)</w:t>
              </w:r>
            </w:hyperlink>
          </w:p>
        </w:tc>
        <w:tc>
          <w:tcPr>
            <w:tcW w:w="38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26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50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2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786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2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352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260" w:type="dxa"/>
            <w:vAlign w:val="bottom"/>
            <w:gridSpan w:val="2"/>
          </w:tcPr>
          <w:p>
            <w:pPr>
              <w:spacing w:after="0"/>
              <w:rPr>
                <w:sz w:val="24"/>
                <w:szCs w:val="24"/>
                <w:color w:val="auto"/>
              </w:rPr>
            </w:pPr>
          </w:p>
        </w:tc>
        <w:tc>
          <w:tcPr>
            <w:tcW w:w="786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5.</w:t>
              </w:r>
            </w:hyperlink>
          </w:p>
        </w:tc>
        <w:tc>
          <w:tcPr>
            <w:tcW w:w="260" w:type="dxa"/>
            <w:vAlign w:val="bottom"/>
            <w:gridSpan w:val="2"/>
          </w:tcPr>
          <w:p>
            <w:pPr>
              <w:spacing w:after="0"/>
              <w:rPr>
                <w:sz w:val="24"/>
                <w:szCs w:val="24"/>
                <w:color w:val="auto"/>
              </w:rPr>
            </w:pP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610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2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720" w:type="dxa"/>
            <w:vAlign w:val="bottom"/>
            <w:tcBorders>
              <w:top w:val="single" w:sz="8" w:color="0000EE"/>
            </w:tcBorders>
            <w:gridSpan w:val="5"/>
          </w:tcPr>
          <w:p>
            <w:pPr>
              <w:spacing w:after="0"/>
              <w:rPr>
                <w:sz w:val="24"/>
                <w:szCs w:val="24"/>
                <w:color w:val="auto"/>
              </w:rPr>
            </w:pPr>
          </w:p>
        </w:tc>
        <w:tc>
          <w:tcPr>
            <w:tcW w:w="654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710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3"/>
          </w:tcPr>
          <w:p>
            <w:pPr>
              <w:jc w:val="center"/>
              <w:ind w:left="315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Accounts receivable - trade, net of allowance of $31 and $33, respectively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59,850</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75,768</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Prepaid income tax</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500" w:type="dxa"/>
            <w:vAlign w:val="bottom"/>
            <w:shd w:val="clear" w:color="auto" w:fill="CCEEFF"/>
          </w:tcPr>
          <w:p>
            <w:pPr>
              <w:spacing w:after="0"/>
              <w:rPr>
                <w:sz w:val="18"/>
                <w:szCs w:val="18"/>
                <w:color w:val="auto"/>
              </w:rPr>
            </w:pPr>
          </w:p>
        </w:tc>
      </w:tr>
      <w:tr>
        <w:trPr>
          <w:trHeight w:val="210"/>
        </w:trPr>
        <w:tc>
          <w:tcPr>
            <w:tcW w:w="65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215,170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229,697</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197,943</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Land use rights, net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12,801</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500" w:type="dxa"/>
            <w:vAlign w:val="bottom"/>
            <w:shd w:val="clear" w:color="auto" w:fill="CCEEFF"/>
          </w:tcPr>
          <w:p>
            <w:pPr>
              <w:spacing w:after="0"/>
              <w:rPr>
                <w:sz w:val="18"/>
                <w:szCs w:val="18"/>
                <w:color w:val="auto"/>
              </w:rPr>
            </w:pPr>
          </w:p>
        </w:tc>
      </w:tr>
      <w:tr>
        <w:trPr>
          <w:trHeight w:val="217"/>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481,085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452,984</w:t>
            </w:r>
          </w:p>
        </w:tc>
        <w:tc>
          <w:tcPr>
            <w:tcW w:w="500" w:type="dxa"/>
            <w:vAlign w:val="bottom"/>
            <w:tcBorders>
              <w:bottom w:val="single" w:sz="8" w:color="CCEEFF"/>
            </w:tcBorders>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notes payable and long-term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43,624</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19,103</w:t>
            </w:r>
          </w:p>
        </w:tc>
        <w:tc>
          <w:tcPr>
            <w:tcW w:w="5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Notes payable and long-term debt, less current portion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5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145,600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119,708</w:t>
            </w:r>
          </w:p>
        </w:tc>
        <w:tc>
          <w:tcPr>
            <w:tcW w:w="500" w:type="dxa"/>
            <w:vAlign w:val="bottom"/>
            <w:shd w:val="clear" w:color="auto" w:fill="CCEEFF"/>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2"/>
        </w:trPr>
        <w:tc>
          <w:tcPr>
            <w:tcW w:w="6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Preferred Stock; 5,000 shares authorized at $0.001 par value; no shares issued and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r>
      <w:tr>
        <w:trPr>
          <w:trHeight w:val="202"/>
        </w:trPr>
        <w:tc>
          <w:tcPr>
            <w:tcW w:w="6520" w:type="dxa"/>
            <w:vAlign w:val="bottom"/>
          </w:tcPr>
          <w:p>
            <w:pPr>
              <w:ind w:left="120"/>
              <w:spacing w:after="0" w:line="201" w:lineRule="exact"/>
              <w:rPr>
                <w:sz w:val="20"/>
                <w:szCs w:val="20"/>
                <w:color w:val="auto"/>
              </w:rPr>
            </w:pPr>
            <w:r>
              <w:rPr>
                <w:rFonts w:ascii="Arial" w:cs="Arial" w:eastAsia="Arial" w:hAnsi="Arial"/>
                <w:sz w:val="18"/>
                <w:szCs w:val="18"/>
                <w:color w:val="auto"/>
                <w:w w:val="97"/>
              </w:rPr>
              <w:t>Common Stock; 45,000 shares authorized at $0.001 par value; 19,758 and 19,451</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shares issued and outstanding at September 30, 2018 and December 31, 2017,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652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0"/>
                <w:szCs w:val="20"/>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285,376</w:t>
            </w:r>
          </w:p>
        </w:tc>
        <w:tc>
          <w:tcPr>
            <w:tcW w:w="5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9,743</w:t>
            </w:r>
          </w:p>
        </w:tc>
        <w:tc>
          <w:tcPr>
            <w:tcW w:w="5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5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335,485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333,276</w:t>
            </w:r>
          </w:p>
        </w:tc>
        <w:tc>
          <w:tcPr>
            <w:tcW w:w="500" w:type="dxa"/>
            <w:vAlign w:val="bottom"/>
            <w:tcBorders>
              <w:bottom w:val="single" w:sz="8" w:color="CCEEFF"/>
            </w:tcBorders>
          </w:tcPr>
          <w:p>
            <w:pPr>
              <w:spacing w:after="0"/>
              <w:rPr>
                <w:sz w:val="18"/>
                <w:szCs w:val="18"/>
                <w:color w:val="auto"/>
              </w:rPr>
            </w:pPr>
          </w:p>
        </w:tc>
      </w:tr>
      <w:tr>
        <w:trPr>
          <w:trHeight w:val="21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481,085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452,984</w:t>
            </w:r>
          </w:p>
        </w:tc>
        <w:tc>
          <w:tcPr>
            <w:tcW w:w="5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OPERATIONS (Unaudited,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5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302,474</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132,211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168,348</w:t>
            </w:r>
          </w:p>
        </w:tc>
        <w:tc>
          <w:tcPr>
            <w:tcW w:w="160" w:type="dxa"/>
            <w:vAlign w:val="bottom"/>
            <w:tcBorders>
              <w:bottom w:val="single" w:sz="8" w:color="CCEEFF"/>
            </w:tcBorders>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134,126</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6,612</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26,188</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57,495</w:t>
            </w:r>
          </w:p>
        </w:tc>
        <w:tc>
          <w:tcPr>
            <w:tcW w:w="160" w:type="dxa"/>
            <w:vAlign w:val="bottom"/>
            <w:tcBorders>
              <w:bottom w:val="single" w:sz="8" w:color="CCEEFF"/>
            </w:tcBorders>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76,631</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w:t>
            </w: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(6,872)</w:t>
            </w:r>
          </w:p>
        </w:tc>
      </w:tr>
      <w:tr>
        <w:trPr>
          <w:trHeight w:val="23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4140" w:type="dxa"/>
            <w:vAlign w:val="bottom"/>
          </w:tcPr>
          <w:p>
            <w:pPr>
              <w:spacing w:after="0" w:line="203" w:lineRule="exact"/>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w w:val="94"/>
              </w:rPr>
              <w:t>Weighted average shares used to compute net income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(loss) per share: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19,707,036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19,294,022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19,597,181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18,993,068</w:t>
            </w:r>
          </w:p>
        </w:tc>
        <w:tc>
          <w:tcPr>
            <w:tcW w:w="160" w:type="dxa"/>
            <w:vAlign w:val="bottom"/>
            <w:shd w:val="clear" w:color="auto" w:fill="CCEEFF"/>
          </w:tcPr>
          <w:p>
            <w:pPr>
              <w:spacing w:after="0"/>
              <w:rPr>
                <w:sz w:val="18"/>
                <w:szCs w:val="18"/>
                <w:color w:val="auto"/>
              </w:rPr>
            </w:pPr>
          </w:p>
        </w:tc>
      </w:tr>
      <w:tr>
        <w:trPr>
          <w:trHeight w:val="230"/>
        </w:trPr>
        <w:tc>
          <w:tcPr>
            <w:tcW w:w="41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19,707,036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20,422,609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20,038,657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20,133,644</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5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8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(3,732)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$ 68,235</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Gain (loss) on foreign currency translation adjustment</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(4,798)</w:t>
            </w:r>
          </w:p>
        </w:tc>
        <w:tc>
          <w:tcPr>
            <w:tcW w:w="700" w:type="dxa"/>
            <w:vAlign w:val="bottom"/>
          </w:tcPr>
          <w:p>
            <w:pPr>
              <w:jc w:val="right"/>
              <w:spacing w:after="0"/>
              <w:rPr>
                <w:sz w:val="20"/>
                <w:szCs w:val="20"/>
                <w:color w:val="auto"/>
              </w:rPr>
            </w:pPr>
            <w:r>
              <w:rPr>
                <w:rFonts w:ascii="Arial" w:cs="Arial" w:eastAsia="Arial" w:hAnsi="Arial"/>
                <w:sz w:val="18"/>
                <w:szCs w:val="18"/>
                <w:color w:val="auto"/>
              </w:rPr>
              <w:t>2,032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(8,908)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7,285</w:t>
            </w:r>
          </w:p>
        </w:tc>
        <w:tc>
          <w:tcPr>
            <w:tcW w:w="160" w:type="dxa"/>
            <w:vAlign w:val="bottom"/>
          </w:tcPr>
          <w:p>
            <w:pPr>
              <w:spacing w:after="0"/>
              <w:rPr>
                <w:sz w:val="18"/>
                <w:szCs w:val="18"/>
                <w:color w:val="auto"/>
              </w:rPr>
            </w:pPr>
          </w:p>
        </w:tc>
      </w:tr>
      <w:tr>
        <w:trPr>
          <w:trHeight w:val="217"/>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$ 21,407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$ 75,520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Nine months ended September 30, 2018 and 2017 (Unaudited,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3480" w:type="dxa"/>
            <w:vAlign w:val="bottom"/>
          </w:tcPr>
          <w:p>
            <w:pPr>
              <w:spacing w:after="0"/>
              <w:rPr>
                <w:sz w:val="13"/>
                <w:szCs w:val="13"/>
                <w:color w:val="auto"/>
              </w:rPr>
            </w:pPr>
          </w:p>
        </w:tc>
        <w:tc>
          <w:tcPr>
            <w:tcW w:w="1080" w:type="dxa"/>
            <w:vAlign w:val="bottom"/>
            <w:gridSpan w:val="8"/>
          </w:tcPr>
          <w:p>
            <w:pPr>
              <w:ind w:left="120"/>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9"/>
          </w:tcPr>
          <w:p>
            <w:pPr>
              <w:ind w:left="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480" w:type="dxa"/>
            <w:vAlign w:val="bottom"/>
          </w:tcPr>
          <w:p>
            <w:pPr>
              <w:spacing w:after="0"/>
              <w:rPr>
                <w:sz w:val="9"/>
                <w:szCs w:val="9"/>
                <w:color w:val="auto"/>
              </w:rPr>
            </w:pPr>
          </w:p>
        </w:tc>
        <w:tc>
          <w:tcPr>
            <w:tcW w:w="5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paid-in</w:t>
            </w:r>
          </w:p>
        </w:tc>
        <w:tc>
          <w:tcPr>
            <w:tcW w:w="20" w:type="dxa"/>
            <w:vAlign w:val="bottom"/>
          </w:tcPr>
          <w:p>
            <w:pPr>
              <w:spacing w:after="0"/>
              <w:rPr>
                <w:sz w:val="9"/>
                <w:szCs w:val="9"/>
                <w:color w:val="auto"/>
              </w:rPr>
            </w:pPr>
          </w:p>
        </w:tc>
        <w:tc>
          <w:tcPr>
            <w:tcW w:w="880" w:type="dxa"/>
            <w:vAlign w:val="bottom"/>
            <w:gridSpan w:val="5"/>
          </w:tcPr>
          <w:p>
            <w:pPr>
              <w:jc w:val="center"/>
              <w:ind w:right="8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5"/>
          </w:tcPr>
          <w:p>
            <w:pPr>
              <w:ind w:left="20"/>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48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79"/>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5"/>
          </w:tcPr>
          <w:p>
            <w:pP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ind w:left="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July 1, 2018</w:t>
            </w:r>
          </w:p>
        </w:tc>
        <w:tc>
          <w:tcPr>
            <w:tcW w:w="500" w:type="dxa"/>
            <w:vAlign w:val="bottom"/>
            <w:tcBorders>
              <w:top w:val="single" w:sz="8" w:color="auto"/>
            </w:tcBorders>
            <w:gridSpan w:val="2"/>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19,634</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288,686</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5,633</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48,292</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342,631</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(845)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(845)</w:t>
            </w: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(665)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(665)</w:t>
            </w: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2,894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2,894</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(4,798)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(4,798)</w:t>
            </w: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(3,732)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(3,732)</w:t>
            </w:r>
          </w:p>
        </w:tc>
      </w:tr>
      <w:tr>
        <w:trPr>
          <w:trHeight w:val="136"/>
        </w:trPr>
        <w:tc>
          <w:tcPr>
            <w:tcW w:w="3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September 30, 2018</w:t>
            </w:r>
          </w:p>
        </w:tc>
        <w:tc>
          <w:tcPr>
            <w:tcW w:w="500" w:type="dxa"/>
            <w:vAlign w:val="bottom"/>
            <w:tcBorders>
              <w:top w:val="single" w:sz="8" w:color="auto"/>
              <w:bottom w:val="single" w:sz="8" w:color="auto"/>
            </w:tcBorders>
            <w:gridSpan w:val="2"/>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19,758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290,070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44,560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335,485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346"/>
        </w:trPr>
        <w:tc>
          <w:tcPr>
            <w:tcW w:w="3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3480" w:type="dxa"/>
            <w:vAlign w:val="bottom"/>
          </w:tcPr>
          <w:p>
            <w:pPr>
              <w:spacing w:after="0"/>
              <w:rPr>
                <w:sz w:val="13"/>
                <w:szCs w:val="13"/>
                <w:color w:val="auto"/>
              </w:rPr>
            </w:pPr>
          </w:p>
        </w:tc>
        <w:tc>
          <w:tcPr>
            <w:tcW w:w="1080" w:type="dxa"/>
            <w:vAlign w:val="bottom"/>
            <w:gridSpan w:val="8"/>
          </w:tcPr>
          <w:p>
            <w:pPr>
              <w:ind w:left="120"/>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9"/>
          </w:tcPr>
          <w:p>
            <w:pPr>
              <w:ind w:left="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480" w:type="dxa"/>
            <w:vAlign w:val="bottom"/>
          </w:tcPr>
          <w:p>
            <w:pPr>
              <w:spacing w:after="0"/>
              <w:rPr>
                <w:sz w:val="9"/>
                <w:szCs w:val="9"/>
                <w:color w:val="auto"/>
              </w:rPr>
            </w:pPr>
          </w:p>
        </w:tc>
        <w:tc>
          <w:tcPr>
            <w:tcW w:w="5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paid-in</w:t>
            </w:r>
          </w:p>
        </w:tc>
        <w:tc>
          <w:tcPr>
            <w:tcW w:w="20" w:type="dxa"/>
            <w:vAlign w:val="bottom"/>
          </w:tcPr>
          <w:p>
            <w:pPr>
              <w:spacing w:after="0"/>
              <w:rPr>
                <w:sz w:val="9"/>
                <w:szCs w:val="9"/>
                <w:color w:val="auto"/>
              </w:rPr>
            </w:pPr>
          </w:p>
        </w:tc>
        <w:tc>
          <w:tcPr>
            <w:tcW w:w="880" w:type="dxa"/>
            <w:vAlign w:val="bottom"/>
            <w:gridSpan w:val="5"/>
          </w:tcPr>
          <w:p>
            <w:pPr>
              <w:jc w:val="center"/>
              <w:ind w:right="8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5"/>
          </w:tcPr>
          <w:p>
            <w:pPr>
              <w:ind w:left="20"/>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48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79"/>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5"/>
          </w:tcPr>
          <w:p>
            <w:pP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ind w:left="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July 1, 2017</w:t>
            </w:r>
          </w:p>
        </w:tc>
        <w:tc>
          <w:tcPr>
            <w:tcW w:w="500" w:type="dxa"/>
            <w:vAlign w:val="bottom"/>
            <w:tcBorders>
              <w:top w:val="single" w:sz="8" w:color="auto"/>
            </w:tcBorders>
            <w:gridSpan w:val="2"/>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19,192</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290,067</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4,369</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13,047</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307,502</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(4,753)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(4,753)</w:t>
            </w: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(1,795)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(1,795)</w:t>
            </w: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2,081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2,081</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2,032</w:t>
            </w:r>
          </w:p>
        </w:tc>
        <w:tc>
          <w:tcPr>
            <w:tcW w:w="40" w:type="dxa"/>
            <w:vAlign w:val="bottom"/>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19,375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19,375</w:t>
            </w:r>
          </w:p>
        </w:tc>
        <w:tc>
          <w:tcPr>
            <w:tcW w:w="40" w:type="dxa"/>
            <w:vAlign w:val="bottom"/>
            <w:shd w:val="clear" w:color="auto" w:fill="CCEEFF"/>
          </w:tcPr>
          <w:p>
            <w:pPr>
              <w:spacing w:after="0"/>
              <w:rPr>
                <w:sz w:val="11"/>
                <w:szCs w:val="11"/>
                <w:color w:val="auto"/>
              </w:rPr>
            </w:pPr>
          </w:p>
        </w:tc>
      </w:tr>
      <w:tr>
        <w:trPr>
          <w:trHeight w:val="136"/>
        </w:trPr>
        <w:tc>
          <w:tcPr>
            <w:tcW w:w="3480" w:type="dxa"/>
            <w:vAlign w:val="bottom"/>
          </w:tcPr>
          <w:p>
            <w:pPr>
              <w:spacing w:after="0" w:line="129" w:lineRule="exact"/>
              <w:rPr>
                <w:sz w:val="20"/>
                <w:szCs w:val="20"/>
                <w:color w:val="auto"/>
              </w:rPr>
            </w:pPr>
            <w:r>
              <w:rPr>
                <w:rFonts w:ascii="Arial" w:cs="Arial" w:eastAsia="Arial" w:hAnsi="Arial"/>
                <w:sz w:val="13"/>
                <w:szCs w:val="13"/>
                <w:color w:val="auto"/>
              </w:rPr>
              <w:t>September 30, 2017</w:t>
            </w:r>
          </w:p>
        </w:tc>
        <w:tc>
          <w:tcPr>
            <w:tcW w:w="500" w:type="dxa"/>
            <w:vAlign w:val="bottom"/>
            <w:tcBorders>
              <w:top w:val="single" w:sz="8" w:color="auto"/>
              <w:bottom w:val="single" w:sz="8" w:color="auto"/>
            </w:tcBorders>
            <w:gridSpan w:val="2"/>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gridSpan w:val="2"/>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19,359</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285,600</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6,400</w:t>
            </w: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32,423</w:t>
            </w: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324,442</w:t>
            </w:r>
          </w:p>
        </w:tc>
        <w:tc>
          <w:tcPr>
            <w:tcW w:w="40" w:type="dxa"/>
            <w:vAlign w:val="bottom"/>
          </w:tcPr>
          <w:p>
            <w:pPr>
              <w:spacing w:after="0"/>
              <w:rPr>
                <w:sz w:val="11"/>
                <w:szCs w:val="11"/>
                <w:color w:val="auto"/>
              </w:rPr>
            </w:pPr>
          </w:p>
        </w:tc>
      </w:tr>
      <w:tr>
        <w:trPr>
          <w:trHeight w:val="346"/>
        </w:trPr>
        <w:tc>
          <w:tcPr>
            <w:tcW w:w="3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3480" w:type="dxa"/>
            <w:vAlign w:val="bottom"/>
          </w:tcPr>
          <w:p>
            <w:pPr>
              <w:spacing w:after="0"/>
              <w:rPr>
                <w:sz w:val="13"/>
                <w:szCs w:val="13"/>
                <w:color w:val="auto"/>
              </w:rPr>
            </w:pPr>
          </w:p>
        </w:tc>
        <w:tc>
          <w:tcPr>
            <w:tcW w:w="1080" w:type="dxa"/>
            <w:vAlign w:val="bottom"/>
            <w:gridSpan w:val="8"/>
          </w:tcPr>
          <w:p>
            <w:pPr>
              <w:ind w:left="120"/>
              <w:spacing w:after="0"/>
              <w:rPr>
                <w:sz w:val="20"/>
                <w:szCs w:val="20"/>
                <w:color w:val="auto"/>
              </w:rPr>
            </w:pPr>
            <w:r>
              <w:rPr>
                <w:rFonts w:ascii="Arial" w:cs="Arial" w:eastAsia="Arial" w:hAnsi="Arial"/>
                <w:sz w:val="13"/>
                <w:szCs w:val="13"/>
                <w:b w:val="1"/>
                <w:bCs w:val="1"/>
                <w:color w:val="auto"/>
                <w:w w:val="97"/>
              </w:rPr>
              <w:t>Preferred Stock</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9"/>
          </w:tcPr>
          <w:p>
            <w:pPr>
              <w:ind w:left="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480" w:type="dxa"/>
            <w:vAlign w:val="bottom"/>
          </w:tcPr>
          <w:p>
            <w:pPr>
              <w:spacing w:after="0"/>
              <w:rPr>
                <w:sz w:val="9"/>
                <w:szCs w:val="9"/>
                <w:color w:val="auto"/>
              </w:rPr>
            </w:pPr>
          </w:p>
        </w:tc>
        <w:tc>
          <w:tcPr>
            <w:tcW w:w="50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tcPr>
          <w:p>
            <w:pPr>
              <w:jc w:val="center"/>
              <w:ind w:right="240"/>
              <w:spacing w:after="0" w:line="110" w:lineRule="exact"/>
              <w:rPr>
                <w:sz w:val="20"/>
                <w:szCs w:val="20"/>
                <w:color w:val="auto"/>
              </w:rPr>
            </w:pPr>
            <w:r>
              <w:rPr>
                <w:rFonts w:ascii="Arial" w:cs="Arial" w:eastAsia="Arial" w:hAnsi="Arial"/>
                <w:sz w:val="12"/>
                <w:szCs w:val="12"/>
                <w:b w:val="1"/>
                <w:bCs w:val="1"/>
                <w:color w:val="auto"/>
                <w:w w:val="96"/>
              </w:rPr>
              <w:t>paid-in</w:t>
            </w:r>
          </w:p>
        </w:tc>
        <w:tc>
          <w:tcPr>
            <w:tcW w:w="20" w:type="dxa"/>
            <w:vAlign w:val="bottom"/>
          </w:tcPr>
          <w:p>
            <w:pPr>
              <w:spacing w:after="0"/>
              <w:rPr>
                <w:sz w:val="9"/>
                <w:szCs w:val="9"/>
                <w:color w:val="auto"/>
              </w:rPr>
            </w:pPr>
          </w:p>
        </w:tc>
        <w:tc>
          <w:tcPr>
            <w:tcW w:w="880" w:type="dxa"/>
            <w:vAlign w:val="bottom"/>
            <w:gridSpan w:val="5"/>
          </w:tcPr>
          <w:p>
            <w:pPr>
              <w:jc w:val="center"/>
              <w:ind w:right="80"/>
              <w:spacing w:after="0" w:line="110" w:lineRule="exact"/>
              <w:rPr>
                <w:sz w:val="20"/>
                <w:szCs w:val="20"/>
                <w:color w:val="auto"/>
              </w:rPr>
            </w:pPr>
            <w:r>
              <w:rPr>
                <w:rFonts w:ascii="Arial" w:cs="Arial" w:eastAsia="Arial" w:hAnsi="Arial"/>
                <w:sz w:val="12"/>
                <w:szCs w:val="12"/>
                <w:b w:val="1"/>
                <w:bCs w:val="1"/>
                <w:color w:val="auto"/>
                <w:w w:val="90"/>
              </w:rPr>
              <w:t>comprehensive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5"/>
          </w:tcPr>
          <w:p>
            <w:pPr>
              <w:ind w:left="20"/>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80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96"/>
              </w:rPr>
              <w:t>Stockholders'</w:t>
            </w:r>
          </w:p>
        </w:tc>
      </w:tr>
      <w:tr>
        <w:trPr>
          <w:trHeight w:val="153"/>
        </w:trPr>
        <w:tc>
          <w:tcPr>
            <w:tcW w:w="348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79"/>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4"/>
          </w:tcPr>
          <w:p>
            <w:pPr>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5"/>
          </w:tcPr>
          <w:p>
            <w:pPr>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gain (loss)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ind w:left="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January 1, 2018</w:t>
            </w:r>
          </w:p>
        </w:tc>
        <w:tc>
          <w:tcPr>
            <w:tcW w:w="500" w:type="dxa"/>
            <w:vAlign w:val="bottom"/>
            <w:tcBorders>
              <w:top w:val="single" w:sz="8" w:color="auto"/>
            </w:tcBorders>
            <w:gridSpan w:val="2"/>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tcBorders>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19,451</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285,376</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9,743</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38,138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333,276</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121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(2,073)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(2,073)</w:t>
            </w:r>
          </w:p>
        </w:tc>
      </w:tr>
      <w:tr>
        <w:trPr>
          <w:trHeight w:val="121"/>
        </w:trPr>
        <w:tc>
          <w:tcPr>
            <w:tcW w:w="34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Issuance of restricted stock, net of shares withheld for employee</w:t>
            </w: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(1,595)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(1,594)</w:t>
            </w: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8,362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8,362</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(8,908)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(8,908)</w:t>
            </w: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6,422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6,422</w:t>
            </w:r>
          </w:p>
        </w:tc>
        <w:tc>
          <w:tcPr>
            <w:tcW w:w="40" w:type="dxa"/>
            <w:vAlign w:val="bottom"/>
          </w:tcPr>
          <w:p>
            <w:pPr>
              <w:spacing w:after="0"/>
              <w:rPr>
                <w:sz w:val="11"/>
                <w:szCs w:val="11"/>
                <w:color w:val="auto"/>
              </w:rPr>
            </w:pPr>
          </w:p>
        </w:tc>
      </w:tr>
      <w:tr>
        <w:trPr>
          <w:trHeight w:val="136"/>
        </w:trPr>
        <w:tc>
          <w:tcPr>
            <w:tcW w:w="3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September 30, 2018</w:t>
            </w:r>
          </w:p>
        </w:tc>
        <w:tc>
          <w:tcPr>
            <w:tcW w:w="500" w:type="dxa"/>
            <w:vAlign w:val="bottom"/>
            <w:tcBorders>
              <w:top w:val="single" w:sz="8" w:color="auto"/>
              <w:bottom w:val="single" w:sz="8" w:color="auto"/>
            </w:tcBorders>
            <w:gridSpan w:val="2"/>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380" w:type="dxa"/>
            <w:vAlign w:val="bottom"/>
            <w:tcBorders>
              <w:top w:val="single" w:sz="8" w:color="auto"/>
              <w:bottom w:val="single" w:sz="8" w:color="auto"/>
            </w:tcBorders>
            <w:gridSpan w:val="2"/>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19,758</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290,070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44,560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335,485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346"/>
        </w:trPr>
        <w:tc>
          <w:tcPr>
            <w:tcW w:w="3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3"/>
        </w:trPr>
        <w:tc>
          <w:tcPr>
            <w:tcW w:w="3480" w:type="dxa"/>
            <w:vAlign w:val="bottom"/>
          </w:tcPr>
          <w:p>
            <w:pPr>
              <w:spacing w:after="0"/>
              <w:rPr>
                <w:sz w:val="13"/>
                <w:szCs w:val="13"/>
                <w:color w:val="auto"/>
              </w:rPr>
            </w:pPr>
          </w:p>
        </w:tc>
        <w:tc>
          <w:tcPr>
            <w:tcW w:w="1080" w:type="dxa"/>
            <w:vAlign w:val="bottom"/>
            <w:gridSpan w:val="8"/>
          </w:tcPr>
          <w:p>
            <w:pPr>
              <w:ind w:left="100"/>
              <w:spacing w:after="0"/>
              <w:rPr>
                <w:sz w:val="20"/>
                <w:szCs w:val="20"/>
                <w:color w:val="auto"/>
              </w:rPr>
            </w:pPr>
            <w:r>
              <w:rPr>
                <w:rFonts w:ascii="Arial" w:cs="Arial" w:eastAsia="Arial" w:hAnsi="Arial"/>
                <w:sz w:val="13"/>
                <w:szCs w:val="13"/>
                <w:b w:val="1"/>
                <w:bCs w:val="1"/>
                <w:color w:val="auto"/>
                <w:w w:val="99"/>
              </w:rPr>
              <w:t>Preferred Stock</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9"/>
          </w:tcPr>
          <w:p>
            <w:pPr>
              <w:ind w:left="80"/>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740" w:type="dxa"/>
            <w:vAlign w:val="bottom"/>
            <w:gridSpan w:val="6"/>
          </w:tcPr>
          <w:p>
            <w:pPr>
              <w:ind w:left="2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6"/>
              </w:rPr>
              <w:t>other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3480" w:type="dxa"/>
            <w:vAlign w:val="bottom"/>
          </w:tcPr>
          <w:p>
            <w:pPr>
              <w:spacing w:after="0"/>
              <w:rPr>
                <w:sz w:val="9"/>
                <w:szCs w:val="9"/>
                <w:color w:val="auto"/>
              </w:rPr>
            </w:pPr>
          </w:p>
        </w:tc>
        <w:tc>
          <w:tcPr>
            <w:tcW w:w="500" w:type="dxa"/>
            <w:vAlign w:val="bottom"/>
            <w:tcBorders>
              <w:top w:val="single" w:sz="8" w:color="auto"/>
            </w:tcBorders>
            <w:gridSpan w:val="2"/>
          </w:tcPr>
          <w:p>
            <w:pPr>
              <w:jc w:val="center"/>
              <w:ind w:right="20"/>
              <w:spacing w:after="0" w:line="110"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2"/>
          </w:tcPr>
          <w:p>
            <w:pPr>
              <w:jc w:val="center"/>
              <w:ind w:right="40"/>
              <w:spacing w:after="0" w:line="110"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tcPr>
          <w:p>
            <w:pPr>
              <w:jc w:val="center"/>
              <w:ind w:right="240"/>
              <w:spacing w:after="0" w:line="110" w:lineRule="exact"/>
              <w:rPr>
                <w:sz w:val="20"/>
                <w:szCs w:val="20"/>
                <w:color w:val="auto"/>
              </w:rPr>
            </w:pPr>
            <w:r>
              <w:rPr>
                <w:rFonts w:ascii="Arial" w:cs="Arial" w:eastAsia="Arial" w:hAnsi="Arial"/>
                <w:sz w:val="12"/>
                <w:szCs w:val="12"/>
                <w:b w:val="1"/>
                <w:bCs w:val="1"/>
                <w:color w:val="auto"/>
              </w:rPr>
              <w:t>paid-in</w:t>
            </w:r>
          </w:p>
        </w:tc>
        <w:tc>
          <w:tcPr>
            <w:tcW w:w="900" w:type="dxa"/>
            <w:vAlign w:val="bottom"/>
            <w:gridSpan w:val="6"/>
          </w:tcPr>
          <w:p>
            <w:pPr>
              <w:spacing w:after="0" w:line="110"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8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8"/>
              </w:rPr>
              <w:t>Stockholders'</w:t>
            </w:r>
          </w:p>
        </w:tc>
      </w:tr>
      <w:tr>
        <w:trPr>
          <w:trHeight w:val="153"/>
        </w:trPr>
        <w:tc>
          <w:tcPr>
            <w:tcW w:w="3480" w:type="dxa"/>
            <w:vAlign w:val="bottom"/>
          </w:tcPr>
          <w:p>
            <w:pPr>
              <w:spacing w:after="0"/>
              <w:rPr>
                <w:sz w:val="13"/>
                <w:szCs w:val="13"/>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2"/>
              </w:rPr>
              <w:t>of shares</w:t>
            </w:r>
          </w:p>
        </w:tc>
        <w:tc>
          <w:tcPr>
            <w:tcW w:w="120" w:type="dxa"/>
            <w:vAlign w:val="bottom"/>
          </w:tcPr>
          <w:p>
            <w:pPr>
              <w:spacing w:after="0"/>
              <w:rPr>
                <w:sz w:val="13"/>
                <w:szCs w:val="13"/>
                <w:color w:val="auto"/>
              </w:rPr>
            </w:pPr>
          </w:p>
        </w:tc>
        <w:tc>
          <w:tcPr>
            <w:tcW w:w="460" w:type="dxa"/>
            <w:vAlign w:val="bottom"/>
            <w:gridSpan w:val="5"/>
          </w:tcPr>
          <w:p>
            <w:pP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5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2"/>
              </w:rPr>
              <w:t>of shares</w:t>
            </w:r>
          </w:p>
        </w:tc>
        <w:tc>
          <w:tcPr>
            <w:tcW w:w="620" w:type="dxa"/>
            <w:vAlign w:val="bottom"/>
            <w:gridSpan w:val="7"/>
          </w:tcPr>
          <w:p>
            <w:pPr>
              <w:ind w:left="12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2"/>
              </w:rPr>
              <w:t>gain (loss)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3"/>
                <w:szCs w:val="13"/>
                <w:b w:val="1"/>
                <w:bCs w:val="1"/>
                <w:color w:val="auto"/>
              </w:rPr>
              <w:t>equity</w:t>
            </w:r>
          </w:p>
        </w:tc>
      </w:tr>
      <w:tr>
        <w:trPr>
          <w:trHeight w:val="129"/>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January 1, 2017</w:t>
            </w:r>
          </w:p>
        </w:tc>
        <w:tc>
          <w:tcPr>
            <w:tcW w:w="480" w:type="dxa"/>
            <w:vAlign w:val="bottom"/>
            <w:tcBorders>
              <w:top w:val="single" w:sz="8" w:color="auto"/>
            </w:tcBorders>
            <w:shd w:val="clear" w:color="auto" w:fill="CCEEFF"/>
          </w:tcPr>
          <w:p>
            <w:pPr>
              <w:ind w:left="32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ind w:left="20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18,400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265,264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(885)</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(37,013)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227,384</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Public offering of common stock, net</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459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21,571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21,572</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Stock options exercised, net of shares withheld for employee tax</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356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(4,930)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(4,930)</w:t>
            </w:r>
          </w:p>
        </w:tc>
        <w:tc>
          <w:tcPr>
            <w:tcW w:w="40" w:type="dxa"/>
            <w:vAlign w:val="bottom"/>
            <w:shd w:val="clear" w:color="auto" w:fill="CCEEFF"/>
          </w:tcPr>
          <w:p>
            <w:pPr>
              <w:spacing w:after="0"/>
              <w:rPr>
                <w:sz w:val="11"/>
                <w:szCs w:val="11"/>
                <w:color w:val="auto"/>
              </w:rPr>
            </w:pPr>
          </w:p>
        </w:tc>
      </w:tr>
      <w:tr>
        <w:trPr>
          <w:trHeight w:val="121"/>
        </w:trPr>
        <w:tc>
          <w:tcPr>
            <w:tcW w:w="3480" w:type="dxa"/>
            <w:vAlign w:val="bottom"/>
          </w:tcPr>
          <w:p>
            <w:pPr>
              <w:spacing w:after="0" w:line="121" w:lineRule="exact"/>
              <w:rPr>
                <w:sz w:val="20"/>
                <w:szCs w:val="20"/>
                <w:color w:val="auto"/>
              </w:rPr>
            </w:pPr>
            <w:r>
              <w:rPr>
                <w:rFonts w:ascii="Arial" w:cs="Arial" w:eastAsia="Arial" w:hAnsi="Arial"/>
                <w:sz w:val="13"/>
                <w:szCs w:val="13"/>
                <w:color w:val="auto"/>
                <w:w w:val="93"/>
              </w:rPr>
              <w:t>Issuance of restricted stock, net of shares withheld for employee</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tax</w:t>
            </w:r>
          </w:p>
        </w:tc>
        <w:tc>
          <w:tcPr>
            <w:tcW w:w="5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rPr>
              <w:t>(2,161)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(2,161)</w:t>
            </w:r>
          </w:p>
        </w:tc>
        <w:tc>
          <w:tcPr>
            <w:tcW w:w="40" w:type="dxa"/>
            <w:vAlign w:val="bottom"/>
          </w:tcPr>
          <w:p>
            <w:pPr>
              <w:spacing w:after="0"/>
              <w:rPr>
                <w:sz w:val="12"/>
                <w:szCs w:val="12"/>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5,849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5,849</w:t>
            </w:r>
          </w:p>
        </w:tc>
        <w:tc>
          <w:tcPr>
            <w:tcW w:w="40" w:type="dxa"/>
            <w:vAlign w:val="bottom"/>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Cumulative effect of previously unrecognized tax benefits</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1,207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1,207</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7,285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7,285</w:t>
            </w:r>
          </w:p>
        </w:tc>
        <w:tc>
          <w:tcPr>
            <w:tcW w:w="40" w:type="dxa"/>
            <w:vAlign w:val="bottom"/>
            <w:shd w:val="clear" w:color="auto" w:fill="CCEEFF"/>
          </w:tcPr>
          <w:p>
            <w:pPr>
              <w:spacing w:after="0"/>
              <w:rPr>
                <w:sz w:val="11"/>
                <w:szCs w:val="11"/>
                <w:color w:val="auto"/>
              </w:rPr>
            </w:pPr>
          </w:p>
        </w:tc>
      </w:tr>
      <w:tr>
        <w:trPr>
          <w:trHeight w:val="135"/>
        </w:trPr>
        <w:tc>
          <w:tcPr>
            <w:tcW w:w="348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50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r>
      <w:tr>
        <w:trPr>
          <w:trHeight w:val="135"/>
        </w:trPr>
        <w:tc>
          <w:tcPr>
            <w:tcW w:w="3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50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68,235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68,235</w:t>
            </w:r>
          </w:p>
        </w:tc>
        <w:tc>
          <w:tcPr>
            <w:tcW w:w="40" w:type="dxa"/>
            <w:vAlign w:val="bottom"/>
            <w:shd w:val="clear" w:color="auto" w:fill="CCEEFF"/>
          </w:tcPr>
          <w:p>
            <w:pPr>
              <w:spacing w:after="0"/>
              <w:rPr>
                <w:sz w:val="11"/>
                <w:szCs w:val="11"/>
                <w:color w:val="auto"/>
              </w:rPr>
            </w:pPr>
          </w:p>
        </w:tc>
      </w:tr>
      <w:tr>
        <w:trPr>
          <w:trHeight w:val="136"/>
        </w:trPr>
        <w:tc>
          <w:tcPr>
            <w:tcW w:w="3480" w:type="dxa"/>
            <w:vAlign w:val="bottom"/>
          </w:tcPr>
          <w:p>
            <w:pPr>
              <w:spacing w:after="0" w:line="129" w:lineRule="exact"/>
              <w:rPr>
                <w:sz w:val="20"/>
                <w:szCs w:val="20"/>
                <w:color w:val="auto"/>
              </w:rPr>
            </w:pPr>
            <w:r>
              <w:rPr>
                <w:rFonts w:ascii="Arial" w:cs="Arial" w:eastAsia="Arial" w:hAnsi="Arial"/>
                <w:sz w:val="13"/>
                <w:szCs w:val="13"/>
                <w:color w:val="auto"/>
              </w:rPr>
              <w:t>September 30, 2017</w:t>
            </w:r>
          </w:p>
        </w:tc>
        <w:tc>
          <w:tcPr>
            <w:tcW w:w="480" w:type="dxa"/>
            <w:vAlign w:val="bottom"/>
            <w:tcBorders>
              <w:top w:val="single" w:sz="8" w:color="auto"/>
              <w:bottom w:val="single" w:sz="8" w:color="auto"/>
            </w:tcBorders>
          </w:tcPr>
          <w:p>
            <w:pPr>
              <w:ind w:left="320"/>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19,359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285,600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w w:val="78"/>
              </w:rPr>
              <w:t>$</w:t>
            </w:r>
          </w:p>
        </w:tc>
        <w:tc>
          <w:tcPr>
            <w:tcW w:w="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32,423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324,442</w:t>
            </w:r>
          </w:p>
        </w:tc>
        <w:tc>
          <w:tcPr>
            <w:tcW w:w="40" w:type="dxa"/>
            <w:vAlign w:val="bottom"/>
          </w:tcPr>
          <w:p>
            <w:pPr>
              <w:spacing w:after="0"/>
              <w:rPr>
                <w:sz w:val="11"/>
                <w:szCs w:val="1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CASH FLOWS (Unaudited, in thousands)</w:t>
      </w:r>
    </w:p>
    <w:p>
      <w:pPr>
        <w:spacing w:after="0" w:line="118"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4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6,422</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68,235</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Lower of cost or market reserve adjustment to inventory</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21,807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(5,734)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(2,495)</w:t>
            </w: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Loss (gain) on disposal of assets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Unrealized foreign exchange gain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(580)</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(308)</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Accounts receivable, trade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27,822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(23,261)</w:t>
            </w: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income tax</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(41,288)</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(21,113)</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(2,013)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(6,062)</w:t>
            </w: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14,618</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income taxes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(7,390)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liabilities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25,625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57,498</w:t>
            </w:r>
          </w:p>
        </w:tc>
        <w:tc>
          <w:tcPr>
            <w:tcW w:w="200" w:type="dxa"/>
            <w:vAlign w:val="bottom"/>
            <w:shd w:val="clear" w:color="auto" w:fill="CCEEFF"/>
          </w:tcPr>
          <w:p>
            <w:pPr>
              <w:spacing w:after="0"/>
              <w:rPr>
                <w:sz w:val="17"/>
                <w:szCs w:val="17"/>
                <w:color w:val="auto"/>
              </w:rPr>
            </w:pPr>
          </w:p>
        </w:tc>
      </w:tr>
      <w:tr>
        <w:trPr>
          <w:trHeight w:val="193"/>
        </w:trPr>
        <w:tc>
          <w:tcPr>
            <w:tcW w:w="6480" w:type="dxa"/>
            <w:vAlign w:val="bottom"/>
          </w:tcPr>
          <w:p>
            <w:pPr>
              <w:spacing w:after="0"/>
              <w:rPr>
                <w:sz w:val="20"/>
                <w:szCs w:val="20"/>
                <w:color w:val="auto"/>
              </w:rPr>
            </w:pPr>
            <w:r>
              <w:rPr>
                <w:rFonts w:ascii="Arial" w:cs="Arial" w:eastAsia="Arial" w:hAnsi="Arial"/>
                <w:sz w:val="16"/>
                <w:szCs w:val="16"/>
                <w:color w:val="auto"/>
              </w:rPr>
              <w:t>Investing activities:</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short-term investments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(15,023)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Maturities of short-term investments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property, plant and equipment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(52,268)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(46,529)</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Purchase of land use rights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(5,591)</w:t>
            </w:r>
          </w:p>
        </w:tc>
        <w:tc>
          <w:tcPr>
            <w:tcW w:w="1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disposal of equipment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Deposits and prepaid for equipment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(7,533)</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(2,369)</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intangible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(407)</w:t>
            </w:r>
          </w:p>
        </w:tc>
      </w:tr>
      <w:tr>
        <w:trPr>
          <w:trHeight w:val="196"/>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(71,025)</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(49,126)</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issuance of notes payable and long-term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35,899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of long-term debt and notes payable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(38,300)</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Proceeds from line of credit borrowings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113,266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36,000</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of line of credit borrowings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(125,678)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Repayments of bank acceptance payable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(307)</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w w:val="99"/>
              </w:rPr>
              <w:t>Payments of tax withholding on behalf of employees related to share-based compensation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(3,788)</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(8,490)</w:t>
            </w: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offering,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21,572</w:t>
            </w:r>
          </w:p>
        </w:tc>
        <w:tc>
          <w:tcPr>
            <w:tcW w:w="200" w:type="dxa"/>
            <w:vAlign w:val="bottom"/>
            <w:shd w:val="clear" w:color="auto" w:fill="CCEEFF"/>
          </w:tcPr>
          <w:p>
            <w:pPr>
              <w:spacing w:after="0"/>
              <w:rPr>
                <w:sz w:val="17"/>
                <w:szCs w:val="17"/>
                <w:color w:val="auto"/>
              </w:rPr>
            </w:pPr>
          </w:p>
        </w:tc>
      </w:tr>
      <w:tr>
        <w:trPr>
          <w:trHeight w:val="196"/>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5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17,936</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11,874</w:t>
            </w:r>
          </w:p>
        </w:tc>
        <w:tc>
          <w:tcPr>
            <w:tcW w:w="200" w:type="dxa"/>
            <w:vAlign w:val="bottom"/>
            <w:tcBorders>
              <w:bottom w:val="single" w:sz="8" w:color="CCEEFF"/>
            </w:tcBorders>
          </w:tcPr>
          <w:p>
            <w:pPr>
              <w:spacing w:after="0"/>
              <w:rPr>
                <w:sz w:val="17"/>
                <w:szCs w:val="17"/>
                <w:color w:val="auto"/>
              </w:rPr>
            </w:pPr>
          </w:p>
        </w:tc>
      </w:tr>
      <w:tr>
        <w:trPr>
          <w:trHeight w:val="19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(25,873)</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20,038</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83,948</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51,964</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58,075</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72,002</w:t>
            </w:r>
          </w:p>
        </w:tc>
        <w:tc>
          <w:tcPr>
            <w:tcW w:w="200" w:type="dxa"/>
            <w:vAlign w:val="bottom"/>
            <w:tcBorders>
              <w:bottom w:val="single" w:sz="8" w:color="CCEEFF"/>
            </w:tcBorders>
          </w:tcPr>
          <w:p>
            <w:pPr>
              <w:spacing w:after="0"/>
              <w:rPr>
                <w:sz w:val="17"/>
                <w:szCs w:val="17"/>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120"/>
              <w:spacing w:after="0"/>
              <w:rPr>
                <w:sz w:val="20"/>
                <w:szCs w:val="20"/>
                <w:color w:val="auto"/>
              </w:rPr>
            </w:pPr>
            <w:r>
              <w:rPr>
                <w:rFonts w:ascii="Arial" w:cs="Arial" w:eastAsia="Arial" w:hAnsi="Arial"/>
                <w:sz w:val="16"/>
                <w:szCs w:val="16"/>
                <w:color w:val="auto"/>
              </w:rPr>
              <w:t>Cash paid for:</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00" w:type="dxa"/>
            <w:vAlign w:val="bottom"/>
            <w:shd w:val="clear" w:color="auto" w:fill="CCEEFF"/>
          </w:tcPr>
          <w:p>
            <w:pPr>
              <w:spacing w:after="0"/>
              <w:rPr>
                <w:sz w:val="17"/>
                <w:szCs w:val="17"/>
                <w:color w:val="auto"/>
              </w:rPr>
            </w:pPr>
          </w:p>
        </w:tc>
      </w:tr>
      <w:tr>
        <w:trPr>
          <w:trHeight w:val="203"/>
        </w:trPr>
        <w:tc>
          <w:tcPr>
            <w:tcW w:w="648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4,992</w:t>
            </w:r>
          </w:p>
        </w:tc>
        <w:tc>
          <w:tcPr>
            <w:tcW w:w="200" w:type="dxa"/>
            <w:vAlign w:val="bottom"/>
          </w:tcPr>
          <w:p>
            <w:pPr>
              <w:spacing w:after="0"/>
              <w:rPr>
                <w:sz w:val="17"/>
                <w:szCs w:val="17"/>
                <w:color w:val="auto"/>
              </w:rPr>
            </w:pPr>
          </w:p>
        </w:tc>
      </w:tr>
      <w:tr>
        <w:trPr>
          <w:trHeight w:val="203"/>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investing and financing activities: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6"/>
        </w:trPr>
        <w:tc>
          <w:tcPr>
            <w:tcW w:w="6480" w:type="dxa"/>
            <w:vAlign w:val="bottom"/>
          </w:tcPr>
          <w:p>
            <w:pPr>
              <w:ind w:left="220"/>
              <w:spacing w:after="0"/>
              <w:rPr>
                <w:sz w:val="20"/>
                <w:szCs w:val="20"/>
                <w:color w:val="auto"/>
              </w:rPr>
            </w:pPr>
            <w:r>
              <w:rPr>
                <w:rFonts w:ascii="Arial" w:cs="Arial" w:eastAsia="Arial" w:hAnsi="Arial"/>
                <w:sz w:val="16"/>
                <w:szCs w:val="16"/>
                <w:color w:val="auto"/>
              </w:rPr>
              <w:t>Net change in accounts payable related to property and equipment additions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(1,091)</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telecommunications and fiber-to-the-home.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our data center transceiver products, including subassemblies, as well as Cable TV Broadband (“CATV”) systems and equipment, and performs research and development activities for the CATV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unaudited condensed consolidated financial statements of the Company as of September 30, 2018 and December 31, 2017 and for the three and nine months ended September 30, 2018 and September 30, 2017,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2017. The results of operations for the three and nine months ended September 30, 2018 are not necessarily indicative of the results expected for the entire fiscal year. All significant intercompany accounts and transactions have been eliminated.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inventory reserve, product warranty costs, share-based compensation expense, estimated useful lives of property and equipment, and taxes.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three and nine months ended September 30, 2018, as compared to the significant accounting policies described in its 2017 Annual Report, except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 in 2018</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The new revenue recognition guidance establishes a new control-based revenue recognition model, changes the basis for deciding when revenue is recognized over time or at a point in time, provides new and more detailed guidance on specific topics and expands and improves disclosures about revenue. The Company evaluated its revenues and the new guidance had immaterial impact to recognition practices upon adoption on January 1, 2018. As part of the adoption, the Company elected to apply the new guidance on a modified retrospective basis. The Company did not record a cumulative effect adjustment to retained earnings for initially applying the new guidance as no revenue recognition differences were identified in the timing or amount of revenue. See Note 3, "Revenue Recognition" for additional information on the required disclosures related to the impact of adopting this standard.</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FASB issued ASU No. 2016-01, Financial Instruments – Overall (Subtopic 825-10): Recognition and Measurement of Financial Assets and Financial Liabilities with further clarifications made in February 2018 with the issuance of ASU No.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with no impact on its financial statements.</w:t>
      </w:r>
    </w:p>
    <w:p>
      <w:pPr>
        <w:spacing w:after="0" w:line="18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March 2018, the FASB issued ASU No. 2018-05, Income Taxes (Topic 740): Amendments to SEC Paragraphs Pursuant to SEC Staff Accounting Bulletin No. 118. ASU No. 2018-05, effective 2018, expands income tax accounting and disclosure guidance to include SAB 118 issued by the SEC in December 2017. SAB 118 provides guidance on accounting for the income tax effects of the U.S. Tax Cuts and Jobs Act of 2017 (the “Tax Act”) and among other things allows for a measurement period not to exceed one year for companies to finalize the provisional amounts recorded as of December 31, 2017. See Note 14, “Income Taxes” for additional information on the Company’s accounting for the Tax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25, 2016, the FASB released ASU No. 2016-02, Leases, to complete its project to overhaul lease accounting. The ASU codifies ASC 842, Leases, which will replace the guidance in ASC 840. The new standard establishes a right-of-use model (ROU) that requires a lessee to recognize a ROU asset and lease liability on the balance sheet for all leases with a term longer than 12 months. The guidance is effective for public business entities in fiscal years beginning after December 15, 2018. The Company expects that this standard will have a material effect on its financial statements. While the Company continues to assess all of the effects of adoption, the Company currently believes the most significant effects relate to the recognition of new ROU assets and lease liabilities on its balance sheet for its Taiwan branch. Upon adoption, the Company expects to recognize additional operating liabilities ranging from $9.5 million to $11.5 million, with corresponding ROU assets of the same amount based on the present value of the remaining minimum rental payments under the current leasing standards for existing operating leases.”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19" w:firstLine="648"/>
        <w:spacing w:after="0" w:line="297" w:lineRule="auto"/>
        <w:rPr>
          <w:sz w:val="20"/>
          <w:szCs w:val="20"/>
          <w:color w:val="auto"/>
        </w:rPr>
      </w:pPr>
      <w:r>
        <w:rPr>
          <w:rFonts w:ascii="Arial" w:cs="Arial" w:eastAsia="Arial" w:hAnsi="Arial"/>
          <w:sz w:val="16"/>
          <w:szCs w:val="16"/>
          <w:color w:val="auto"/>
        </w:rPr>
        <w:t>On January 1, 2018, the Company adopted Topic 606 using the modified retrospective method. Under the modified retrospective method, the Company did not record a cumulative effect adjustment to retained earnings for initially applying the new guidance as no revenue recognition differences were identified in the timing or amount of revenue. Results for reporting periods beginning after January 1, 2018 are presented under Topic 606, while prior period amounts are not adjusted and continue to be reported in accordance with our historic accounting under Revenue Recognition ("Topic 605").</w:t>
      </w:r>
    </w:p>
    <w:p>
      <w:pPr>
        <w:spacing w:after="0" w:line="158"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The adoption of Topic 606 represents a change in accounting principle that will provide financial statement readers with enhanced revenue recognition disclosures. In accordance with Topic 606, revenue is recognized when obligations under the terms of a contract with our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ind w:right="19" w:firstLine="648"/>
        <w:spacing w:after="0" w:line="254" w:lineRule="auto"/>
        <w:rPr>
          <w:sz w:val="20"/>
          <w:szCs w:val="20"/>
          <w:color w:val="auto"/>
        </w:rPr>
      </w:pPr>
      <w:r>
        <w:rPr>
          <w:rFonts w:ascii="Arial" w:cs="Arial" w:eastAsia="Arial" w:hAnsi="Arial"/>
          <w:sz w:val="18"/>
          <w:szCs w:val="18"/>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ind w:right="79" w:firstLine="648"/>
        <w:spacing w:after="0" w:line="270"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ind w:right="159" w:firstLine="648"/>
        <w:spacing w:after="0" w:line="273"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ind w:right="19" w:firstLine="648"/>
        <w:spacing w:after="0" w:line="286"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consideration related to the contract is allocated entirely to a performance obligation. The Company determines standalone selling price based on the price at which the performance obligation is sold separately.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15, "Geographic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 September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CATV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18,932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FTTH</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56,386</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88,879</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378"/>
        </w:trPr>
        <w:tc>
          <w:tcPr>
            <w:tcW w:w="3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158,577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CATV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46,430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FTTH</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209,447</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302,474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ind w:right="180" w:firstLine="648"/>
        <w:spacing w:after="0" w:line="338"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statement of financial position that sum to the total of the same such amounts in the statement of cash flows (in thousands):</w:t>
      </w:r>
    </w:p>
    <w:tbl>
      <w:tblPr>
        <w:tblLayout w:type="fixed"/>
        <w:tblInd w:w="92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4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1"/>
              </w:rPr>
              <w:t>Total cash, cash equivalents and restricted cash shown in the</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58,075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83,948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3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Restricted cash includes guarantee deposits for customs duties and compensating balances required for certain credit facilities.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stock options and restricted stock units outstanding during the period. In periods with net losses, normally dilutive shares become anti-dilutive.Therefore, basic and diluted earnings per share are the same.</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income (loss) per share for the periods indicated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(3,732)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19,375</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68,235</w:t>
            </w:r>
          </w:p>
        </w:tc>
        <w:tc>
          <w:tcPr>
            <w:tcW w:w="14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to compute net income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(loss) per share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w:t>
            </w:r>
          </w:p>
        </w:tc>
        <w:tc>
          <w:tcPr>
            <w:tcW w:w="14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w w:val="99"/>
              </w:rPr>
              <w:t>Effect of dilutive options and restricted stock units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income (loss) per share as their effect would have been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60" w:type="dxa"/>
            <w:vAlign w:val="bottom"/>
            <w:gridSpan w:val="2"/>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231</w:t>
            </w:r>
          </w:p>
        </w:tc>
        <w:tc>
          <w:tcPr>
            <w:tcW w:w="18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antidilutive shares</w:t>
            </w: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Work in process and sub-assemblies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31,060</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w:t>
            </w:r>
          </w:p>
        </w:tc>
        <w:tc>
          <w:tcPr>
            <w:tcW w:w="6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inventory</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75,768</w:t>
            </w:r>
          </w:p>
        </w:tc>
        <w:tc>
          <w:tcPr>
            <w:tcW w:w="60" w:type="dxa"/>
            <w:vAlign w:val="bottom"/>
          </w:tcPr>
          <w:p>
            <w:pPr>
              <w:spacing w:after="0"/>
              <w:rPr>
                <w:sz w:val="18"/>
                <w:szCs w:val="18"/>
                <w:color w:val="auto"/>
              </w:rPr>
            </w:pPr>
          </w:p>
        </w:tc>
      </w:tr>
    </w:tbl>
    <w:p>
      <w:pPr>
        <w:spacing w:after="0" w:line="199"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The lower of cost or market adjustment expensed for inventory for the three months ended September 30, 2018 and 2017 was $3.2 million and $0.7 million, respectively. The lower of cost or market adjustment expensed for inventory for the nine months ended September 30, 2018 and 2017 was $5.5 million and $1.4 million,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2017</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78,785</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168,993</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Transportation equipment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262,213</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(70,194)</w:t>
            </w:r>
          </w:p>
        </w:tc>
        <w:tc>
          <w:tcPr>
            <w:tcW w:w="6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192,019</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60" w:type="dxa"/>
            <w:vAlign w:val="bottom"/>
            <w:shd w:val="clear" w:color="auto" w:fill="CCEEFF"/>
          </w:tcPr>
          <w:p>
            <w:pPr>
              <w:spacing w:after="0"/>
              <w:rPr>
                <w:sz w:val="18"/>
                <w:szCs w:val="18"/>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197,943</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19" w:firstLine="648"/>
        <w:spacing w:after="0" w:line="286" w:lineRule="auto"/>
        <w:rPr>
          <w:sz w:val="20"/>
          <w:szCs w:val="20"/>
          <w:color w:val="auto"/>
        </w:rPr>
      </w:pPr>
      <w:r>
        <w:rPr>
          <w:rFonts w:ascii="Arial" w:cs="Arial" w:eastAsia="Arial" w:hAnsi="Arial"/>
          <w:sz w:val="17"/>
          <w:szCs w:val="17"/>
          <w:color w:val="auto"/>
        </w:rPr>
        <w:t>For the three months ended September 30, 2018 and 2017, depreciation expense of property, plant and equipment was $7.4 million and $5.3 million, respectively. For the nine months ended September 30, 2018 and 2017, depreciation expense of property, plant and equipment was $21.4 million and $14.0 million, respectively.</w:t>
      </w:r>
    </w:p>
    <w:p>
      <w:pPr>
        <w:spacing w:after="0" w:line="166" w:lineRule="exact"/>
        <w:rPr>
          <w:sz w:val="20"/>
          <w:szCs w:val="20"/>
          <w:color w:val="auto"/>
        </w:rPr>
      </w:pPr>
    </w:p>
    <w:p>
      <w:pPr>
        <w:ind w:right="239" w:firstLine="648"/>
        <w:spacing w:after="0" w:line="286" w:lineRule="auto"/>
        <w:rPr>
          <w:sz w:val="20"/>
          <w:szCs w:val="20"/>
          <w:color w:val="auto"/>
        </w:rPr>
      </w:pPr>
      <w:r>
        <w:rPr>
          <w:rFonts w:ascii="Arial" w:cs="Arial" w:eastAsia="Arial" w:hAnsi="Arial"/>
          <w:sz w:val="17"/>
          <w:szCs w:val="17"/>
          <w:color w:val="auto"/>
        </w:rPr>
        <w:t>Included in depreciation expense was $3.7 million and $3.4 million recorded as cost of sales for the three months ended September 30, 2018 and 2017, respectively. Included in depreciation expense was $11.3 million and $8.7 million recorded as cost of sales for the nine months ended September 30,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September 30, 2018</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8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60" w:type="dxa"/>
            <w:vAlign w:val="bottom"/>
          </w:tcPr>
          <w:p>
            <w:pPr>
              <w:spacing w:after="0"/>
              <w:rPr>
                <w:sz w:val="10"/>
                <w:szCs w:val="10"/>
                <w:color w:val="auto"/>
              </w:rPr>
            </w:pPr>
          </w:p>
        </w:tc>
      </w:tr>
      <w:tr>
        <w:trPr>
          <w:trHeight w:val="171"/>
        </w:trPr>
        <w:tc>
          <w:tcPr>
            <w:tcW w:w="4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assets, net</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$ 6,853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Trademarks</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7"/>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$ 6,868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8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December 31, 2017</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8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60" w:type="dxa"/>
            <w:vAlign w:val="bottom"/>
          </w:tcPr>
          <w:p>
            <w:pPr>
              <w:spacing w:after="0"/>
              <w:rPr>
                <w:sz w:val="10"/>
                <w:szCs w:val="10"/>
                <w:color w:val="auto"/>
              </w:rPr>
            </w:pPr>
          </w:p>
        </w:tc>
      </w:tr>
      <w:tr>
        <w:trPr>
          <w:trHeight w:val="171"/>
        </w:trPr>
        <w:tc>
          <w:tcPr>
            <w:tcW w:w="48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assets, net</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$ 6,524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Trademarks</w:t>
            </w: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7"/>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$ 6,538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4,007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9" w:lineRule="exact"/>
        <w:rPr>
          <w:sz w:val="20"/>
          <w:szCs w:val="20"/>
          <w:color w:val="auto"/>
        </w:rPr>
      </w:pPr>
    </w:p>
    <w:p>
      <w:pPr>
        <w:ind w:right="139" w:firstLine="648"/>
        <w:spacing w:after="0" w:line="263" w:lineRule="auto"/>
        <w:rPr>
          <w:sz w:val="20"/>
          <w:szCs w:val="20"/>
          <w:color w:val="auto"/>
        </w:rPr>
      </w:pPr>
      <w:r>
        <w:rPr>
          <w:rFonts w:ascii="Arial" w:cs="Arial" w:eastAsia="Arial" w:hAnsi="Arial"/>
          <w:sz w:val="19"/>
          <w:szCs w:val="19"/>
          <w:color w:val="auto"/>
        </w:rPr>
        <w:t>For the three months ended September 30, 2018 and 2017, amortization expense for intangible assets, included in general and administrative expenses on the income statement, was each $0.1 million. For the nine months ended September 30, 2018 and 2017, amortization expense for intangible assets, included in general and administrative expenses on the income statement, was each $0.4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weighted average amortization period for intangible assets is approximately 8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0"/>
              </w:rPr>
              <w:t>As of September 30, 2018</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0"/>
              </w:rPr>
              <w:t>As of December 31, 2017</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7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7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$ 56,380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$ 56,380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$ 82,936</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4"/>
              </w:rPr>
              <w:t>$ 82,936</w:t>
            </w:r>
          </w:p>
        </w:tc>
        <w:tc>
          <w:tcPr>
            <w:tcW w:w="60" w:type="dxa"/>
            <w:vAlign w:val="bottom"/>
          </w:tcPr>
          <w:p>
            <w:pPr>
              <w:spacing w:after="0"/>
              <w:rPr>
                <w:sz w:val="18"/>
                <w:szCs w:val="18"/>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60" w:type="dxa"/>
            <w:vAlign w:val="bottom"/>
            <w:shd w:val="clear" w:color="auto" w:fill="CCEEFF"/>
          </w:tcPr>
          <w:p>
            <w:pPr>
              <w:spacing w:after="0"/>
              <w:rPr>
                <w:sz w:val="18"/>
                <w:szCs w:val="18"/>
                <w:color w:val="auto"/>
              </w:rPr>
            </w:pPr>
          </w:p>
        </w:tc>
      </w:tr>
      <w:tr>
        <w:trPr>
          <w:trHeight w:val="216"/>
        </w:trPr>
        <w:tc>
          <w:tcPr>
            <w:tcW w:w="2440" w:type="dxa"/>
            <w:vAlign w:val="bottom"/>
          </w:tcPr>
          <w:p>
            <w:pPr>
              <w:ind w:left="120"/>
              <w:spacing w:after="0"/>
              <w:rPr>
                <w:sz w:val="20"/>
                <w:szCs w:val="20"/>
                <w:color w:val="auto"/>
              </w:rPr>
            </w:pPr>
            <w:r>
              <w:rPr>
                <w:rFonts w:ascii="Arial" w:cs="Arial" w:eastAsia="Arial" w:hAnsi="Arial"/>
                <w:sz w:val="18"/>
                <w:szCs w:val="18"/>
                <w:color w:val="auto"/>
              </w:rPr>
              <w:t>Short term investments</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6,022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7"/>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$ 58,075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$ 64,097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$ 83,984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$ 83,984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carrying value amounts of accounts receivable, prepaid expenses and other current assets, accounts payable, accrued expenses and other current liabilities approximate fair value because of the short-term maturity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September 30, 2018</w:t>
            </w:r>
          </w:p>
        </w:tc>
        <w:tc>
          <w:tcPr>
            <w:tcW w:w="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 2017</w:t>
            </w:r>
          </w:p>
        </w:tc>
      </w:tr>
      <w:tr>
        <w:trPr>
          <w:trHeight w:val="210"/>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Revolving line of credit with a U.S. bank up to $60,000 with interest at LIBOR plus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1.4%, maturing September 28, 2020</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60" w:type="dxa"/>
            <w:vAlign w:val="bottom"/>
            <w:shd w:val="clear" w:color="auto" w:fill="CCEEFF"/>
          </w:tcPr>
          <w:p>
            <w:pPr>
              <w:spacing w:after="0"/>
              <w:rPr>
                <w:sz w:val="20"/>
                <w:szCs w:val="20"/>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3"/>
              </w:rPr>
              <w:t>Term loan with a U.S. bank with monthly payments of principal and interest at LIBOR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plus 1.15%, maturing April 1, 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20,604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Term loan with a U.S. bank with monthly payments of principal and interest at LIBOR</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plus 1.3%, maturing April 1, 2023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3"/>
              </w:rPr>
              <w:t>Term loan with a U.S. bank with monthly payments of principal and interest at LIBOR</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plus 1.3%, maturing October 1, 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Revolving line of credit with a Taiwan bank up to $9,828 with interest at 2%, maturing</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May 31, 2019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4"/>
              </w:rPr>
              <w:t>Notes payable to a finance company due in monthly installments with 4.5% interest,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which matured May 27, 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w:t>
            </w:r>
          </w:p>
        </w:tc>
        <w:tc>
          <w:tcPr>
            <w:tcW w:w="60" w:type="dxa"/>
            <w:vAlign w:val="bottom"/>
          </w:tcPr>
          <w:p>
            <w:pPr>
              <w:spacing w:after="0"/>
              <w:rPr>
                <w:sz w:val="20"/>
                <w:szCs w:val="20"/>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r>
      <w:tr>
        <w:trPr>
          <w:trHeight w:val="217"/>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current portion of long-term debt is the amount payable within one year of the balance sheet date of September 30, 2018. The one-month London Interbank Offered Rate (LIBOR) was 2.26% on September 30,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Maturities of long-term debt are as follows for the future one-year periods ending September 30, (in thousands):</w:t>
      </w:r>
    </w:p>
    <w:p>
      <w:pPr>
        <w:spacing w:after="0" w:line="265"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60" w:type="dxa"/>
            <w:vAlign w:val="bottom"/>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2020</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38,312</w:t>
            </w:r>
          </w:p>
        </w:tc>
        <w:tc>
          <w:tcPr>
            <w:tcW w:w="6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60" w:type="dxa"/>
            <w:vAlign w:val="bottom"/>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2022</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4,999</w:t>
            </w:r>
          </w:p>
        </w:tc>
        <w:tc>
          <w:tcPr>
            <w:tcW w:w="6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60" w:type="dxa"/>
            <w:vAlign w:val="bottom"/>
            <w:shd w:val="clear" w:color="auto" w:fill="CCEEFF"/>
          </w:tcPr>
          <w:p>
            <w:pPr>
              <w:spacing w:after="0"/>
              <w:rPr>
                <w:sz w:val="19"/>
                <w:szCs w:val="19"/>
                <w:color w:val="auto"/>
              </w:rPr>
            </w:pPr>
          </w:p>
        </w:tc>
      </w:tr>
      <w:tr>
        <w:trPr>
          <w:trHeight w:val="230"/>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 and thereafter</w:t>
            </w:r>
          </w:p>
        </w:tc>
        <w:tc>
          <w:tcPr>
            <w:tcW w:w="2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10,008</w:t>
            </w:r>
          </w:p>
        </w:tc>
        <w:tc>
          <w:tcPr>
            <w:tcW w:w="60" w:type="dxa"/>
            <w:vAlign w:val="bottom"/>
            <w:tcBorders>
              <w:bottom w:val="single" w:sz="8" w:color="CCEEFF"/>
            </w:tcBorders>
          </w:tcPr>
          <w:p>
            <w:pPr>
              <w:spacing w:after="0"/>
              <w:rPr>
                <w:sz w:val="19"/>
                <w:szCs w:val="19"/>
                <w:color w:val="auto"/>
              </w:rPr>
            </w:pPr>
          </w:p>
        </w:tc>
      </w:tr>
      <w:tr>
        <w:trPr>
          <w:trHeight w:val="217"/>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w:t>
            </w:r>
          </w:p>
        </w:tc>
        <w:tc>
          <w:tcPr>
            <w:tcW w:w="2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71,171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June 14, 2016, the Company executed a Change in Terms Agreement, Notice of Final Agreement and Modification of the Construction Loan Agreement (the “Modification Agreement”) in connection with the Construction Loan Agreement with East West Bank for up to $22.0 million dollars to finance the construction of the Company’s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campus expansion plan in Sugar Land, Texas, originally dated January 26, 2015 (the “Construction Loan Agreement”). Under the Construction Loan Agreement, the loan bore interest at an annual rate based on the one-month LIBOR Borrowing Rate plus 2.75%, and the interest rate was adjusted to LIBOR Borrowing Rate plus 2.0% under the Modification Agreement.</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October 5, 2016, the Company executed a Change in Terms Agreement, Notice of Final Agreement and Second Modification to the Construction Loan Agreement (the “Second Modifications”) to the Construction Loan Agreement with East West Bank. The Second Modifications amended and restated in part the Company’s Promissory Note and Construction Loan Agreement, which was originally executed on January 26, 2015, and the Modification Agreement. The draw down period end date, under the Second Modifications, was amended from July 31, 2016 to September 30, 2016. On September 28, 2017, the Company repaid the outstanding balance of $11.2 million and terminated the loan.</w:t>
      </w:r>
    </w:p>
    <w:p>
      <w:pPr>
        <w:spacing w:after="0" w:line="16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June 24, 2016, the Company entered into a First Amendment to the Credit Agreement with East West Bank and Comerica Bank (“First Amendment”), a second lien deed of trust, multiple security agreements and promissory notes evidencing two credit facilities and a term loan originally entered into on June 30, 2015. The First Amendment increased the Company’s revolving lines of credit from $25 million to $40 million, which would have matured on June 30, 2018, and retained a $10.0 million term loan which would have matured on June 30, 2020. The First Amendment also provided for an additional $10.0 million equipment term loan with a one year drawdown period commencing on April 1, 2016 and maturing five years from the closing date of the First Amendment. The interest rate on these loans was adjusted by the First Amendment from the LIBOR Borrowing Rate plus 2.75% or 3.0% to LIBOR Borrowing Rate plus 2.0%. On September 28, 2017, the Company terminated the Credit Agreement and all outstanding balances of the loans had been repaid.</w:t>
      </w:r>
    </w:p>
    <w:p>
      <w:pPr>
        <w:spacing w:after="0" w:line="16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28, 2017, the Company entered into a Loan Agreement, a Promissory Note, an Addendum to the Promissory Note, a BB&amp;T Security Agreement, a Trademark Security Agreement, and a Patent Security Agreement (together the “Credit Facility”) with Branch Banking and Trust Company (“BB&amp;T”). The Credit Facility provides the Company with a three year, $50 million, revolving line of credit. Borrowings under the Credit Facility will be used for general corporate purposes. The Company will make monthly payments of accrued interest with the final monthly payment being for all principal and all accrued interest not yet paid. The Company’s obligations under the Credit Facility will be secured by the Company’s accounts receivable, inventory, intellectual property, all business assets with the exception of real estate and equipment. Borrowings under the Credit Facility will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6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BB&amp;T. The Amended Credit Facility amends the Company’s three-year $50 million line of credit with BB&amp;T, originally executed on September 28, 2017 (the “Existing Loan”). The Amended Credit Facility (1) increases the principal amount of the three-year line of credit from $50 million to $60 million (the “Line of Credit”); (2) allows the Company to borrow an additional $26 million from BB&amp;T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will bear interest at a rate equal to the one-month LIBOR plus a Line of Credit margin ranging between 1.40% and 2.0%. Borrowings under the CapEx Loan will bear interest at a rate equal to the one-month LIBOR plus a CapEx Loan margin ranging between 1.30% and 2.0%. Borrowings under the Term Loan will bear interest at a rate equal to the one-month LIBOR plus a Term Loan margin ranging between 1.15% and 2.0%. The Company will make monthly payments of principal and accrued interest with the final monthly payments being for all principal and accrued interest not yet paid. The Company’s obligations under the Amended Credit Facility will be secured by the Company’s accounts receivable, inventory, equipment, intellectual property, real property, and virtually all business assets. As of September 30, 2018, the Company was in compliance with all covenants under the Amended Credit Facility. As of September 30, 2018, $33.3 million was outstanding under the Line of Credit, $20.6 million was outstanding under the Term Loan and $14.0 million was outstanding under the CapEx Loan.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May 27, 2015, the Company’s Taiwan branch entered into a Purchase and Sale Contract and a Finance Lease Agreement with Chailease Finance Co, Ltd. (“Chailease”) in connection with certain equipment, structured as a sale lease-back transaction. Pursuant to the Purchase and Sale contract, the Company’s Taiwan branch sold certain equipment to Chailease for a purchase price of 180,148,532 New Taiwan dollars, or NTD, or approximately $5.9 million, and simultaneously leased the equipment back from Chailease pursuant to the Finance Lease Agreement. The monthly lease payments range from 3,784,000 NTD, to 3,322,413 NTD, or approximately $0.1 million each, during the term of the Finance Lease Agreement, including an initial payment in an amount of 60,148,532 New Taiwan dollars, or approximately $2.0 million. The Finance Lease Agreement had a three-year term, which matured on May 27, 2018. The title to the equipment was transferred to Prime World upon the expiration of the Finance Lease Agreement. On May 27</w:t>
      </w:r>
      <w:r>
        <w:rPr>
          <w:rFonts w:ascii="Arial" w:cs="Arial" w:eastAsia="Arial" w:hAnsi="Arial"/>
          <w:sz w:val="7"/>
          <w:szCs w:val="7"/>
          <w:color w:val="auto"/>
        </w:rPr>
        <w:t>th</w:t>
      </w:r>
      <w:r>
        <w:rPr>
          <w:rFonts w:ascii="Arial" w:cs="Arial" w:eastAsia="Arial" w:hAnsi="Arial"/>
          <w:sz w:val="16"/>
          <w:szCs w:val="16"/>
          <w:color w:val="auto"/>
        </w:rPr>
        <w:t>, 2018, the Company repaid the outstanding balance and terminated the loan, and title to the equipment was transferred to its Taiwan branch.</w:t>
      </w:r>
    </w:p>
    <w:p>
      <w:pPr>
        <w:spacing w:after="0" w:line="169"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On June 19, 2018, Prime World entered into a one year revolving credit facility totaling 300 million New Taiwan dollars, or approximately $9.8 million, (the “Taiwan Credit Facility”) with Taishin International Bank in Taiwan (the “Bank”). Borrowing under the Taiwan Credit Facility will be used for short-term working capital. Prime World may draw upon the Taiwan Credit Facility from June 19, 2018 until May 31, 2019. The term of each draw shall be either 90 or 120 days. Borrowings under the Taiwan Credit Facility will bear interest at a rate of 2.00% for 90 day draws and 1.95% for 120 day draws. At the end of the draw term, Prime World will make payment for all principal and accrued interest. The agreements for the Taiwan Credit Facility contain representations and warranties, and events of default applicable to Prime World that are customary for agreements of this type. As of September 30, 2018, $3.3 million was outstanding under the Taiwan Credit Facility.</w:t>
      </w:r>
    </w:p>
    <w:p>
      <w:pPr>
        <w:spacing w:after="0" w:line="182" w:lineRule="exact"/>
        <w:rPr>
          <w:sz w:val="20"/>
          <w:szCs w:val="20"/>
          <w:color w:val="auto"/>
        </w:rPr>
      </w:pPr>
    </w:p>
    <w:p>
      <w:pPr>
        <w:jc w:val="both"/>
        <w:ind w:right="340" w:firstLine="648"/>
        <w:spacing w:after="0" w:line="288" w:lineRule="auto"/>
        <w:rPr>
          <w:sz w:val="20"/>
          <w:szCs w:val="20"/>
          <w:color w:val="auto"/>
        </w:rPr>
      </w:pPr>
      <w:r>
        <w:rPr>
          <w:rFonts w:ascii="Arial" w:cs="Arial" w:eastAsia="Arial" w:hAnsi="Arial"/>
          <w:sz w:val="16"/>
          <w:szCs w:val="16"/>
          <w:color w:val="auto"/>
        </w:rPr>
        <w:t>On September 21, 2018, the Company’s China subsidiary, Global, entered into a five-year revolving credit line agreement, totaling 129,000,000 Chinese Renminbi, or RMB, or approximately $18.8 million, (the “Credit Line”) and a security agreement (the “Security Agreement”), with China Construction Bank Co., Ltd., in Ningbo, China (the “Bank”).</w:t>
      </w:r>
    </w:p>
    <w:p>
      <w:pPr>
        <w:spacing w:after="0" w:line="269" w:lineRule="auto"/>
        <w:rPr>
          <w:sz w:val="20"/>
          <w:szCs w:val="20"/>
          <w:color w:val="auto"/>
        </w:rPr>
      </w:pPr>
      <w:r>
        <w:rPr>
          <w:rFonts w:ascii="Arial" w:cs="Arial" w:eastAsia="Arial" w:hAnsi="Arial"/>
          <w:sz w:val="17"/>
          <w:szCs w:val="17"/>
          <w:color w:val="auto"/>
        </w:rPr>
        <w:t>Borrowing under the Credit Line will be used for general corporate and capital investment purposes. The Company may draw upon the Credit Line between September 21, 2018 and September 17, 2023; however, the amount of available credit under the Credit Line may be reduced by the Bank without notice to the Company and may be decreased due to changes in Chinese government regulations. Each draw will bear interest equal to the Bank’s commercial banking interest rate effective on the day of the applicable draw. The Company’s obligations under the Credit Line will be secured by real property owned by the Company in China and mortgaged to the Bank under the terms of the Security Agreement. As of September 30, 2018, there was no outstanding balance under the Credit Line.</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September 30, 2018 and December 31, 2017, the Company had $63.6 million and $1.0 million of unused borrowing capacity, respectively.</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September 30, 2018 and December 31, 2017, there were no restricted cash, investments or security deposit associated with the loan facilities,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2018</w:t>
            </w:r>
          </w:p>
        </w:tc>
        <w:tc>
          <w:tcPr>
            <w:tcW w:w="1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2017</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rent</w:t>
            </w: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1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1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1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Accrued capital expenditures</w:t>
            </w:r>
          </w:p>
        </w:tc>
        <w:tc>
          <w:tcPr>
            <w:tcW w:w="1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17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7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20,723</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19,103</w:t>
            </w:r>
          </w:p>
        </w:tc>
        <w:tc>
          <w:tcPr>
            <w:tcW w:w="900" w:type="dxa"/>
            <w:vAlign w:val="bottom"/>
          </w:tcPr>
          <w:p>
            <w:pPr>
              <w:spacing w:after="0"/>
              <w:rPr>
                <w:sz w:val="19"/>
                <w:szCs w:val="19"/>
                <w:color w:val="auto"/>
              </w:rPr>
            </w:pPr>
          </w:p>
        </w:tc>
      </w:tr>
      <w:tr>
        <w:trPr>
          <w:trHeight w:val="865"/>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311"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236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4"/>
              </w:rPr>
              <w:t>Foreign exchange transaction gain (loss)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202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disposal of assets</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8"/>
                <w:szCs w:val="18"/>
                <w:color w:val="auto"/>
              </w:rPr>
            </w:pPr>
          </w:p>
        </w:tc>
      </w:tr>
      <w:tr>
        <w:trPr>
          <w:trHeight w:val="217"/>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8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93"/>
              </w:rPr>
              <w:t>on Date of</w:t>
            </w:r>
          </w:p>
        </w:tc>
        <w:tc>
          <w:tcPr>
            <w:tcW w:w="82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4"/>
              </w:rPr>
              <w:t>shares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40" w:type="dxa"/>
            <w:vAlign w:val="bottom"/>
            <w:gridSpan w:val="4"/>
          </w:tcPr>
          <w:p>
            <w:pPr>
              <w:jc w:val="right"/>
              <w:ind w:right="561"/>
              <w:spacing w:after="0" w:line="142" w:lineRule="exact"/>
              <w:rPr>
                <w:sz w:val="20"/>
                <w:szCs w:val="20"/>
                <w:color w:val="auto"/>
              </w:rPr>
            </w:pPr>
            <w:r>
              <w:rPr>
                <w:rFonts w:ascii="Arial" w:cs="Arial" w:eastAsia="Arial" w:hAnsi="Arial"/>
                <w:sz w:val="14"/>
                <w:szCs w:val="14"/>
                <w:b w:val="1"/>
                <w:bCs w:val="1"/>
                <w:color w:val="auto"/>
                <w:w w:val="90"/>
              </w:rPr>
              <w:t>(in thousands, except price data)</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$ 10.04</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5.19</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680" w:type="dxa"/>
            <w:vAlign w:val="bottom"/>
          </w:tcPr>
          <w:p>
            <w:pPr>
              <w:jc w:val="right"/>
              <w:spacing w:after="0"/>
              <w:rPr>
                <w:sz w:val="20"/>
                <w:szCs w:val="20"/>
                <w:color w:val="auto"/>
              </w:rPr>
            </w:pPr>
            <w:r>
              <w:rPr>
                <w:rFonts w:ascii="Arial" w:cs="Arial" w:eastAsia="Arial" w:hAnsi="Arial"/>
                <w:sz w:val="18"/>
                <w:szCs w:val="18"/>
                <w:color w:val="auto"/>
              </w:rPr>
              <w:t>9.79</w:t>
            </w:r>
          </w:p>
        </w:tc>
        <w:tc>
          <w:tcPr>
            <w:tcW w:w="900" w:type="dxa"/>
            <w:vAlign w:val="bottom"/>
          </w:tcPr>
          <w:p>
            <w:pPr>
              <w:jc w:val="right"/>
              <w:ind w:right="66"/>
              <w:spacing w:after="0"/>
              <w:rPr>
                <w:sz w:val="20"/>
                <w:szCs w:val="20"/>
                <w:color w:val="auto"/>
              </w:rPr>
            </w:pPr>
            <w:r>
              <w:rPr>
                <w:rFonts w:ascii="Arial" w:cs="Arial" w:eastAsia="Arial" w:hAnsi="Arial"/>
                <w:sz w:val="18"/>
                <w:szCs w:val="18"/>
                <w:color w:val="auto"/>
              </w:rPr>
              <w:t>$  36.18</w:t>
            </w:r>
          </w:p>
        </w:tc>
        <w:tc>
          <w:tcPr>
            <w:tcW w:w="26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5.10</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September 30,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$ 10.19</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5.31</w:t>
            </w:r>
          </w:p>
        </w:tc>
        <w:tc>
          <w:tcPr>
            <w:tcW w:w="92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September 30, 2018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$ 10.19</w:t>
            </w:r>
          </w:p>
        </w:tc>
        <w:tc>
          <w:tcPr>
            <w:tcW w:w="9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0"/>
        </w:trPr>
        <w:tc>
          <w:tcPr>
            <w:tcW w:w="414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9"/>
              </w:rPr>
              <w:t>$ 10.19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line="203" w:lineRule="exact"/>
              <w:rPr>
                <w:sz w:val="20"/>
                <w:szCs w:val="20"/>
                <w:color w:val="auto"/>
              </w:rPr>
            </w:pPr>
            <w:r>
              <w:rPr>
                <w:rFonts w:ascii="Arial" w:cs="Arial" w:eastAsia="Arial" w:hAnsi="Arial"/>
                <w:sz w:val="18"/>
                <w:szCs w:val="18"/>
                <w:color w:val="auto"/>
              </w:rPr>
              <w:t>4.86</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there was no unrecognized stock option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Average Share</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Price on Date</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 Fair</w:t>
            </w:r>
          </w:p>
        </w:tc>
        <w:tc>
          <w:tcPr>
            <w:tcW w:w="14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of Release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w w:val="91"/>
              </w:rPr>
              <w:t>(in thousands, except price data)</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33.83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37.66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95"/>
              <w:spacing w:after="0"/>
              <w:rPr>
                <w:sz w:val="20"/>
                <w:szCs w:val="20"/>
                <w:color w:val="auto"/>
              </w:rPr>
            </w:pPr>
            <w:r>
              <w:rPr>
                <w:rFonts w:ascii="Arial" w:cs="Arial" w:eastAsia="Arial" w:hAnsi="Arial"/>
                <w:sz w:val="18"/>
                <w:szCs w:val="18"/>
                <w:color w:val="auto"/>
              </w:rPr>
              <w:t>32.58</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31.82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r>
        <w:trPr>
          <w:trHeight w:val="210"/>
        </w:trPr>
        <w:tc>
          <w:tcPr>
            <w:tcW w:w="544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2018, there was $27.1 million of unrecognized compensation expense related to these RSUs and RSAs. This expense is expected to be recognized over 2.7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460" w:type="dxa"/>
            <w:vAlign w:val="bottom"/>
            <w:gridSpan w:val="9"/>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9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$ 2,894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$ 2,081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$ 8,362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$ 5,849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5"/>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9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award type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Employee stock options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5,039</w:t>
            </w:r>
          </w:p>
        </w:tc>
        <w:tc>
          <w:tcPr>
            <w:tcW w:w="80" w:type="dxa"/>
            <w:vAlign w:val="bottom"/>
            <w:shd w:val="clear" w:color="auto" w:fill="CCEEFF"/>
          </w:tcPr>
          <w:p>
            <w:pPr>
              <w:spacing w:after="0"/>
              <w:rPr>
                <w:sz w:val="18"/>
                <w:szCs w:val="18"/>
                <w:color w:val="auto"/>
              </w:rPr>
            </w:pP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2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$ 2,894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$ 2,081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9"/>
              </w:rPr>
              <w:t>$ 8,362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7"/>
              </w:rPr>
              <w:t>5,849</w:t>
            </w:r>
          </w:p>
        </w:tc>
        <w:tc>
          <w:tcPr>
            <w:tcW w:w="8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Company’s tax provision or benefit from income taxes for interim periods is determined using an estimate of its annual effective tax rate, adjusted for discrete items, if any, that are taken into account in the relevant period. The Company’s quarterly tax provision, and its quarterly estimate of its annual effective tax rate, are subject to significant variation due to several factors, including variability in accurately predicting its pre-tax income and loss and the mix of jurisdictions to which they relate, tax law developments and relative changes in permanent tax benefits or expenses.</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Company’s effective tax rate for the three months ended September 30, 2018 and 2017 was 58.7% and (10.65%), respectively. For the three months ended September 30, 2018, the effective tax rate varied from the federal statutory rate of 21% primarily due to the level and mix of earnings among tax jurisdictions, share-based compensation, tax benefits related to research and development, recognition of the U.S. global intangible low-taxed income ("GILTI") and an overall net tax benefit from certain tax reform measurement-period adjustments. For the three months ended September 30, 2017, the effective tax rate varied from the federal statutory rate of 35% primarily due to the level and mix of earnings among tax jurisdictions, the release of the valuation allowances recorded on the deferred tax assets in China and the recognition of employee share-based compensation in accordance with ASU No. 2016-09.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effective tax rate for the nine months ended September 30, 2018 and 2017 was (164.5%)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9.15%, respectively. For the nine months ended September 30, 2018, the effective tax rate varied from the federal statutory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21% primarily due to the level and mix of earnings among tax jurisdictions, share-based compensation, tax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research and development, recognition of the U.S. global intangible low-taxed income ("GILTI") and an overall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benefit from certain tax reform measurement-period adjustments. For the nine months ended September 30,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tax rate varied from the federal statutory rate of 35% primarily due to the level and mix of earnings among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jurisdictions, the release of the valuation allowances recorded on the deferred tax assets in China and the recognition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employee share-based compensation in accordance with ASU No. 2016-09.</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changes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2017, SEC issued Staff Accounting Bulletin No. 118 due to the Tax Act which allows the Company to record provisional amounts during a measurement period. As of September 30, 2018, the Company has completed the assessment of the corporate income tax impact expected to result from the Tax Act. The material impact of the Tax Act is described below.</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deemed repatriation transition tax (the “Transition Tax”) is a tax on certain previously untaxed accumulated and current earnings and profits (E&amp;P) of our foreign subsidiaries. The Company was able to reasonably estimate the Transition Tax and recorded a provisional Transition Tax obligation of $5.0 million, with a corresponding adjustment of $5.0 million to income tax expense for the year ended December 31, 2017. On the basis of revised E&amp;P computations that were completed during the reporting period, the Company recognized an additional measurement-period adjustment of ($1.8) million to the Transition Tax obligation, with a corresponding adjustment of ($1.8) million to income tax expense during the nine months ended September 30, 2018. The effect of the measurement-period adjustment on the 2018 effective tax rate was approximately (106.3%). The Transition Tax, which has now been determined to be complete, resulted in recording a total Transition Tax obligation of $3.2 million, with a corresponding adjustment of $3.2 million to income tax expense.</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Additionally, the Company considers the earnings in its non-U.S. subsidiaries to be indefinitely reinvested and, accordingly, has recorded no deferred income taxes. While the transition tax resulted in the reduction of the excess of the amount for financial reporting over the tax basis in our foreign subsidiaries, an actual repatriation from its non-U.S. subsidiaries could be subject to additional foreign and U.S. state income taxes. Accordingly, the Company has not recorded any deferred taxes attributable to our investments in its foreign subsidiaries. The Company will record the tax effects of any change in its prior assertion should this assertion change and the Company is able to make a reasonable estimate, and disclose any unrecognized deferred tax liability for temporary differences related to our foreign investments, if practicable.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Geographic Information</w:t>
      </w:r>
    </w:p>
    <w:p>
      <w:pPr>
        <w:spacing w:after="0" w:line="229"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7" w:lineRule="exact"/>
        <w:rPr>
          <w:sz w:val="20"/>
          <w:szCs w:val="20"/>
          <w:color w:val="auto"/>
        </w:rPr>
      </w:pPr>
    </w:p>
    <w:p>
      <w:pPr>
        <w:ind w:right="219" w:firstLine="648"/>
        <w:spacing w:after="0" w:line="264" w:lineRule="auto"/>
        <w:rPr>
          <w:sz w:val="20"/>
          <w:szCs w:val="20"/>
          <w:color w:val="auto"/>
        </w:rPr>
      </w:pPr>
      <w:r>
        <w:rPr>
          <w:rFonts w:ascii="Arial" w:cs="Arial" w:eastAsia="Arial" w:hAnsi="Arial"/>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207"/>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4"/>
                <w:szCs w:val="14"/>
                <w:color w:val="auto"/>
              </w:rPr>
            </w:pPr>
          </w:p>
        </w:tc>
        <w:tc>
          <w:tcPr>
            <w:tcW w:w="19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407"/>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9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4,887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8"/>
              </w:rPr>
              <w:t>$  10,258</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Taiwan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29,883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183,906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ind w:left="100"/>
              <w:spacing w:after="0"/>
              <w:rPr>
                <w:sz w:val="20"/>
                <w:szCs w:val="20"/>
                <w:color w:val="auto"/>
              </w:rPr>
            </w:pPr>
            <w:r>
              <w:rPr>
                <w:rFonts w:ascii="Arial" w:cs="Arial" w:eastAsia="Arial" w:hAnsi="Arial"/>
                <w:sz w:val="18"/>
                <w:szCs w:val="18"/>
                <w:color w:val="auto"/>
              </w:rPr>
              <w:t>China</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23,576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64,587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107,133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105,049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$ 88,879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$ 209,447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$ 302,474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0"/>
              </w:rPr>
              <w:t>As of the period ended</w:t>
            </w:r>
          </w:p>
        </w:tc>
      </w:tr>
      <w:tr>
        <w:trPr>
          <w:trHeight w:val="142"/>
        </w:trPr>
        <w:tc>
          <w:tcPr>
            <w:tcW w:w="2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60" w:type="dxa"/>
            <w:vAlign w:val="bottom"/>
          </w:tcPr>
          <w:p>
            <w:pPr>
              <w:ind w:left="100"/>
              <w:spacing w:after="0"/>
              <w:rPr>
                <w:sz w:val="20"/>
                <w:szCs w:val="20"/>
                <w:color w:val="auto"/>
              </w:rPr>
            </w:pPr>
            <w:r>
              <w:rPr>
                <w:rFonts w:ascii="Arial" w:cs="Arial" w:eastAsia="Arial" w:hAnsi="Arial"/>
                <w:sz w:val="18"/>
                <w:szCs w:val="18"/>
                <w:color w:val="auto"/>
              </w:rPr>
              <w:t>United States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82,852</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75,446</w:t>
            </w:r>
          </w:p>
        </w:tc>
        <w:tc>
          <w:tcPr>
            <w:tcW w:w="60" w:type="dxa"/>
            <w:vAlign w:val="bottom"/>
          </w:tcPr>
          <w:p>
            <w:pPr>
              <w:spacing w:after="0"/>
              <w:rPr>
                <w:sz w:val="18"/>
                <w:szCs w:val="18"/>
                <w:color w:val="auto"/>
              </w:rPr>
            </w:pPr>
          </w:p>
        </w:tc>
      </w:tr>
      <w:tr>
        <w:trPr>
          <w:trHeight w:val="216"/>
        </w:trPr>
        <w:tc>
          <w:tcPr>
            <w:tcW w:w="2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Taiwan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67,379</w:t>
            </w:r>
          </w:p>
        </w:tc>
        <w:tc>
          <w:tcPr>
            <w:tcW w:w="60" w:type="dxa"/>
            <w:vAlign w:val="bottom"/>
            <w:shd w:val="clear" w:color="auto" w:fill="CCEEFF"/>
          </w:tcPr>
          <w:p>
            <w:pPr>
              <w:spacing w:after="0"/>
              <w:rPr>
                <w:sz w:val="18"/>
                <w:szCs w:val="18"/>
                <w:color w:val="auto"/>
              </w:rPr>
            </w:pPr>
          </w:p>
        </w:tc>
      </w:tr>
      <w:tr>
        <w:trPr>
          <w:trHeight w:val="216"/>
        </w:trPr>
        <w:tc>
          <w:tcPr>
            <w:tcW w:w="2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China</w:t>
            </w: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84,891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59,929</w:t>
            </w:r>
          </w:p>
        </w:tc>
        <w:tc>
          <w:tcPr>
            <w:tcW w:w="60" w:type="dxa"/>
            <w:vAlign w:val="bottom"/>
            <w:tcBorders>
              <w:bottom w:val="single" w:sz="8" w:color="CCEEFF"/>
            </w:tcBorders>
          </w:tcPr>
          <w:p>
            <w:pPr>
              <w:spacing w:after="0"/>
              <w:rPr>
                <w:sz w:val="18"/>
                <w:szCs w:val="18"/>
                <w:color w:val="auto"/>
              </w:rPr>
            </w:pPr>
          </w:p>
        </w:tc>
      </w:tr>
      <w:tr>
        <w:trPr>
          <w:trHeight w:val="217"/>
        </w:trPr>
        <w:tc>
          <w:tcPr>
            <w:tcW w:w="24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3"/>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232,348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202,754</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right="59" w:firstLine="648"/>
        <w:spacing w:after="0" w:line="276"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37" w:lineRule="exact"/>
        <w:rPr>
          <w:sz w:val="20"/>
          <w:szCs w:val="20"/>
          <w:color w:val="auto"/>
        </w:rPr>
      </w:pPr>
    </w:p>
    <w:p>
      <w:pPr>
        <w:ind w:right="619" w:firstLine="648"/>
        <w:spacing w:after="0" w:line="308" w:lineRule="auto"/>
        <w:rPr>
          <w:sz w:val="20"/>
          <w:szCs w:val="20"/>
          <w:color w:val="auto"/>
        </w:rPr>
      </w:pPr>
      <w:r>
        <w:rPr>
          <w:rFonts w:ascii="Arial" w:cs="Arial" w:eastAsia="Arial" w:hAnsi="Arial"/>
          <w:sz w:val="17"/>
          <w:szCs w:val="17"/>
          <w:color w:val="auto"/>
        </w:rPr>
        <w:t>Except for the lawsuit described below, the Company believes that there are no claims or actions pending or threatened against it, the ultimate disposition of which would have a material adverse effect on it.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79" w:firstLine="648"/>
        <w:spacing w:after="0" w:line="287"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w:t>
      </w:r>
      <w:r>
        <w:rPr>
          <w:rFonts w:ascii="Arial" w:cs="Arial" w:eastAsia="Arial" w:hAnsi="Arial"/>
          <w:sz w:val="16"/>
          <w:szCs w:val="16"/>
          <w:color w:val="auto"/>
        </w:rPr>
        <w:t xml:space="preserve"> </w:t>
      </w:r>
      <w:r>
        <w:rPr>
          <w:rFonts w:ascii="Arial" w:cs="Arial" w:eastAsia="Arial" w:hAnsi="Arial"/>
          <w:sz w:val="16"/>
          <w:szCs w:val="16"/>
          <w:i w:val="1"/>
          <w:iCs w:val="1"/>
          <w:color w:val="auto"/>
        </w:rPr>
        <w:t>Stefan J. Murry, et al.</w:t>
      </w:r>
      <w:r>
        <w:rPr>
          <w:rFonts w:ascii="Arial" w:cs="Arial" w:eastAsia="Arial" w:hAnsi="Arial"/>
          <w:sz w:val="16"/>
          <w:szCs w:val="16"/>
          <w:color w:val="auto"/>
        </w:rPr>
        <w:t>, Case No. 4:17-cv-02399. The complaint in this matter seeks class action status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The Company disputes the allegations and intends to</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vigorously contest the matter. The Company filed a motion to dismiss on April 4, 2018. Lead Plaintiff filed a response in opposition to the motion to dismiss on May 4, 2018, and briefing was completed on May 21, 2018. Further deadlines in this matter have been stayed until the court issues a decision on the pending motion to dismiss.</w:t>
      </w:r>
    </w:p>
    <w:p>
      <w:pPr>
        <w:spacing w:after="0" w:line="16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On August 7, 2018, Plaintiff Lei Jin filed a purported derivative action on behalf of nominal defendant Applied Optoelectronics, Inc. in the U.S. District Court for the Southern District of Texas against the Company’s chief executive officer, chief financial officer and board of directors (Case No. 4:18-cv-02713). The allegations in the derivative complaint are substantially similar to those underlying the </w:t>
      </w:r>
      <w:r>
        <w:rPr>
          <w:rFonts w:ascii="Arial" w:cs="Arial" w:eastAsia="Arial" w:hAnsi="Arial"/>
          <w:sz w:val="18"/>
          <w:szCs w:val="18"/>
          <w:i w:val="1"/>
          <w:iCs w:val="1"/>
          <w:color w:val="auto"/>
        </w:rPr>
        <w:t>Abouzied</w:t>
      </w:r>
      <w:r>
        <w:rPr>
          <w:rFonts w:ascii="Arial" w:cs="Arial" w:eastAsia="Arial" w:hAnsi="Arial"/>
          <w:sz w:val="18"/>
          <w:szCs w:val="18"/>
          <w:color w:val="auto"/>
        </w:rPr>
        <w:t xml:space="preserve"> securities class action. The parties have agreed to stay the derivative action until the court rules on the pending motion to dismiss in the </w:t>
      </w:r>
      <w:r>
        <w:rPr>
          <w:rFonts w:ascii="Arial" w:cs="Arial" w:eastAsia="Arial" w:hAnsi="Arial"/>
          <w:sz w:val="18"/>
          <w:szCs w:val="18"/>
          <w:i w:val="1"/>
          <w:iCs w:val="1"/>
          <w:color w:val="auto"/>
        </w:rPr>
        <w:t>Abouzied</w:t>
      </w:r>
      <w:r>
        <w:rPr>
          <w:rFonts w:ascii="Arial" w:cs="Arial" w:eastAsia="Arial" w:hAnsi="Arial"/>
          <w:sz w:val="18"/>
          <w:szCs w:val="18"/>
          <w:color w:val="auto"/>
        </w:rPr>
        <w:t xml:space="preserve"> securities class action. The court signed the stay order on September 25, 2018.</w:t>
      </w:r>
    </w:p>
    <w:p>
      <w:pPr>
        <w:spacing w:after="0" w:line="19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On October 1, 2018, a lawsuit was filed in the U.S. District Court for the Southern District of Texas against the Company and two of its officers in </w:t>
      </w:r>
      <w:r>
        <w:rPr>
          <w:rFonts w:ascii="Arial" w:cs="Arial" w:eastAsia="Arial" w:hAnsi="Arial"/>
          <w:sz w:val="16"/>
          <w:szCs w:val="16"/>
          <w:i w:val="1"/>
          <w:iCs w:val="1"/>
          <w:color w:val="auto"/>
        </w:rPr>
        <w:t>Gaurav Taneja v. Applied Optoelectronics, Inc., Thompson Lin, and Stefan Murry</w:t>
      </w:r>
      <w:r>
        <w:rPr>
          <w:rFonts w:ascii="Arial" w:cs="Arial" w:eastAsia="Arial" w:hAnsi="Arial"/>
          <w:sz w:val="16"/>
          <w:szCs w:val="16"/>
          <w:color w:val="auto"/>
        </w:rPr>
        <w:t>, Case No. 4:18-cv-03544. The complaint in this matter seeks class action status on behalf of the Company’s shareholders, alleging violations of Sections 10(b) and 20(a) of the Exchange Act against the Company, its chief executive officer, and its chief financial officer, arising out of its announcement on September 28, 2018 that it was revising its third quarter revenue guidance due to “an issue with a small percentage of 25G lasers within a specific customer environment.” A second, related action was filed by Plaintiff Davin Pokoik on October 10, 2018 (Case No. 4:18-cv-03722) in the Southern District of Texas. The Company disputes the allegations and intends to vigorously contest the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available to be issued.</w:t>
      </w:r>
    </w:p>
    <w:p>
      <w:pPr>
        <w:spacing w:after="0" w:line="13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October 3, 2018, Prime World entered into a revolving credit facility for up to $7 million (the “Credit Facility”) with the Development Bank of Singapore (Taiwan) Ltd. (the “Bank”). Borrowing under the Credit Facility will be used for short-term working capital. Prime World may draw upon the Credit Facility from October 3, 2018 until July 26, 2019. The term of each draw shall be either 60 or 90 days depending on the purpose of the draw. Borrowings under the Credit Facility will bear interest at a rate equal to the Bank’s cost of funds rate plus 1.25% for draws in U.S. Dollars and 1.35% plus the Bank’s cost of funds rate for draws in NTD. As of the execution of the Credit Facility, the Bank’s cost of fund’s rate is 0.77% for loans made in NTD and 2.54% for loans made in U.S. Dollars. The Bank’s cost of fund’s rate is adjusted daily. Prime World will make monthly payments of accrued interest with the final monthly payment being for all principal and all accrued interest not yet paid. Prime World’s obligations under the Credit Facility will be secured by promissory notes executed between Prime World and the Bank at the time of each draw. The agreements for the Credit Facility contain representations and warranties, and events of default applicable to Prime World that are customary for agreements of this type.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2018 and the audited consolidated financial statements and notes thereto and management’s discussion and analysis of financial condition and results of operations for the fiscal year ended December 31, 2017 included in our Annual Report on Form 10-K. References to “Applied Optoelectronics” “we,” “our” and “us” are to Applied Optoelectronics, Inc. and its subsidiaries unless otherwise specified or the context otherwise requires.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2017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leading, vertically integrated provider of fiber-optic networking products, primarily for four networking end-markets: internet data center, cable television, or CATV, telecommunication, or telecom and fiber-to-the-home, or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 way to deliver the desired bandwidth.</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and Metal Organic Chemical Vapor Deposition (MOCVD) fabrication process, which we believe is unique in our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internet data center, CATV, telecom and FTTH customers. Throughout our sales cycle, we work closely with our customers to achieve design wins that we believe provide long-lasting relationships and promote higher customer retention.</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principal executive offices are located at 13139 Jess Pirtle Blvd., Sugar Land, TX 77478, and our telephone number is (281) 295-1800.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2"/>
              </w:rPr>
              <w:t>Three months</w:t>
            </w:r>
          </w:p>
        </w:tc>
        <w:tc>
          <w:tcPr>
            <w:tcW w:w="100" w:type="dxa"/>
            <w:vAlign w:val="bottom"/>
          </w:tcPr>
          <w:p>
            <w:pPr>
              <w:spacing w:after="0"/>
              <w:rPr>
                <w:sz w:val="14"/>
                <w:szCs w:val="14"/>
                <w:color w:val="auto"/>
              </w:rPr>
            </w:pPr>
          </w:p>
        </w:tc>
        <w:tc>
          <w:tcPr>
            <w:tcW w:w="144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1500" w:type="dxa"/>
            <w:vAlign w:val="bottom"/>
            <w:gridSpan w:val="5"/>
            <w:vMerge w:val="restart"/>
          </w:tcPr>
          <w:p>
            <w:pPr>
              <w:jc w:val="center"/>
              <w:ind w:right="110"/>
              <w:spacing w:after="0"/>
              <w:rPr>
                <w:sz w:val="20"/>
                <w:szCs w:val="20"/>
                <w:color w:val="auto"/>
              </w:rPr>
            </w:pPr>
            <w:r>
              <w:rPr>
                <w:rFonts w:ascii="Arial" w:cs="Arial" w:eastAsia="Arial" w:hAnsi="Arial"/>
                <w:sz w:val="14"/>
                <w:szCs w:val="14"/>
                <w:b w:val="1"/>
                <w:bCs w:val="1"/>
                <w:color w:val="auto"/>
                <w:w w:val="90"/>
              </w:rPr>
              <w:t>Nine months ended</w:t>
            </w:r>
          </w:p>
        </w:tc>
        <w:tc>
          <w:tcPr>
            <w:tcW w:w="40" w:type="dxa"/>
            <w:vAlign w:val="bottom"/>
          </w:tcPr>
          <w:p>
            <w:pPr>
              <w:spacing w:after="0"/>
              <w:rPr>
                <w:sz w:val="14"/>
                <w:szCs w:val="14"/>
                <w:color w:val="auto"/>
              </w:rPr>
            </w:pPr>
          </w:p>
        </w:tc>
        <w:tc>
          <w:tcPr>
            <w:tcW w:w="1660" w:type="dxa"/>
            <w:vAlign w:val="bottom"/>
            <w:gridSpan w:val="5"/>
            <w:vMerge w:val="restart"/>
          </w:tcPr>
          <w:p>
            <w:pPr>
              <w:jc w:val="center"/>
              <w:ind w:right="27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144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44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43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357"/>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2"/>
              <w:spacing w:after="0" w:line="142" w:lineRule="exact"/>
              <w:rPr>
                <w:sz w:val="20"/>
                <w:szCs w:val="20"/>
                <w:color w:val="auto"/>
              </w:rPr>
            </w:pPr>
            <w:r>
              <w:rPr>
                <w:rFonts w:ascii="Arial" w:cs="Arial" w:eastAsia="Arial" w:hAnsi="Arial"/>
                <w:sz w:val="14"/>
                <w:szCs w:val="14"/>
                <w:b w:val="1"/>
                <w:bCs w:val="1"/>
                <w:color w:val="auto"/>
                <w:w w:val="89"/>
              </w:rPr>
              <w:t>2018</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2"/>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$88,879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209,447  100.0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302,474  100.0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Cost of goods sold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38,849</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68.9 %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49,507</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55.7 %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132,211</w:t>
            </w:r>
          </w:p>
        </w:tc>
        <w:tc>
          <w:tcPr>
            <w:tcW w:w="100" w:type="dxa"/>
            <w:vAlign w:val="bottom"/>
          </w:tcPr>
          <w:p>
            <w:pPr>
              <w:spacing w:after="0"/>
              <w:rPr>
                <w:sz w:val="18"/>
                <w:szCs w:val="18"/>
                <w:color w:val="auto"/>
              </w:rPr>
            </w:pPr>
          </w:p>
        </w:tc>
        <w:tc>
          <w:tcPr>
            <w:tcW w:w="2360" w:type="dxa"/>
            <w:vAlign w:val="bottom"/>
            <w:gridSpan w:val="8"/>
          </w:tcPr>
          <w:p>
            <w:pPr>
              <w:jc w:val="right"/>
              <w:ind w:right="130"/>
              <w:spacing w:after="0"/>
              <w:rPr>
                <w:sz w:val="20"/>
                <w:szCs w:val="20"/>
                <w:color w:val="auto"/>
              </w:rPr>
            </w:pPr>
            <w:r>
              <w:rPr>
                <w:rFonts w:ascii="Arial" w:cs="Arial" w:eastAsia="Arial" w:hAnsi="Arial"/>
                <w:sz w:val="18"/>
                <w:szCs w:val="18"/>
                <w:color w:val="auto"/>
              </w:rPr>
              <w:t>63.1 %  168,348   55.7 %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134,126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25.1 %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4.2 %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18.8 %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27,141</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75,727</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57,495</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tcPr>
          <w:p>
            <w:pPr>
              <w:spacing w:after="0"/>
              <w:rPr>
                <w:sz w:val="20"/>
                <w:szCs w:val="20"/>
                <w:color w:val="auto"/>
              </w:rPr>
            </w:pPr>
            <w:r>
              <w:rPr>
                <w:rFonts w:ascii="Arial" w:cs="Arial" w:eastAsia="Arial" w:hAnsi="Arial"/>
                <w:sz w:val="18"/>
                <w:szCs w:val="18"/>
                <w:color w:val="auto"/>
                <w:w w:val="92"/>
              </w:rPr>
              <w:t>Total other income (expense), net</w:t>
            </w: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income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(16.0)%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17,510</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75,107</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5,294</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9.4 %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(3,732)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2018 and 2017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Borders>
              <w:bottom w:val="single" w:sz="8" w:color="auto"/>
            </w:tcBorders>
            <w:gridSpan w:val="13"/>
          </w:tcPr>
          <w:p>
            <w:pPr>
              <w:jc w:val="right"/>
              <w:ind w:right="324"/>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3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680" w:type="dxa"/>
            <w:vAlign w:val="bottom"/>
            <w:gridSpan w:val="2"/>
            <w:vMerge w:val="restart"/>
          </w:tcPr>
          <w:p>
            <w:pPr>
              <w:spacing w:after="0"/>
              <w:rPr>
                <w:sz w:val="10"/>
                <w:szCs w:val="10"/>
                <w:color w:val="auto"/>
              </w:rPr>
            </w:pPr>
          </w:p>
        </w:tc>
        <w:tc>
          <w:tcPr>
            <w:tcW w:w="5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gridSpan w:val="2"/>
            <w:vMerge w:val="restart"/>
          </w:tcPr>
          <w:p>
            <w:pPr>
              <w:spacing w:after="0"/>
              <w:rPr>
                <w:sz w:val="10"/>
                <w:szCs w:val="10"/>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Amount</w:t>
            </w:r>
          </w:p>
        </w:tc>
        <w:tc>
          <w:tcPr>
            <w:tcW w:w="140" w:type="dxa"/>
            <w:vAlign w:val="bottom"/>
            <w:gridSpan w:val="2"/>
            <w:vMerge w:val="restart"/>
          </w:tcPr>
          <w:p>
            <w:pPr>
              <w:spacing w:after="0"/>
              <w:rPr>
                <w:sz w:val="10"/>
                <w:szCs w:val="10"/>
                <w:color w:val="auto"/>
              </w:rPr>
            </w:pPr>
          </w:p>
        </w:tc>
        <w:tc>
          <w:tcPr>
            <w:tcW w:w="440" w:type="dxa"/>
            <w:vAlign w:val="bottom"/>
            <w:gridSpan w:val="2"/>
            <w:vMerge w:val="restart"/>
          </w:tcPr>
          <w:p>
            <w:pPr>
              <w:jc w:val="right"/>
              <w:ind w:right="5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gridSpan w:val="2"/>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5"/>
              </w:rPr>
              <w:t>Revenue</w:t>
            </w:r>
          </w:p>
        </w:tc>
        <w:tc>
          <w:tcPr>
            <w:tcW w:w="14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gridSpan w:val="2"/>
            <w:vMerge w:val="continue"/>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$65,819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$(26,865)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CATV</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14,295</w:t>
            </w:r>
          </w:p>
        </w:tc>
        <w:tc>
          <w:tcPr>
            <w:tcW w:w="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25.4%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18,932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(4,637)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50"/>
              <w:spacing w:after="0"/>
              <w:rPr>
                <w:sz w:val="20"/>
                <w:szCs w:val="20"/>
                <w:color w:val="auto"/>
              </w:rPr>
            </w:pPr>
            <w:r>
              <w:rPr>
                <w:rFonts w:ascii="Arial" w:cs="Arial" w:eastAsia="Arial" w:hAnsi="Arial"/>
                <w:sz w:val="18"/>
                <w:szCs w:val="18"/>
                <w:color w:val="auto"/>
                <w:w w:val="91"/>
              </w:rPr>
              <w:t>(24.5)%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1"/>
              </w:rPr>
              <w:t>(23.5)%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FTTH</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50"/>
              <w:spacing w:after="0"/>
              <w:rPr>
                <w:sz w:val="20"/>
                <w:szCs w:val="20"/>
                <w:color w:val="auto"/>
              </w:rPr>
            </w:pPr>
            <w:r>
              <w:rPr>
                <w:rFonts w:ascii="Arial" w:cs="Arial" w:eastAsia="Arial" w:hAnsi="Arial"/>
                <w:sz w:val="18"/>
                <w:szCs w:val="18"/>
                <w:color w:val="auto"/>
              </w:rPr>
              <w:t>21.4 %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1"/>
              </w:rPr>
              <w:t>(44.9)%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56,386</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88,879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(32,493)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(36.6)</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3"/>
          </w:tcPr>
          <w:p>
            <w:pPr>
              <w:jc w:val="right"/>
              <w:ind w:right="424"/>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520" w:type="dxa"/>
            <w:vAlign w:val="bottom"/>
            <w:vMerge w:val="restart"/>
          </w:tcPr>
          <w:p>
            <w:pPr>
              <w:spacing w:after="0"/>
              <w:rPr>
                <w:sz w:val="10"/>
                <w:szCs w:val="10"/>
                <w:color w:val="auto"/>
              </w:rPr>
            </w:pPr>
          </w:p>
        </w:tc>
        <w:tc>
          <w:tcPr>
            <w:tcW w:w="74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vMerge w:val="restart"/>
          </w:tcPr>
          <w:p>
            <w:pPr>
              <w:spacing w:after="0"/>
              <w:rPr>
                <w:sz w:val="10"/>
                <w:szCs w:val="10"/>
                <w:color w:val="auto"/>
              </w:rPr>
            </w:pPr>
          </w:p>
        </w:tc>
        <w:tc>
          <w:tcPr>
            <w:tcW w:w="70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Revenue</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Revenue</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$158,577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$ 244,711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$(86,134)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1"/>
              </w:rPr>
              <w:t>(35.2)%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CATV</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39,047</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46,430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w w:val="98"/>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7.0 %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FTTH</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10"/>
              <w:spacing w:after="0"/>
              <w:rPr>
                <w:sz w:val="20"/>
                <w:szCs w:val="20"/>
                <w:color w:val="auto"/>
              </w:rPr>
            </w:pPr>
            <w:r>
              <w:rPr>
                <w:rFonts w:ascii="Arial" w:cs="Arial" w:eastAsia="Arial" w:hAnsi="Arial"/>
                <w:sz w:val="18"/>
                <w:szCs w:val="18"/>
                <w:color w:val="auto"/>
              </w:rPr>
              <w:t>23.0 %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w w:val="98"/>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5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209,447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302,474</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(93,027)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(30.8)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680" w:type="dxa"/>
            <w:vAlign w:val="bottom"/>
          </w:tcPr>
          <w:p>
            <w:pPr>
              <w:spacing w:after="0"/>
              <w:rPr>
                <w:sz w:val="24"/>
                <w:szCs w:val="24"/>
                <w:color w:val="auto"/>
              </w:rPr>
            </w:pPr>
          </w:p>
        </w:tc>
        <w:tc>
          <w:tcPr>
            <w:tcW w:w="2260" w:type="dxa"/>
            <w:vAlign w:val="bottom"/>
            <w:gridSpan w:val="3"/>
          </w:tcPr>
          <w:p>
            <w:pPr>
              <w:jc w:val="right"/>
              <w:ind w:right="241"/>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decrease in revenue during the three months ended September 30, 2018 was driven primarily by decreased shipments of certain of our 100 Gbps transceivers products to one of our customers during the quarter, due to customer concerns about failures of similar products shipped previously. During the quarter, we conducted extensive testing of our products to demonstrate that any potentially affected units could be nearly eliminated from future shipments. Prior to the end of the quarter, with the customer’s agreement, we resumed shipments. During the time that this issue was being investigated, production activity was reduced as resources were redirected to efforts to identify the root cause of any failures observed, and in order to avoid manufacturing product that could not be proven to meet acceptable quality standards.</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recently one of our largest customers informed us that a new architecture being implemented in their datacenters may reduce their demand for 100 Gbps optical transceivers, compared to their prior expectations. We have had recent success in attracting new customers, and we believe that orders from these new customers will compensate for any decline in business from this customer. We believe that this reduction in forecast is unrelated to any quality or delivery concerns as we believe that our comprehensive testing data indicates that all known quality issues have been resolved and the customer has agreed with this conclusion.</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decrease in revenue during the nine months ended September 30, 2018 was driven primarily by decreased demand for our 40 Gbps and 100 Gbps transceivers as one of our customers reduced its demand for optical transceivers due to changes in the way they architect their network as well as the decrease in shipments to another customer during the three months ended September 30, 2018, as discussed above. This decrease was partially offset by an increase in demand for 100 Gbps transceivers from other customers, as well as by increased telecom revenue which is related to new deployments of telecom infrastructure. The decrease in revenue in the CATV market for the nine months ended September 30, 2018 was a result of decreased available production capacity in our China factory associated with staff turnover related to the Lunar New Year. The increase in revenue in our telecom market for the nine month period ended September 30, 2018 was primarily attributable to increased demand for telecom products by our customers as they supply new deployments of telecom infrastructure. The increase in revenue in our FTTH market was due to the fluctuation in demand for certain older legacy products and this demand is expected to continue to fluctuate.</w:t>
      </w:r>
    </w:p>
    <w:p>
      <w:pPr>
        <w:spacing w:after="0" w:line="1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three months ended September 30, 2018 and 2017, our top ten customers represented 92.9% and 91.6% of our revenue, respectively. For the nine months ended September 30, 2018 and 2017, our top ten customers represented 94.0% and 94.8%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For example, we previously disclosed that we believed that the value of a certain previously-filed contract for sales of 100 Gps transceiver products to Facebook would be approximately $125 million for 2018. In light of shipment delays for certain of these products, we now believe that the value of this contract with Facebook for 2018 will be approximately $90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34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gridSpan w:val="9"/>
          </w:tcPr>
          <w:p>
            <w:pPr>
              <w:ind w:left="4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$38,849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8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$49,507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55.7 %</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$(10,658)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3"/>
          </w:tcPr>
          <w:p>
            <w:pPr>
              <w:jc w:val="right"/>
              <w:ind w:right="28"/>
              <w:spacing w:after="0"/>
              <w:rPr>
                <w:sz w:val="20"/>
                <w:szCs w:val="20"/>
                <w:color w:val="auto"/>
              </w:rPr>
            </w:pPr>
            <w:r>
              <w:rPr>
                <w:rFonts w:ascii="Arial" w:cs="Arial" w:eastAsia="Arial" w:hAnsi="Arial"/>
                <w:sz w:val="18"/>
                <w:szCs w:val="18"/>
                <w:color w:val="auto"/>
              </w:rPr>
              <w:t>17,537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31.1 %</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39,372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44.3 %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15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gridSpan w:val="9"/>
          </w:tcPr>
          <w:p>
            <w:pPr>
              <w:ind w:left="4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$132,211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63.1 %</w:t>
            </w:r>
          </w:p>
        </w:tc>
        <w:tc>
          <w:tcPr>
            <w:tcW w:w="8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0"/>
              </w:rPr>
              <w:t>$168,348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55.7 %</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$(36,137)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Gross margin</w:t>
            </w:r>
          </w:p>
        </w:tc>
        <w:tc>
          <w:tcPr>
            <w:tcW w:w="2280" w:type="dxa"/>
            <w:vAlign w:val="bottom"/>
            <w:gridSpan w:val="3"/>
          </w:tcPr>
          <w:p>
            <w:pPr>
              <w:jc w:val="right"/>
              <w:ind w:right="128"/>
              <w:spacing w:after="0"/>
              <w:rPr>
                <w:sz w:val="20"/>
                <w:szCs w:val="20"/>
                <w:color w:val="auto"/>
              </w:rPr>
            </w:pPr>
            <w:r>
              <w:rPr>
                <w:rFonts w:ascii="Arial" w:cs="Arial" w:eastAsia="Arial" w:hAnsi="Arial"/>
                <w:sz w:val="18"/>
                <w:szCs w:val="18"/>
                <w:color w:val="auto"/>
              </w:rPr>
              <w:t>77,236</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36.9 %</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134,126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44.3 %</w:t>
            </w: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Cost of goods sold decreased by $10.7 million, or 21.5%, and $36.1 million, or 21.5%, for the three and nine months ended September 30, 2018, respectively, as compared to the three and nine months ended September 30, 2017, primarily due to the decrease in revenue over the prior year. The decrease in gross margin for the three and nine months ended September 30, 2018 compared to the same periods ended September 30, 2017 was primarily the result of lower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capacity utilization, resulting in higher fixed cost absorption for 100 Gps products produced and shipped in the quarter. As noted in the revenue discussion above, production was reduced while we investigated customer reports of failures of similar products shipped previously.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19"/>
          </w:tcPr>
          <w:p>
            <w:pPr>
              <w:jc w:val="right"/>
              <w:ind w:right="51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right"/>
              <w:ind w:right="50"/>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gridSpan w:val="17"/>
          </w:tcPr>
          <w:p>
            <w:pPr>
              <w:ind w:left="28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$14,180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25.1 % $ 9,190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10.3 % $4,990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54.3 %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gridSpan w:val="4"/>
          </w:tcPr>
          <w:p>
            <w:pPr>
              <w:jc w:val="right"/>
              <w:ind w:right="40"/>
              <w:spacing w:after="0"/>
              <w:rPr>
                <w:sz w:val="20"/>
                <w:szCs w:val="20"/>
                <w:color w:val="auto"/>
              </w:rPr>
            </w:pPr>
            <w:r>
              <w:rPr>
                <w:rFonts w:ascii="Arial" w:cs="Arial" w:eastAsia="Arial" w:hAnsi="Arial"/>
                <w:sz w:val="18"/>
                <w:szCs w:val="18"/>
                <w:color w:val="auto"/>
              </w:rPr>
              <w:t>2,370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2,551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2.9 %</w:t>
            </w: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(181)</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(7.1)%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10,591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9,580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r>
              <w:rPr>
                <w:rFonts w:ascii="Arial" w:cs="Arial" w:eastAsia="Arial" w:hAnsi="Arial"/>
                <w:sz w:val="18"/>
                <w:szCs w:val="18"/>
                <w:u w:val="single" w:color="auto"/>
                <w:color w:val="auto"/>
                <w:w w:val="89"/>
              </w:rPr>
              <w:t>6</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27,141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u w:val="single" w:color="auto"/>
                <w:color w:val="auto"/>
                <w:w w:val="96"/>
              </w:rPr>
              <w:t>$</w:t>
            </w:r>
          </w:p>
        </w:tc>
        <w:tc>
          <w:tcPr>
            <w:tcW w:w="5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21,321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5,820</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27.</w:t>
            </w:r>
            <w:r>
              <w:rPr>
                <w:rFonts w:ascii="Arial" w:cs="Arial" w:eastAsia="Arial" w:hAnsi="Arial"/>
                <w:sz w:val="18"/>
                <w:szCs w:val="18"/>
                <w:u w:val="single" w:color="auto"/>
                <w:color w:val="auto"/>
                <w:w w:val="85"/>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gridSpan w:val="2"/>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vMerge w:val="restart"/>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Borders>
              <w:top w:val="single" w:sz="8" w:color="auto"/>
            </w:tcBorders>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840" w:type="dxa"/>
            <w:vAlign w:val="bottom"/>
            <w:tcBorders>
              <w:top w:val="single" w:sz="8" w:color="auto"/>
            </w:tcBorders>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800" w:type="dxa"/>
            <w:vAlign w:val="bottom"/>
            <w:tcBorders>
              <w:top w:val="single" w:sz="8" w:color="auto"/>
            </w:tcBorders>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Borders>
              <w:bottom w:val="single" w:sz="8" w:color="auto"/>
            </w:tcBorders>
            <w:gridSpan w:val="5"/>
            <w:vMerge w:val="continue"/>
          </w:tcPr>
          <w:p>
            <w:pPr>
              <w:spacing w:after="0"/>
              <w:rPr>
                <w:sz w:val="14"/>
                <w:szCs w:val="14"/>
                <w:color w:val="auto"/>
              </w:rPr>
            </w:pPr>
          </w:p>
        </w:tc>
        <w:tc>
          <w:tcPr>
            <w:tcW w:w="7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85"/>
              </w:rPr>
              <w:t>revenue</w:t>
            </w:r>
          </w:p>
        </w:tc>
        <w:tc>
          <w:tcPr>
            <w:tcW w:w="840" w:type="dxa"/>
            <w:vAlign w:val="bottom"/>
            <w:tcBorders>
              <w:bottom w:val="single" w:sz="8" w:color="auto"/>
            </w:tcBorders>
            <w:gridSpan w:val="6"/>
            <w:vMerge w:val="continue"/>
          </w:tcPr>
          <w:p>
            <w:pPr>
              <w:spacing w:after="0"/>
              <w:rPr>
                <w:sz w:val="14"/>
                <w:szCs w:val="14"/>
                <w:color w:val="auto"/>
              </w:rPr>
            </w:pPr>
          </w:p>
        </w:tc>
        <w:tc>
          <w:tcPr>
            <w:tcW w:w="8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89"/>
              </w:rPr>
              <w:t>revenue</w:t>
            </w:r>
          </w:p>
        </w:tc>
        <w:tc>
          <w:tcPr>
            <w:tcW w:w="800" w:type="dxa"/>
            <w:vAlign w:val="bottom"/>
            <w:tcBorders>
              <w:bottom w:val="single" w:sz="8" w:color="auto"/>
            </w:tcBorders>
            <w:gridSpan w:val="4"/>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13"/>
          </w:tcPr>
          <w:p>
            <w:pPr>
              <w:jc w:val="right"/>
              <w:spacing w:after="0" w:line="142" w:lineRule="exact"/>
              <w:rPr>
                <w:sz w:val="20"/>
                <w:szCs w:val="20"/>
                <w:color w:val="auto"/>
              </w:rPr>
            </w:pPr>
            <w:r>
              <w:rPr>
                <w:rFonts w:ascii="Arial" w:cs="Arial" w:eastAsia="Arial" w:hAnsi="Arial"/>
                <w:sz w:val="14"/>
                <w:szCs w:val="14"/>
                <w:b w:val="1"/>
                <w:bCs w:val="1"/>
                <w:color w:val="auto"/>
                <w:w w:val="98"/>
              </w:rPr>
              <w:t>(in thousands, except percentages)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18.4 % $24,695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8.2 % $13,866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56.1 %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7,221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3.4 %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2.2 %</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14.3 %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8.7 %</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14.</w:t>
            </w:r>
            <w:r>
              <w:rPr>
                <w:rFonts w:ascii="Arial" w:cs="Arial" w:eastAsia="Arial" w:hAnsi="Arial"/>
                <w:sz w:val="18"/>
                <w:szCs w:val="18"/>
                <w:u w:val="single" w:color="auto"/>
                <w:color w:val="auto"/>
                <w:w w:val="89"/>
              </w:rPr>
              <w:t>3</w:t>
            </w:r>
            <w:r>
              <w:rPr>
                <w:rFonts w:ascii="Arial" w:cs="Arial" w:eastAsia="Arial" w:hAnsi="Arial"/>
                <w:sz w:val="18"/>
                <w:szCs w:val="18"/>
                <w:color w:val="auto"/>
                <w:w w:val="89"/>
              </w:rPr>
              <w:t xml:space="preserve"> %</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57,495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18,232</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31.</w:t>
            </w:r>
            <w:r>
              <w:rPr>
                <w:rFonts w:ascii="Arial" w:cs="Arial" w:eastAsia="Arial" w:hAnsi="Arial"/>
                <w:sz w:val="18"/>
                <w:szCs w:val="18"/>
                <w:u w:val="single" w:color="auto"/>
                <w:color w:val="auto"/>
                <w:w w:val="85"/>
              </w:rPr>
              <w:t>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Research and development expense increased by $5.0 million, or 54.3%, for the three months ended September 30, 2018 as compared to the three months ended September 30, 2017. Research and development expense increased by $13.9 million, or 56.1%, for the nine months ended September 30, 2018 as compared to the nine months ended September 30, 2017. Research and development costs consist of R&amp;D work orders, R&amp;D material usage and other project related costs related to 40 Gbps, 100 Gbps, and 200/400 Gbps data center products, DOCSIS 3.1 capable CATV products, including remote-PHY products, and other new product development, and depreciation expense resulting from R&amp;D equipment investments. Research and development costs increased for the three and nine months ended September 30, 2018 as compared to the three and nine months ended September 30, 2017 due mainly to increases in personnel-related costs, depreciation expenses associated with new R&amp;D equipment purchased or transferred during the year, materials and supplies used in R&amp;D activities and an increase in costs from R&amp;D work orders.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Sales and marketing expense decreased by $0.2 million, or 7.1%, for the three months ended September 30, 2018 as compared to the three months ended September 30, 2017. This decrease was due to decreases in customs taxes, duties and freight and commissions, partially offset by increases in personnel costs and trade show expenses.</w:t>
      </w:r>
    </w:p>
    <w:p>
      <w:pPr>
        <w:spacing w:after="0" w:line="166"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Sales and marketing expense increased by $0.6 million, or 9.2%, for the nine months ended September 30, 2018 as compared to the nine months ended September 30, 2017. This increase was due to increases in personnel costs, duties and freight and trade show expenses, offset by decreased commissions, customs taxes and professional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 increased by $1.0 million, or 10.6%, for the three months ended September 30, 2018 compared to the three months ended September 30, 2017. These increases were primarily due to an increase in personnel-related costs, share-based compensation expenses, depreciation expenses and insurance expenses. These increases were offset by a decrease in professional service fees.</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General and administrative expense increased by $3.8 million, or 14.3%, for the nine months ended September 30, 2018 compared to the nine months ended September 30, 2017. These increases were primarily due to an increase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personnel-related costs, share-based compensation expenses, depreciation expenses, insurance expenses and professional service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16"/>
          </w:tcPr>
          <w:p>
            <w:pPr>
              <w:jc w:val="right"/>
              <w:ind w:right="43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top w:val="single" w:sz="8" w:color="auto"/>
              <w:bottom w:val="single" w:sz="8" w:color="auto"/>
            </w:tcBorders>
            <w:gridSpan w:val="5"/>
          </w:tcPr>
          <w:p>
            <w:pPr>
              <w:jc w:val="right"/>
              <w:ind w:right="29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5"/>
          </w:tcPr>
          <w:p>
            <w:pPr>
              <w:jc w:val="right"/>
              <w:ind w:right="42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gridSpan w:val="4"/>
            <w:vMerge w:val="continue"/>
          </w:tcPr>
          <w:p>
            <w:pPr>
              <w:spacing w:after="0"/>
              <w:rPr>
                <w:sz w:val="14"/>
                <w:szCs w:val="14"/>
                <w:color w:val="auto"/>
              </w:rPr>
            </w:pPr>
          </w:p>
        </w:tc>
        <w:tc>
          <w:tcPr>
            <w:tcW w:w="7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w w:val="96"/>
              </w:rPr>
              <w:t>revenue</w:t>
            </w:r>
          </w:p>
        </w:tc>
        <w:tc>
          <w:tcPr>
            <w:tcW w:w="72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16"/>
          </w:tcPr>
          <w:p>
            <w:pPr>
              <w:ind w:left="4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0.2 %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(248)</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(354)</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(316.4)%</w:t>
            </w:r>
          </w:p>
        </w:tc>
        <w:tc>
          <w:tcPr>
            <w:tcW w:w="0" w:type="dxa"/>
            <w:vAlign w:val="bottom"/>
          </w:tcPr>
          <w:p>
            <w:pPr>
              <w:spacing w:after="0"/>
              <w:rPr>
                <w:sz w:val="1"/>
                <w:szCs w:val="1"/>
                <w:color w:val="auto"/>
              </w:rPr>
            </w:pPr>
          </w:p>
        </w:tc>
      </w:tr>
      <w:tr>
        <w:trPr>
          <w:trHeight w:val="217"/>
        </w:trPr>
        <w:tc>
          <w:tcPr>
            <w:tcW w:w="3520" w:type="dxa"/>
            <w:vAlign w:val="bottom"/>
          </w:tcPr>
          <w:p>
            <w:pPr>
              <w:ind w:left="12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7"/>
              </w:rPr>
              <w:t>$ 578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gridSpan w:val="3"/>
          </w:tcPr>
          <w:p>
            <w:pPr>
              <w:jc w:val="right"/>
              <w:ind w:right="8"/>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1,119</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(206.</w:t>
            </w:r>
            <w:r>
              <w:rPr>
                <w:rFonts w:ascii="Arial" w:cs="Arial" w:eastAsia="Arial" w:hAnsi="Arial"/>
                <w:sz w:val="18"/>
                <w:szCs w:val="18"/>
                <w:u w:val="single" w:color="auto"/>
                <w:color w:val="auto"/>
                <w:w w:val="87"/>
              </w:rPr>
              <w:t>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16"/>
          </w:tcPr>
          <w:p>
            <w:pPr>
              <w:jc w:val="right"/>
              <w:ind w:right="55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vMerge w:val="restart"/>
          </w:tcPr>
          <w:p>
            <w:pPr>
              <w:jc w:val="right"/>
              <w:ind w:right="5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5"/>
          </w:tcPr>
          <w:p>
            <w:pPr>
              <w:jc w:val="right"/>
              <w:ind w:right="46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gridSpan w:val="2"/>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Borders>
              <w:bottom w:val="single" w:sz="8" w:color="auto"/>
            </w:tcBorders>
            <w:gridSpan w:val="10"/>
          </w:tcPr>
          <w:p>
            <w:pPr>
              <w:jc w:val="center"/>
              <w:ind w:right="210"/>
              <w:spacing w:after="0"/>
              <w:rPr>
                <w:sz w:val="20"/>
                <w:szCs w:val="20"/>
                <w:color w:val="auto"/>
              </w:rPr>
            </w:pPr>
            <w:r>
              <w:rPr>
                <w:rFonts w:ascii="Arial" w:cs="Arial" w:eastAsia="Arial" w:hAnsi="Arial"/>
                <w:sz w:val="14"/>
                <w:szCs w:val="14"/>
                <w:b w:val="1"/>
                <w:bCs w:val="1"/>
                <w:color w:val="auto"/>
              </w:rPr>
              <w:t>Amount   revenue</w:t>
            </w:r>
          </w:p>
        </w:tc>
        <w:tc>
          <w:tcPr>
            <w:tcW w:w="72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3"/>
              </w:rPr>
              <w:t>revenue</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14"/>
          </w:tcPr>
          <w:p>
            <w:pPr>
              <w:jc w:val="right"/>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0.1 %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(792)</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(898)</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0"/>
              </w:rPr>
              <w:t>(247.0)%</w:t>
            </w:r>
          </w:p>
        </w:tc>
        <w:tc>
          <w:tcPr>
            <w:tcW w:w="0" w:type="dxa"/>
            <w:vAlign w:val="bottom"/>
          </w:tcPr>
          <w:p>
            <w:pPr>
              <w:spacing w:after="0"/>
              <w:rPr>
                <w:sz w:val="1"/>
                <w:szCs w:val="1"/>
                <w:color w:val="auto"/>
              </w:rPr>
            </w:pPr>
          </w:p>
        </w:tc>
      </w:tr>
      <w:tr>
        <w:trPr>
          <w:trHeight w:val="217"/>
        </w:trPr>
        <w:tc>
          <w:tcPr>
            <w:tcW w:w="352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2,443</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(160.</w:t>
            </w:r>
            <w:r>
              <w:rPr>
                <w:rFonts w:ascii="Arial" w:cs="Arial" w:eastAsia="Arial" w:hAnsi="Arial"/>
                <w:sz w:val="18"/>
                <w:szCs w:val="18"/>
                <w:u w:val="single" w:color="auto"/>
                <w:color w:val="auto"/>
                <w:w w:val="87"/>
              </w:rPr>
              <w:t>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Interest income increased 41.0% for the three months ended September 30, 2018 as compared to the three months ended September 30, 2017, due to higher interest rates. Interest income increased 34.3% for the nine months ended September 30, 2018 as compared to the nine months ended September 30, 2017, due to larger cash balances.</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expense increased 10.5% for the three months ended September 30, 2018 as compared to the three months ended September 30, 2017. This increase was due to higher debt balances along with higher interest rates in the current period. Interest expense decreased 21.2% for the nine months ended September 30, 2018 as compared to the nine months ended September 30, 2017. This decrease was due to higher debt balances during the prior period as compared to the current period.</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Other income (expense) for the three months ended September 30, 2018 was income of $0.8 million, a $1.1 million increase compared to the three months ended September 30, 2017. Other income (expense) for the nine months ended September 30, 2018 was income of $1.3 million, a $2.2 million increase compared to the nine months ended September 30, 2017. These increases were due to the increase of foreign exchange gains resulting from the favorable fluctuation of certain Asian currencies against the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4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1420" w:type="dxa"/>
            <w:vAlign w:val="bottom"/>
            <w:tcBorders>
              <w:top w:val="single" w:sz="8" w:color="auto"/>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3,429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183.9 %</w:t>
            </w:r>
          </w:p>
        </w:tc>
      </w:tr>
      <w:tr>
        <w:trPr>
          <w:trHeight w:val="378"/>
        </w:trPr>
        <w:tc>
          <w:tcPr>
            <w:tcW w:w="4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420" w:type="dxa"/>
            <w:vAlign w:val="bottom"/>
            <w:tcBorders>
              <w:top w:val="single" w:sz="8" w:color="auto"/>
              <w:bottom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3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$ 3,994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(6,872)</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10,866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158.1 %</w:t>
            </w:r>
          </w:p>
        </w:tc>
      </w:tr>
    </w:tbl>
    <w:p>
      <w:pPr>
        <w:spacing w:after="0" w:line="20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Our quarterly tax provision, and our quarterly estimate of our annual effective tax rate, are subject to significant variation due to several factors, including variability in accurately predicting our pre-tax income and loss and the mix of jurisdictions to which they relate, tax law developments and relative changes in permanent tax benefits or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effective tax rate for the three months ended September 30, 2018 and 2017 was 58.7% and (10.65%), respectively. For the three months ended September 30, 2018, the effective tax rate varied from the federal statutory rate of 21% primarily due to the level and mix of earnings among tax jurisdictions, share-based compensation, tax benefits related to research and development, recognition of the U.S. global intangible low-taxed income ("GILTI"), and an overall net tax benefit from certain tax reform measurement-period adjustments. For the three months ended September 30, 2017, the effective tax rate varied from the federal statutory rate of 35% primarily due to the level and mix of earnings among tax jurisdictions, the release of the valuation allowances recorded on the deferred tax assets in China and the recognition of employee share-based compensation in accordance with ASU No. 2016-09.</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effective tax rate for the nine months ended September 30, 2018 and 2017 was (164.5%) and 9.15%, respectively. For the nine months ended September 30, 2018, the effective tax rate varied from the federal statutory rate of 21% primarily due to the level and mix of earnings among tax jurisdictions, share-based compensation, tax benefits related to research and development, recognition of the U.S. global intangible low-taxed income ("GILTI") and an overall net tax benefit from certain tax reform measurement-period adjustments. For the nine months ended September 30, 2017, the effective tax rate varied from the federal statutory rate of 35% primarily due to the level and mix of earnings among tax jurisdictions, the release of the valuation allowances recorded on the deferred tax assets in China and the recognition of employee share-based compensation in accordance with ASU No. 2016-09.</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December 22, 2017, the President of the United Stated signed Public Law No. 115-97, commonly referred to as the Tax Cut and Jobs Act of 2017 (the “Tax Act”). The Tax Act makes significant changes to the U.S. tax code, which include, but are not limited to, a U.S federal corporate tax rate decrease from 35% to 21% effective January 1, 2018, a shift to a modified territorial tax regime, which requires companies to pay a one-time transition tax on the mandatory deemed repatriation of the cumulative earnings of certain foreign subsidiaries as of December 31, 2017, a new provision designed to tax GILTI of foreign subsidiaries, a limitation of the deduction for net operating losses, elimination of net operating loss carrybacks, immediate deductions for depreciation expense for certain qualified property, additional limitations on the deductibility of executive compensation and limitations on the deductibility of interest.</w:t>
      </w:r>
    </w:p>
    <w:p>
      <w:pPr>
        <w:spacing w:after="0" w:line="16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December 2017, SEC issued Staff Accounting Bulletin No. 118 due to the Tax Act which allows the Company to record provisional amounts during a measurement period. As of September 30, 2018, we have completed the assessment of the corporate income tax impact expected to result from the Tax Act. The material impact of the Tax Act is described below.</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deemed repatriation transition tax (the “Transition Tax”) is a tax on certain previously untaxed accumulated and current earnings and profits (E&amp;P) of our foreign subsidiaries. We were able to reasonably estimate the Transition Tax and recorded a provisional Transition Tax obligation of $5.0 million, with a corresponding adjustment of $5.0 million to income tax expense for the year ended December 31, 2017. On the basis of revised E&amp;P computations that were completed during the reporting period, we recognized an additional measurement-period adjustment of ($1.8) million to the Transition Tax obligation, with a corresponding adjustment of ($1.8) million to income tax expense during the nine months ended September 30, 2018. The effect of the measurement-period adjustment on the 2018 effective tax rate was approximately</w:t>
      </w:r>
    </w:p>
    <w:p>
      <w:pPr>
        <w:spacing w:after="0" w:line="3"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(106.3%). The Transition Tax, which has now been determined to be complete, resulted in recording a total Transition Tax obligation of $3.2 million, with a corresponding adjustment of $3.2 million to income tax expense.</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Additionally, we consider the earnings in our non-U.S. subsidiaries to be indefinitely reinvested and, accordingly, have recorded no deferred income taxes. While the transition tax resulted in the reduction of the excess of the amount for financial reporting over the tax basis in our foreign subsidiaries, an actual repatriation from our non-U.S. subsidiaries could be subject to additional foreign and U.S. state income taxes. Accordingly, we have not recorded any deferred taxes attributable to our investments in our foreign subsidiaries. We will record the tax effects of any change in our prior assertion, should this assertion change and we are able to make a reasonable estimate, and disclose any unrecognized deferred tax liability for temporary differences related to our foreign investments, if practicable.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2018, we had $63.6 million of unused borrowing capacity from all of our loan agreements. As of September 30, 2018, our cash, cash equivalents, restricted cash and short-term investments totaled $64.1 million. Cash and cash equivalents are held for working capital purposes and are invested primarily in money market or time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deposit funds. We do not enter into investments for trading or speculative purposes. On October 17, 2016, we filed a Registration Statement on Form S-3 with the Securities and Exchange Commission, which was declared effective on November 1, 2016, providing for the public offer and sale of certain securities of the Company from time to time, at our discretion, up to an aggregate amount of $250 million. Between November 22, 2016 and March 2, 2017, the Company sold</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1.6 million shares of common stock at a weighted average price of $31.55 per share, providing proceeds of $48.8 million, net of expenses and underwriting discounts and commissions. No shares of common stock were sold pursuant to this Registratin Statement on Form S-3 in the three or nine months ended September 30, 2018.</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30"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Nine months ended</w:t>
      </w:r>
    </w:p>
    <w:p>
      <w:pPr>
        <w:ind w:left="6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57,498</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(71,025)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(49,126)</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11,874</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CEEFF"/>
            </w:tcBorders>
          </w:tcPr>
          <w:p>
            <w:pPr>
              <w:spacing w:after="0"/>
              <w:rPr>
                <w:sz w:val="18"/>
                <w:szCs w:val="18"/>
                <w:color w:val="auto"/>
              </w:rPr>
            </w:pPr>
          </w:p>
        </w:tc>
      </w:tr>
      <w:tr>
        <w:trPr>
          <w:trHeight w:val="21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(25,873)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20,038</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2018, net cash provided by operating activities was $25.6 million.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consisted of our net income of $6.2 million, after the exclusion of non-cash items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$29.4 million as well as an increase in accounts payable to our vendors of $10.1 million and a decrease in accounts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our customers of $27.8 million. These cash increases were offset by an increase in inventories of $41.3 million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decrease in accrued income tax liabilities of $7.4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nine months ended September 30, 2017, net cash provided by operating activities was $57.5 million. 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consisted of our net income of $68.3 million, after the exclusion of non-cash items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$18.8 million, as well as an increase in accounts payable to our vendors of $14.6 million and an increase in accrued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$1.9 million and accrued income tax liabilities of $4.4 million. These cash increases were offset by an increase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from our customers of $23.2 million, an increase in inventories of $21.1 million and an increase in prepaid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$6.1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nine months ended September 30, 2018, net cash used in investing activities was $71.0 million, consisting of the purchase of additional machinery and equipment and land use rights of $57.9 million, an increase in non-current assets of $7.5 million and net purchases of short-term investments of $6.0 million.</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nine months ended September 30, 2017, net cash used in investing activities was $49.1 million mainly for the purchase of additional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For the nine months ended September 30, 2018, our financing activities provided $17.9 million in cash. This increase in cash was due to net borrowings of $21.6 million offset by $3.8 million of withholding taxes paid on behalf of employees related to their share-based compensation.</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the nine months ended September 30, 2017, our financing activities provided $11.9 million in cash. We received $21.6 million in net proceeds from the sale of our common stock pursuant to an at-the-market offering. This increase in cash was offset by the repayment of net borrowings of $2.6 million and $8.5 million of withholding taxes on behalf of employees related to their share-based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have lending arrangements with several financial institutions, including a revolving line of credit with Branch, Banking and Trust Company (“BB&amp;T”) in the U.S., a revolving credit facility from Taishin International Bank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Taiwan for Prime World’s Taiwan branch and a revolving line of credit in China. As of September 30, 2018, we had $63.6 million of unused borrowing capacity. See Note 10 and Note 17 of our Condensed Consolidated Financial Statements for a description of our notes payable and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including our equity financing under our Registration Statement filed with the SEC in October 2016. The sale of additional equity or convertible securities could result in additional dilution to our stockholders, and the terms and prices of any such sale may not be acceptable to us. If we are unable to raise additional capital when desired, our business, operating results and financial condition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Less than 1</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and long-term debt</w:t>
            </w:r>
            <w:r>
              <w:rPr>
                <w:rFonts w:ascii="Arial" w:cs="Arial" w:eastAsia="Arial" w:hAnsi="Arial"/>
                <w:sz w:val="8"/>
                <w:szCs w:val="8"/>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$ 75,193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$ 45,033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$ 10,593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8"/>
                <w:szCs w:val="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11,035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commitments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86,228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47,012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12,601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$ 16,187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0" w:hanging="317"/>
        <w:spacing w:after="0" w:line="25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Taiwan and the U.S. that provide various credit facilities, including lines of credit and term loans. The amount presented in the table represents the principal portion and estimated interest expense for the obligations.</w:t>
      </w: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entered into various non-cancellable operating lease agreements for our offices in Taiwan and in the U.S.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the three months ended September 30, 2018, we did not, and we do not currently,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our annual report on Form 10-K for the year ended December 31, 2017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assets and liabilities that are not readily apparent from other sources. Actual results are likely to differ from our current estimates and those differences may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For quantitative and qualitative disclosures about market risk affecting the Company, see Item 7A – Quantitative and Qualitative Disclosures about Market Risk in our Annual Report on Form 10-K for the fiscal year ended December 31, 2017. We do not believe the Company’s exposure to market risk has changed materially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2018. Based upon that evaluation, our Chief Executive Officer and Chief Financial Officer concluded that, as of the end of the period covered by this report,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Except for the lawsuits described below, we believe that there are no claims or actions pending or threatened against us, the ultimate disposition of which would have a material adverse effect on us.</w:t>
      </w:r>
    </w:p>
    <w:p>
      <w:pPr>
        <w:spacing w:after="0" w:line="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 Abouzied v. Applied Optoelectronics, Inc., Chih-Hsiang (Thompson) Lin, and Stefan J. Murry,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4:17-cv-02399. The complaint in this matter seeks class action status on behalf of our shareholders, alleging</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violations of Sections 10(b) and 20(a) of the Exchange Act against the Company,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Korinsky LLP as Lead Counsel. Lead Plaintiff filed an amended consolidated class action complaint on March 6, 2018. The amended complaint requests unspecified damages and other relief. We dispute the allegations and intend to vigorously contest the matter. We filed a motion to dismiss on April 4, 2018. Lead Plaintiff filed a response in opposition to the motion to dismiss on May 4, 2018, and briefing was completed on May 21, 2018. Further deadlines in this matter have been stayed until the court issues a decision on the pending motion to dismiss.</w:t>
      </w:r>
    </w:p>
    <w:p>
      <w:pPr>
        <w:spacing w:after="0" w:line="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On August 7, 2018, Plaintiff Lei Jin filed a purported derivative action on behalf of nominal defendant Applied Optoelectronics, Inc. in the U.S. District Court for the Southern District of Texas against our chief executive officer, chief financial officer and board of directors (Case No. 4:18-cv-02713). The allegations in the derivative complaint are substantially similar to those underlying the </w:t>
      </w:r>
      <w:r>
        <w:rPr>
          <w:rFonts w:ascii="Arial" w:cs="Arial" w:eastAsia="Arial" w:hAnsi="Arial"/>
          <w:sz w:val="18"/>
          <w:szCs w:val="18"/>
          <w:i w:val="1"/>
          <w:iCs w:val="1"/>
          <w:color w:val="auto"/>
        </w:rPr>
        <w:t>Abouzied</w:t>
      </w:r>
      <w:r>
        <w:rPr>
          <w:rFonts w:ascii="Arial" w:cs="Arial" w:eastAsia="Arial" w:hAnsi="Arial"/>
          <w:sz w:val="18"/>
          <w:szCs w:val="18"/>
          <w:color w:val="auto"/>
        </w:rPr>
        <w:t xml:space="preserve"> securities class action. The parties have agreed to stay the derivative action until the court rules on the pending motion to dismiss in the </w:t>
      </w:r>
      <w:r>
        <w:rPr>
          <w:rFonts w:ascii="Arial" w:cs="Arial" w:eastAsia="Arial" w:hAnsi="Arial"/>
          <w:sz w:val="18"/>
          <w:szCs w:val="18"/>
          <w:i w:val="1"/>
          <w:iCs w:val="1"/>
          <w:color w:val="auto"/>
        </w:rPr>
        <w:t>Abouzied</w:t>
      </w:r>
      <w:r>
        <w:rPr>
          <w:rFonts w:ascii="Arial" w:cs="Arial" w:eastAsia="Arial" w:hAnsi="Arial"/>
          <w:sz w:val="18"/>
          <w:szCs w:val="18"/>
          <w:color w:val="auto"/>
        </w:rPr>
        <w:t xml:space="preserve"> securities class action. The court signed the stay order on September 25, 2018.</w:t>
      </w:r>
    </w:p>
    <w:p>
      <w:pPr>
        <w:spacing w:after="0" w:line="7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On October 1, 2018, a lawsuit was filed in the U.S. District Court for the Southern District of Texas against us and two of our officers in </w:t>
      </w:r>
      <w:r>
        <w:rPr>
          <w:rFonts w:ascii="Arial" w:cs="Arial" w:eastAsia="Arial" w:hAnsi="Arial"/>
          <w:sz w:val="17"/>
          <w:szCs w:val="17"/>
          <w:i w:val="1"/>
          <w:iCs w:val="1"/>
          <w:color w:val="auto"/>
        </w:rPr>
        <w:t>Gaurav Taneja v. Applied Optoelectronics, Inc., Thompson Lin, and Stefan Murry</w:t>
      </w:r>
      <w:r>
        <w:rPr>
          <w:rFonts w:ascii="Arial" w:cs="Arial" w:eastAsia="Arial" w:hAnsi="Arial"/>
          <w:sz w:val="17"/>
          <w:szCs w:val="17"/>
          <w:color w:val="auto"/>
        </w:rPr>
        <w:t>, Case No. 4:18-cv-03544. The complaint in this matter seeks class action status on behalf of our shareholders, alleging violations of Sections 10(b) and 20(a) of the Exchange Act against the Company, our chief executive officer, and our chief financial officer, arising out of its announcement on September 28, 2018 that we were revising our third quarter revenue guidance due to “an issue with a small percentage of 25G lasers within a specific customer environment.” A second, related action was filed by Plaintiff Davin Pokoik on October 10, 2018 (Case No. 4:18-cv-03722) in the Southern District of Texas. We dispute the allegations and intend to vigorously contest the matter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our Quarterly Report on Form 10-Q,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generate much of our revenue from a limited number of customers. For each year ended 2017, 2016 and 2015 and the three and nine months ended September 30, 2018, our top ten customers represented 94.9%, 95.5%, 88.7%, 92.9% and 94.0% of our revenue, respectively. In 2017, Amazon represented 35.4% of our revenue, Facebook represented 28.6% of our revenue and Microsoft represented 13.8%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Changes in our customers’ demands may negatively affect our sales and revenue. For example, one of our largest customers recently informed us that new architecture being implemented in their datacenters may reduce their demand for 100 Gbps optical transceivers compared to their prior forecasts. This would negatively impact our anticipated revenue from this customer. We have had recent success in attracting new customers that may provide a partial offset, but if we cannot sufficiently increase revenue from these new customers and our other existing customers, then our overall revenue may be adversely affected.</w:t>
      </w:r>
    </w:p>
    <w:p>
      <w:pPr>
        <w:spacing w:after="0" w:line="19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customers do not qualify our products for use on a timely basis, our results of operations may suffer.</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Although the length of our product development cycle varies widely by product and customer, it may take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18 months or longer before we receive our first order. As a result, we may incur significant expenses long before customers accept and purchase our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For example, revenues for the three months ended March 31, 2018 decreased by 32 percent as compared to the three months ended March 31, 2017 due primarily to lower sales of 40 Gbps data center transceivers, which includes a reduction in average selling prices for certain products as a result of price negotiations with our customers.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 to 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that these fluctuations may have on our revenue and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CATV market does not continue to develop as we expect, or if there is any downturn in this market, our business would be adversely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Historically, we have generated much of our revenue from the CATV market. In 2017, 2016 and 2015, the CATV market represented 15.9%, 16.7% and 28.3%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and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telecom and FTTH markets, and our business could be harmed if these markets do not develop as we expect.</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2017 and 2016, respectively, we generated 3.4% and 5.0% of our revenue from the telecom market and 0.1%, and 0.6% of our revenue from the FTTH market. In the telecom market, we generally have sold products that were originally designed for other markets (such as internet data center or FTTH) or are variations of such products. As we gain experience in this market, we have begun to develop products specifically designed for telecom customers. Given our limited experience in this market, the products that we develop may prove to be unsuitable for customer use, or we may be unable to derive profit margins from this market that are similar to what we derive from our other markets. The products that we offer in the FTTH market are relatively new and have not yet gained widespread customer acceptance.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example, our WDM-PON products designed for the FTTH market, have not,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Gbps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and results of operations will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Molecular Beam Epitaxy, or MBE, fabrication process to make our lasers, in addition to Metal Organic Chemical Vapor Deposition, or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For example, shipments of certain of our 100 Gbps transceiver products to one of our customers decreased during the three months ended September 30, 2018 due to customer concerns about failures of similar products shipped previously. During the quarter, we conducted extensive testing of our products to demonstrate that any potentially affected units could be nearly eliminated from future shipments, and we subsequently resumed shipments with the customer’s agreement. Manufacturing problems and any such delays would negatively affect our salesand revenue and could negatively affect our competitive position and reputation. We may also experience delays in production, typically in February, during the Lunar New Year holiday when our facilities in China and Taiwan are closed.</w:t>
      </w:r>
    </w:p>
    <w:p>
      <w:pPr>
        <w:spacing w:after="0" w:line="1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2,655 of our employees as of December 31, 2017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quarter-to-quarter due to a number of factors, which may lead to volatility in our stock price.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25" w:lineRule="exact"/>
        <w:rPr>
          <w:rFonts w:ascii="Arial" w:cs="Arial" w:eastAsia="Arial" w:hAnsi="Arial"/>
          <w:sz w:val="18"/>
          <w:szCs w:val="18"/>
          <w:color w:val="auto"/>
        </w:rPr>
      </w:pPr>
    </w:p>
    <w:p>
      <w:pPr>
        <w:ind w:left="980" w:right="54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demand for our products, including the increase, decrease, rescheduling or cancellation of significant customer orders;</w:t>
      </w:r>
    </w:p>
    <w:p>
      <w:pPr>
        <w:spacing w:after="0" w:line="170" w:lineRule="exact"/>
        <w:rPr>
          <w:rFonts w:ascii="Arial" w:cs="Arial" w:eastAsia="Arial" w:hAnsi="Arial"/>
          <w:sz w:val="18"/>
          <w:szCs w:val="18"/>
          <w:color w:val="auto"/>
        </w:rPr>
      </w:pPr>
    </w:p>
    <w:p>
      <w:pPr>
        <w:ind w:left="980" w:right="6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of certain of our products and manufacturing capabilities;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right="16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25" w:lineRule="exact"/>
        <w:rPr>
          <w:rFonts w:ascii="Arial" w:cs="Arial" w:eastAsia="Arial" w:hAnsi="Arial"/>
          <w:sz w:val="18"/>
          <w:szCs w:val="18"/>
          <w:color w:val="auto"/>
        </w:rPr>
      </w:pPr>
    </w:p>
    <w:p>
      <w:pPr>
        <w:ind w:left="980" w:right="8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a limited number of suppliers and any supply interruption could have an adverse effect on our business.</w:t>
      </w:r>
    </w:p>
    <w:p>
      <w:pPr>
        <w:spacing w:after="0" w:line="2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upon outside contract manufacturers for a portion of the manufacturing process for some of our products.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or more of our contract manufacturers is unable to meet our customer demand in a timely fashion, this could have a material adverse effect on the revenue from our products. If one or more contract manufacturers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could contain defects that may cause us to incur significant costs or result in a loss of customers.</w:t>
      </w:r>
    </w:p>
    <w:p>
      <w:pPr>
        <w:spacing w:after="0" w:line="248" w:lineRule="exact"/>
        <w:rPr>
          <w:sz w:val="20"/>
          <w:szCs w:val="20"/>
          <w:color w:val="auto"/>
        </w:rPr>
      </w:pPr>
    </w:p>
    <w:p>
      <w:pPr>
        <w:ind w:right="100" w:firstLine="648"/>
        <w:spacing w:after="0" w:line="267"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Data breaches and cyber attacks could compromise our operations, our customers’ operations, or the operations of our contract manufacturers upon whom we rely, and cause significant damage to our business and reputation.</w:t>
      </w:r>
    </w:p>
    <w:p>
      <w:pPr>
        <w:spacing w:after="0" w:line="124"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Cyber attacks have become more prevalent and much harder to detect and defend against. Companies, including companies in our industry, have been increasingly subject to a wide variety of security incidents, cyber 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5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may be subject to computer viruses, denial of service attacks, ransomware and other forms of cyber terrorism, unauthorized access by hackers or may be breached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intellectual property,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 attacks, such as computer viruses or other forms of cyber terrorism, may disrupt access to our network or storage applications. Such disruptions could result in delays or cancellations of customer orders or the production or shipment of our products. Data security breaches involving our data center customers could affect their financial condition and ability to continue to purchase our products. Further, cyber 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U.S. government has recently made statements and taken certain actions that have led and may lead to further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 significant portion of our manufacturing operations is based in Ningbo, China; therefore, if any new tariffs, legislation and/or regulations are implemented, or if existing trade agreements are renegotiated or if China or other affected countries take further retaliatory trade actions, such changes could have a material adverse effect on our business,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derive, and expect to continue to derive, a significant portion of our revenue from sales to international customers. In 2017, 2016 and 2015, 22.7%, 15.8% and 19.0%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54"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25" w:lineRule="exact"/>
        <w:rPr>
          <w:rFonts w:ascii="Arial" w:cs="Arial" w:eastAsia="Arial" w:hAnsi="Arial"/>
          <w:sz w:val="18"/>
          <w:szCs w:val="18"/>
          <w:color w:val="auto"/>
        </w:rPr>
      </w:pPr>
    </w:p>
    <w:p>
      <w:pPr>
        <w:ind w:left="980" w:right="64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w:t>
      </w:r>
    </w:p>
    <w:p>
      <w:pPr>
        <w:spacing w:after="0" w:line="170" w:lineRule="exact"/>
        <w:rPr>
          <w:rFonts w:ascii="Arial" w:cs="Arial" w:eastAsia="Arial" w:hAnsi="Arial"/>
          <w:sz w:val="18"/>
          <w:szCs w:val="18"/>
          <w:color w:val="auto"/>
        </w:rPr>
      </w:pPr>
    </w:p>
    <w:p>
      <w:pPr>
        <w:ind w:left="980" w:right="34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25" w:lineRule="exact"/>
        <w:rPr>
          <w:rFonts w:ascii="Arial" w:cs="Arial" w:eastAsia="Arial" w:hAnsi="Arial"/>
          <w:sz w:val="18"/>
          <w:szCs w:val="18"/>
          <w:color w:val="auto"/>
        </w:rPr>
      </w:pPr>
    </w:p>
    <w:p>
      <w:pPr>
        <w:ind w:left="980" w:right="1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Arial" w:cs="Arial" w:eastAsia="Arial" w:hAnsi="Arial"/>
          <w:sz w:val="18"/>
          <w:szCs w:val="18"/>
          <w:color w:val="auto"/>
        </w:rPr>
      </w:pPr>
    </w:p>
    <w:p>
      <w:pPr>
        <w:ind w:left="980" w:right="12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70" w:lineRule="exact"/>
        <w:rPr>
          <w:rFonts w:ascii="Arial" w:cs="Arial" w:eastAsia="Arial" w:hAnsi="Arial"/>
          <w:sz w:val="18"/>
          <w:szCs w:val="18"/>
          <w:color w:val="auto"/>
        </w:rPr>
      </w:pPr>
    </w:p>
    <w:p>
      <w:pPr>
        <w:ind w:left="980" w:right="200" w:hanging="32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 the jurisdictions in which we currently operate or may operate in the future.</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subject to income taxes in the U.S. and other foreign jurisdictions, including China and Taiwan. In addition, we are subject to various state taxes in states where we have nexus. We base our tax position on the anticipated nature and conduct of our business and our understanding of the tax laws of the countries and states in which we have assets or conduct activities. Our tax position may be reviewed or challenged by tax authorities. Moreover, the tax laws currently in effect may change, and such changes may have retroactive effect, such as the recently enacted U.S. tax reform legislation commonly referred to as the U.S. Tax Cuts and Jobs Act of 2017 (the “Tax Act”).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Tax Act significantly changes how the U.S. taxes corporations. The Tax Act requires complex computations to be performed that were not previously required in U.S. tax law, significant judgments to be made in interpretation of the provisions of the Tax Act and significant estimates in calculations, and the preparation and analysis of information not previously relevant or regularly produced. The U.S. Treasury Department, the IRS, and other standard-setting bodies could interpret or issue guidance on how provisions of the Tax Act will be applied or otherwise administered that is different from our interpretation. As we interpret any additional guidance, we may make adjustments to provisional amounts that we have recorded that may materially impact our provision for income taxes in the period in which the adjustments are made.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may adversely affect our financial condition and results of operations.</w:t>
      </w:r>
    </w:p>
    <w:p>
      <w:pPr>
        <w:spacing w:after="0" w:line="2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Production volumes for some of our products are increasing and we have announced plans to increase our production capacity in response to demand for certain of our current and future products, including adding personnel in some of our locations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loan agreements contain restrictive covenants that may adversely affect our ability to conduct our business.</w:t>
      </w:r>
    </w:p>
    <w:p>
      <w:pPr>
        <w:spacing w:after="0" w:line="24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lending arrangements with several financial institutions, including loan agreements with BB&amp;T Bank in the U.S., credit facilities with Taishin International Bank and Development Bank of Singapore in Taiwan and a credit facility with China Construction Bank Co.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BB&amp;T are secured by our accounts receivable, inventory, intellectual property, and all business assets including real estate and equipment. Our credit facilities with China Construction Bank Co. are secured by our accounts receivable, inventory and all business assets including real estate and equipment.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3" w:lineRule="exact"/>
        <w:rPr>
          <w:sz w:val="20"/>
          <w:szCs w:val="20"/>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2016, we may be unable to meet the demands of existing and prospective customers, adversely affecting our sales and market opportunities and consequently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00" w:right="20" w:hanging="649"/>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00" w:right="360" w:hanging="649"/>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00" w:hanging="649"/>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Acquisitions may also result in the recording of goodwill and other intangible assets subject to potential impairment in the future, adversely affecting our operating results. We may not achieve the anticipated benefits of 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9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6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disclosed in “Item 3. Legal Proceedings,” on August 5, 2017, we and certain of our officers are currently subject to class action litigation related to allegations that we made materially false and misleading statements or failed to disclose material facts. Such litigation includes requests for damages and other relief. This litigation and any other such litigation could result in substantial costs and divert our management’s attention from other business concerns, which could seriously harm our business.</w:t>
      </w:r>
    </w:p>
    <w:p>
      <w:pPr>
        <w:spacing w:after="0" w:line="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8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78" w:lineRule="exact"/>
        <w:rPr>
          <w:sz w:val="20"/>
          <w:szCs w:val="20"/>
          <w:color w:val="auto"/>
        </w:rPr>
      </w:pPr>
    </w:p>
    <w:p>
      <w:pPr>
        <w:ind w:left="980" w:right="20" w:hanging="329"/>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stop manufacturing, selling, incorporating or using our products that use the challenged intellectual property;</w:t>
      </w:r>
    </w:p>
    <w:p>
      <w:pPr>
        <w:spacing w:after="0" w:line="32" w:lineRule="exact"/>
        <w:rPr>
          <w:rFonts w:ascii="Arial" w:cs="Arial" w:eastAsia="Arial" w:hAnsi="Arial"/>
          <w:sz w:val="16"/>
          <w:szCs w:val="16"/>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right="360" w:hanging="329"/>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24"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the accuracy and timing of our financial reporting may be adversely affected.</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w:t>
      </w:r>
    </w:p>
    <w:p>
      <w:pPr>
        <w:spacing w:after="0" w:line="158" w:lineRule="exact"/>
        <w:rPr>
          <w:sz w:val="20"/>
          <w:szCs w:val="20"/>
          <w:color w:val="auto"/>
        </w:rPr>
      </w:pPr>
    </w:p>
    <w:p>
      <w:pPr>
        <w:jc w:val="both"/>
        <w:ind w:right="140" w:firstLine="648"/>
        <w:spacing w:after="0" w:line="297" w:lineRule="auto"/>
        <w:rPr>
          <w:sz w:val="20"/>
          <w:szCs w:val="20"/>
          <w:color w:val="auto"/>
        </w:rPr>
      </w:pPr>
      <w:r>
        <w:rPr>
          <w:rFonts w:ascii="Arial" w:cs="Arial" w:eastAsia="Arial" w:hAnsi="Arial"/>
          <w:sz w:val="16"/>
          <w:szCs w:val="16"/>
          <w:color w:val="auto"/>
        </w:rPr>
        <w:t>In addition, since we no longer qualify as an “emerging growth company” under the JOBS Act as of December 31, 2017, we have to provide an auditor’s attestation report on our internal controls in annual reports on Form 10-K as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implemented a system of disclosure and internal controls that we believe provide reasonable assurance that we will be able to timely report our financial results and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an effective system of disclosure controls and internal control over financial reporting, our ability to accurately and timely report our financial results could be adversely impacted. This could result in late filings of our annual and quarterly reports under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2017, we had U.S. accumulated net operating losses, or NOLs, of approximately $37.7 million, federal and state research and development credits (“R&amp;D credits”) of $4.6 million, and foreign tax credits of $2.0 million for U.S. federal income tax purposes. Under Section 382 of the Internal Revenue Code of 1986, as amended, if a corporation undergoes an “ownership change,” the corporation’s ability to use its pre-change NOLs, tax credits and other pre-change tax attributes to offset its post-change income may be limited. An ownership change is generally defined as a greater than 50% change in equity ownership by value over a 3-year period. Based upon an analysis of our equity ownership, we believe that we have experienced ownership changes; however, we do not believe those limitations would result in a loss of tax benefits. In addition, should we experience additional ownership changes, our NOL carry forwards and tax credits may be further limited.</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 Identification of presently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exposed to increased expenses and business risk as a result of Restriction on Hazardous Substances, or RoHS directives.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damaged reputation, diversion of resources, monetary penalties, and legal action.</w:t>
      </w:r>
    </w:p>
    <w:p>
      <w:pPr>
        <w:spacing w:after="0" w:line="182"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170"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200" w:lineRule="exact"/>
        <w:rPr>
          <w:sz w:val="20"/>
          <w:szCs w:val="20"/>
          <w:color w:val="auto"/>
        </w:rPr>
      </w:pPr>
    </w:p>
    <w:p>
      <w:pPr>
        <w:spacing w:after="0" w:line="2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Rapidly changing standards and regulations could make our products obsolete, which would cause our revenue and results of operations to suffer.</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filed our latest conflict minerals report on Form SD on May 30, 2018. We have previously determined, as part of our compliance efforts, that certain products or components we obtain from our suppliers contain conflict minerals. Based on our Reasonable Country of Origin Inquiry on the source of our conflict minerals for the year ended December 31, 2017, we had reason to believe that certain of such conflict minerals likely originated in covered countries. If we are unable to conclude in the future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are critical to our success. A total of $122.3 million, $57.4 million and $20.6 million or 32.0%, 22.0% and 11.0%, of our revenue in the years ended December 31, 2017, 2016 and 2015 was attributable to our product manufacturing plants in China, respectively. Additionally, a substantial portion of our property, plant and equipment, 29.9%, 23.0% and 22% as of December 31, 2017, 2016 and 2015,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9"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81"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allocation of resources, control over foreign currency-denominated obligations and monetary policy and provision of preferential treatment to particular industries or companies.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termination and expiration or unavailability of our preferential tax treatments in China may have a material adverse effect on our operating results.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Since calendar year 2012, we have qualified for a preferential 15% tax rate that is available for state-encouraged new high technology enterprises. In order to retain this preferential tax rate, we must meet certain operating conditions, satisfy certain product requirements, meet certain headcount requirements and maintain certain levels of research expenditures. In November 2017, we received approval from the Chinese government to extend this preferential tax treatment for an additional three years, ending November 2020. If we fail to continue to qualify for this preferential rate in the future, we may incur higher tax rates on our income in China. Any future increase in the enterprise income tax rate applicable to us or the expiration or other limitation of preferential tax rates available to us could increase our tax liabilities and reduce our net income.</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China subsidiary is subject to Chinese labor laws and regulations, and Chinese labor laws may increase our operating costs in China.</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and maintaining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past, many companies that have experienced volatility in the market price of their stock have been subject to securities class action litigation. We have been and may become the target of this type of litigation in the future. For example, on August 3, 2017 we provided guidance for the third quarter of 2017, and on August 4, 2017 the market price of our stock decreased significantly. As disclosed in “Item 3. Legal Proceedings,” on August 5, 2017, a class action lawsuit was filed against us and two of our officers. The complaint in this matter alleges that we made materially false and misleading statements or failed to disclose material facts and requests damages and other relief. On August 7, 2018, a derivative class action lawsuit was filed against our chief executive officer, chief financial officer and board of directors. The allegations are substantially similar to those under the August 5, 2017 lawsuit. On October 1, 2018, another class action lawsuit was filed in the U.S. District Court for the Southern District of Texas against us and two of our officers. The complaint in this matter alleges that we made materially fase and misleading statements or failed to disclose material facts and a related action was filed on October 10, 2018. These lawsuits and any other such litigation could result in substantial costs and divert our management’s attention from other business concerns, which could seriously harm our business.</w:t>
      </w:r>
    </w:p>
    <w:p>
      <w:pPr>
        <w:spacing w:after="0" w:line="16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 As of December 31, 2017, we became a "large accelerated filer" and, accordingly, no longer qualify as an emerging growth company and are no longer able to rely on certain exemptions that were available to us as an emerging growth company. Legal, accounting, administrative and other costs and expenses may increase in the future as we continue to incur both increased external audit fees as well as additional spending to ensure continued regulatory compliance.</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47"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14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25"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trading market for our common stock depends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400" w:type="dxa"/>
            <w:vAlign w:val="bottom"/>
            <w:gridSpan w:val="4"/>
          </w:tcPr>
          <w:p>
            <w:pPr>
              <w:spacing w:after="0"/>
              <w:rPr>
                <w:rFonts w:ascii="Arial" w:cs="Arial" w:eastAsia="Arial" w:hAnsi="Arial"/>
                <w:sz w:val="18"/>
                <w:szCs w:val="18"/>
                <w:color w:val="0563C1"/>
                <w:w w:val="97"/>
              </w:rPr>
            </w:pPr>
            <w:hyperlink w:anchor="page2">
              <w:r>
                <w:rPr>
                  <w:rFonts w:ascii="Arial" w:cs="Arial" w:eastAsia="Arial" w:hAnsi="Arial"/>
                  <w:sz w:val="18"/>
                  <w:szCs w:val="18"/>
                  <w:color w:val="0563C1"/>
                  <w:w w:val="97"/>
                </w:rPr>
                <w:t>Table of Contents</w:t>
              </w:r>
            </w:hyperlink>
          </w:p>
        </w:tc>
        <w:tc>
          <w:tcPr>
            <w:tcW w:w="15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96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80" w:type="dxa"/>
            <w:vAlign w:val="bottom"/>
            <w:gridSpan w:val="18"/>
          </w:tcPr>
          <w:p>
            <w:pPr>
              <w:ind w:left="90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762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56"/>
        </w:trPr>
        <w:tc>
          <w:tcPr>
            <w:tcW w:w="20" w:type="dxa"/>
            <w:vAlign w:val="bottom"/>
          </w:tcPr>
          <w:p>
            <w:pPr>
              <w:spacing w:after="0"/>
              <w:rPr>
                <w:sz w:val="13"/>
                <w:szCs w:val="13"/>
                <w:color w:val="auto"/>
              </w:rPr>
            </w:pPr>
          </w:p>
        </w:tc>
        <w:tc>
          <w:tcPr>
            <w:tcW w:w="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tcBorders>
              <w:top w:val="single" w:sz="8" w:color="auto"/>
            </w:tcBorders>
            <w:gridSpan w:val="19"/>
          </w:tcPr>
          <w:p>
            <w:pPr>
              <w:spacing w:after="0" w:line="156"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Amended and Restated Certificate of Incorporation, as currently in effect (filed as Exhibit 3.1 to the</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0" w:type="dxa"/>
            <w:vAlign w:val="bottom"/>
            <w:tcBorders>
              <w:top w:val="single" w:sz="8" w:color="0000EE"/>
              <w:bottom w:val="single" w:sz="8" w:color="0000EE"/>
            </w:tcBorders>
            <w:gridSpan w:val="8"/>
          </w:tcPr>
          <w:p>
            <w:pPr>
              <w:spacing w:after="0" w:line="17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Registrant’s Quarterly Report on Form 10-Q filed with the Securities and Exchange Commission on</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20" w:type="dxa"/>
            <w:vAlign w:val="bottom"/>
            <w:gridSpan w:val="9"/>
          </w:tcPr>
          <w:p>
            <w:pPr>
              <w:spacing w:after="0" w:line="170" w:lineRule="exact"/>
              <w:rPr>
                <w:rFonts w:ascii="Arial" w:cs="Arial" w:eastAsia="Arial" w:hAnsi="Arial"/>
                <w:sz w:val="18"/>
                <w:szCs w:val="18"/>
                <w:color w:val="0000EE"/>
              </w:rPr>
            </w:pPr>
            <w:hyperlink r:id="rId62">
              <w:r>
                <w:rPr>
                  <w:rFonts w:ascii="Arial" w:cs="Arial" w:eastAsia="Arial" w:hAnsi="Arial"/>
                  <w:sz w:val="18"/>
                  <w:szCs w:val="18"/>
                  <w:color w:val="0000EE"/>
                </w:rPr>
                <w:t>November 14,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Amended and Restated Bylaws, as currently in effect (filed as Exhibit 3.2 to the Registrant’s Quarterly</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160" w:type="dxa"/>
            <w:vAlign w:val="bottom"/>
            <w:tcBorders>
              <w:top w:val="single" w:sz="8" w:color="0000EE"/>
              <w:bottom w:val="single" w:sz="8" w:color="0000EE"/>
            </w:tcBorders>
            <w:gridSpan w:val="7"/>
          </w:tcPr>
          <w:p>
            <w:pPr>
              <w:spacing w:after="0" w:line="170"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Report on Form 10-Q filed with the Securities and Exchange Commission on November 14, 2013).</w:t>
              </w:r>
            </w:hyperlink>
          </w:p>
        </w:tc>
        <w:tc>
          <w:tcPr>
            <w:tcW w:w="240" w:type="dxa"/>
            <w:vAlign w:val="bottom"/>
            <w:tcBorders>
              <w:top w:val="single" w:sz="8" w:color="0000EE"/>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Common Stock Specimen (filed as Exhibit 4.1 to the Registrant’s Current Report on Form 8-K filed with</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80" w:type="dxa"/>
            <w:vAlign w:val="bottom"/>
            <w:tcBorders>
              <w:top w:val="single" w:sz="8" w:color="0000EE"/>
            </w:tcBorders>
            <w:gridSpan w:val="17"/>
          </w:tcPr>
          <w:p>
            <w:pPr>
              <w:spacing w:after="0" w:line="170" w:lineRule="exact"/>
              <w:rPr>
                <w:rFonts w:ascii="Arial" w:cs="Arial" w:eastAsia="Arial" w:hAnsi="Arial"/>
                <w:sz w:val="18"/>
                <w:szCs w:val="18"/>
                <w:color w:val="0000EE"/>
              </w:rPr>
            </w:pPr>
            <w:hyperlink r:id="rId64">
              <w:r>
                <w:rPr>
                  <w:rFonts w:ascii="Arial" w:cs="Arial" w:eastAsia="Arial" w:hAnsi="Arial"/>
                  <w:sz w:val="18"/>
                  <w:szCs w:val="18"/>
                  <w:color w:val="0000EE"/>
                </w:rPr>
                <w:t>the Securities and Exchange Commission on July 15,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8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40" w:type="dxa"/>
            <w:vAlign w:val="bottom"/>
            <w:tcBorders>
              <w:bottom w:val="single" w:sz="8" w:color="0000EE"/>
            </w:tcBorders>
            <w:gridSpan w:val="15"/>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Translation of the Maximum Loan (Credit Line) Agreement, dated September 21, 2018, between Global</w:t>
              </w:r>
            </w:hyperlink>
          </w:p>
        </w:tc>
        <w:tc>
          <w:tcPr>
            <w:tcW w:w="8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Technology, Inc. and China Construction Bank Co., Ltd. (filed as Exhibit 10.1 to the Registrant’s Current</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Report on Form 8-K filed with the Securities and Exchange Commission on September 27, 2018).</w:t>
              </w:r>
            </w:hyperlink>
          </w:p>
        </w:tc>
        <w:tc>
          <w:tcPr>
            <w:tcW w:w="540" w:type="dxa"/>
            <w:vAlign w:val="bottom"/>
            <w:gridSpan w:val="13"/>
          </w:tcPr>
          <w:p>
            <w:pPr>
              <w:spacing w:after="0"/>
              <w:rPr>
                <w:sz w:val="17"/>
                <w:szCs w:val="17"/>
                <w:color w:val="auto"/>
              </w:rPr>
            </w:pPr>
          </w:p>
        </w:tc>
      </w:tr>
      <w:tr>
        <w:trPr>
          <w:trHeight w:val="439"/>
        </w:trPr>
        <w:tc>
          <w:tcPr>
            <w:tcW w:w="98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Borders>
              <w:bottom w:val="single" w:sz="8" w:color="0000EE"/>
            </w:tcBorders>
            <w:gridSpan w:val="14"/>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Translation of the Security Agreement, dated September 21, 2018, between Global Technology, Inc. and</w:t>
              </w:r>
            </w:hyperlink>
          </w:p>
        </w:tc>
        <w:tc>
          <w:tcPr>
            <w:tcW w:w="100" w:type="dxa"/>
            <w:vAlign w:val="bottom"/>
            <w:gridSpan w:val="5"/>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20" w:type="dxa"/>
            <w:vAlign w:val="bottom"/>
            <w:gridSpan w:val="19"/>
          </w:tcPr>
          <w:p>
            <w:pPr>
              <w:spacing w:after="0" w:line="170"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China Construction Bank Co., Ltd. (filed as Exhibit 10.2 to the Registrant’s Current Report on Form 8-K</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filed with the Securities and Exchange Commission on September 27, 2018).</w:t>
              </w:r>
            </w:hyperlink>
          </w:p>
        </w:tc>
        <w:tc>
          <w:tcPr>
            <w:tcW w:w="2000" w:type="dxa"/>
            <w:vAlign w:val="bottom"/>
            <w:tcBorders>
              <w:top w:val="single" w:sz="8" w:color="0000EE"/>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Certification of Chief Executive Officer pursuant to Exchange Act Rule, 13a-14(a) and 15d-14(a), as</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adopted pursuant to Section 302 of the Sarbanes-Oxley Act of 2002.</w:t>
              </w:r>
            </w:hyperlink>
          </w:p>
        </w:tc>
        <w:tc>
          <w:tcPr>
            <w:tcW w:w="2320" w:type="dxa"/>
            <w:vAlign w:val="bottom"/>
            <w:tcBorders>
              <w:top w:val="single" w:sz="8" w:color="0000EE"/>
            </w:tcBorders>
            <w:gridSpan w:val="7"/>
          </w:tcPr>
          <w:p>
            <w:pPr>
              <w:spacing w:after="0"/>
              <w:rPr>
                <w:sz w:val="14"/>
                <w:szCs w:val="14"/>
                <w:color w:val="auto"/>
              </w:rPr>
            </w:pPr>
          </w:p>
        </w:tc>
        <w:tc>
          <w:tcPr>
            <w:tcW w:w="2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Certification of Chief Financial Officer pursuant to Exchange Act Rule, 13a-14(a) and 15d-14(a), as</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adopted pursuant to Section 302 of the Sarbanes-Oxley Act of 2002.</w:t>
              </w:r>
            </w:hyperlink>
          </w:p>
        </w:tc>
        <w:tc>
          <w:tcPr>
            <w:tcW w:w="2300" w:type="dxa"/>
            <w:vAlign w:val="bottom"/>
            <w:tcBorders>
              <w:top w:val="single" w:sz="8" w:color="0000EE"/>
            </w:tcBorders>
            <w:gridSpan w:val="6"/>
          </w:tcPr>
          <w:p>
            <w:pPr>
              <w:spacing w:after="0"/>
              <w:rPr>
                <w:sz w:val="14"/>
                <w:szCs w:val="14"/>
                <w:color w:val="auto"/>
              </w:rPr>
            </w:pPr>
          </w:p>
        </w:tc>
        <w:tc>
          <w:tcPr>
            <w:tcW w:w="2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358"/>
        </w:trPr>
        <w:tc>
          <w:tcPr>
            <w:tcW w:w="98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pursuant to 18 U.S.C. 1350, adopted pursuant to Section 906 of the Sarbanes-Oxley Act of</w:t>
              </w:r>
            </w:hyperlink>
          </w:p>
        </w:tc>
      </w:tr>
      <w:tr>
        <w:trPr>
          <w:trHeight w:val="169"/>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00" w:type="dxa"/>
            <w:vAlign w:val="bottom"/>
            <w:tcBorders>
              <w:top w:val="single" w:sz="8" w:color="0000EE"/>
            </w:tcBorders>
            <w:gridSpan w:val="13"/>
          </w:tcPr>
          <w:p>
            <w:pPr>
              <w:spacing w:after="0" w:line="170" w:lineRule="exact"/>
              <w:rPr>
                <w:rFonts w:ascii="Arial" w:cs="Arial" w:eastAsia="Arial" w:hAnsi="Arial"/>
                <w:sz w:val="18"/>
                <w:szCs w:val="18"/>
                <w:color w:val="0000EE"/>
              </w:rPr>
            </w:pPr>
            <w:hyperlink w:anchor="page58">
              <w:r>
                <w:rPr>
                  <w:rFonts w:ascii="Arial" w:cs="Arial" w:eastAsia="Arial" w:hAnsi="Arial"/>
                  <w:sz w:val="18"/>
                  <w:szCs w:val="18"/>
                  <w:color w:val="0000EE"/>
                </w:rPr>
                <w:t>2002, by Chief Executive Officer and Chief Financial Officer.</w:t>
              </w:r>
            </w:hyperlink>
          </w:p>
        </w:tc>
        <w:tc>
          <w:tcPr>
            <w:tcW w:w="120" w:type="dxa"/>
            <w:vAlign w:val="bottom"/>
            <w:gridSpan w:val="6"/>
          </w:tcPr>
          <w:p>
            <w:pPr>
              <w:spacing w:after="0"/>
              <w:rPr>
                <w:sz w:val="14"/>
                <w:szCs w:val="14"/>
                <w:color w:val="auto"/>
              </w:rPr>
            </w:pPr>
          </w:p>
        </w:tc>
      </w:tr>
      <w:tr>
        <w:trPr>
          <w:trHeight w:val="399"/>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3160" w:type="dxa"/>
            <w:vAlign w:val="bottom"/>
            <w:gridSpan w:val="16"/>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2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2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471805</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685800</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0" w:hanging="537"/>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APPLIED OPTOELECTRONICS, INC.</w:t>
      </w:r>
    </w:p>
    <w:p>
      <w:pPr>
        <w:spacing w:after="0" w:line="17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7"/>
          <w:szCs w:val="17"/>
          <w:color w:val="auto"/>
        </w:rPr>
        <w:t>By: /s/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6350</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Stefan J. Murry</w:t>
      </w:r>
    </w:p>
    <w:p>
      <w:pPr>
        <w:ind w:left="4880"/>
        <w:spacing w:after="0" w:line="219" w:lineRule="auto"/>
        <w:rPr>
          <w:sz w:val="20"/>
          <w:szCs w:val="20"/>
          <w:color w:val="auto"/>
        </w:rPr>
      </w:pPr>
      <w:r>
        <w:rPr>
          <w:rFonts w:ascii="Arial" w:cs="Arial" w:eastAsia="Arial" w:hAnsi="Arial"/>
          <w:sz w:val="18"/>
          <w:szCs w:val="18"/>
          <w:color w:val="auto"/>
        </w:rPr>
        <w:t>Chief Financial Officer</w:t>
      </w:r>
    </w:p>
    <w:p>
      <w:pPr>
        <w:ind w:left="4880"/>
        <w:spacing w:after="0" w:line="220" w:lineRule="auto"/>
        <w:rPr>
          <w:sz w:val="20"/>
          <w:szCs w:val="20"/>
          <w:color w:val="auto"/>
        </w:rPr>
      </w:pPr>
      <w:r>
        <w:rPr>
          <w:rFonts w:ascii="Arial" w:cs="Arial" w:eastAsia="Arial" w:hAnsi="Arial"/>
          <w:sz w:val="18"/>
          <w:szCs w:val="18"/>
          <w:i w:val="1"/>
          <w:iCs w:val="1"/>
          <w:color w:val="auto"/>
        </w:rPr>
        <w:t>(principal financial officer and principal accounting</w:t>
      </w:r>
    </w:p>
    <w:p>
      <w:pPr>
        <w:ind w:left="4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49" w:hanging="649"/>
        <w:spacing w:after="0"/>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49" w:hanging="649"/>
        <w:spacing w:after="0"/>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left="649" w:right="80" w:hanging="649"/>
        <w:spacing w:after="0" w:line="264"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9" w:right="140" w:hanging="649"/>
        <w:spacing w:after="0" w:line="264"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81" w:lineRule="exact"/>
        <w:rPr>
          <w:rFonts w:ascii="Arial" w:cs="Arial" w:eastAsia="Arial" w:hAnsi="Arial"/>
          <w:sz w:val="18"/>
          <w:szCs w:val="18"/>
          <w:color w:val="auto"/>
        </w:rPr>
      </w:pPr>
    </w:p>
    <w:p>
      <w:pPr>
        <w:ind w:left="649" w:right="260" w:hanging="649"/>
        <w:spacing w:after="0" w:line="264"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289" w:right="40" w:hanging="316"/>
        <w:spacing w:after="0" w:line="286" w:lineRule="auto"/>
        <w:tabs>
          <w:tab w:leader="none" w:pos="1289"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289" w:right="120" w:hanging="316"/>
        <w:spacing w:after="0" w:line="264" w:lineRule="auto"/>
        <w:tabs>
          <w:tab w:leader="none" w:pos="12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89" w:right="160" w:hanging="316"/>
        <w:spacing w:after="0" w:line="312" w:lineRule="auto"/>
        <w:tabs>
          <w:tab w:leader="none" w:pos="128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9" w:right="380" w:hanging="649"/>
        <w:spacing w:after="0" w:line="264"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289" w:right="380" w:hanging="316"/>
        <w:spacing w:after="0" w:line="264" w:lineRule="auto"/>
        <w:tabs>
          <w:tab w:leader="none" w:pos="12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89" w:right="760" w:hanging="316"/>
        <w:spacing w:after="0" w:line="277" w:lineRule="auto"/>
        <w:tabs>
          <w:tab w:leader="none" w:pos="12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41" w:lineRule="exact"/>
        <w:rPr>
          <w:sz w:val="20"/>
          <w:szCs w:val="20"/>
          <w:color w:val="auto"/>
        </w:rPr>
      </w:pPr>
    </w:p>
    <w:p>
      <w:pPr>
        <w:ind w:left="9"/>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3020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9"/>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1" w:right="7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54" w:lineRule="exact"/>
        <w:rPr>
          <w:sz w:val="20"/>
          <w:szCs w:val="20"/>
          <w:color w:val="auto"/>
        </w:rPr>
      </w:pPr>
    </w:p>
    <w:p>
      <w:pPr>
        <w:jc w:val="both"/>
        <w:ind w:left="780" w:hanging="453"/>
        <w:spacing w:after="0" w:line="264"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2018, to which this Certification is attached as Exhibit 32.1 (the “Quarterly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780" w:hanging="453"/>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8</w:t>
      </w:r>
      <w:r>
        <w:rPr>
          <w:rFonts w:ascii="Arial" w:cs="Arial" w:eastAsia="Arial" w:hAnsi="Arial"/>
          <w:sz w:val="8"/>
          <w:szCs w:val="8"/>
          <w:color w:val="auto"/>
        </w:rPr>
        <w:t>th</w:t>
      </w:r>
      <w:r>
        <w:rPr>
          <w:rFonts w:ascii="Arial" w:cs="Arial" w:eastAsia="Arial" w:hAnsi="Arial"/>
          <w:sz w:val="18"/>
          <w:szCs w:val="18"/>
          <w:color w:val="auto"/>
        </w:rPr>
        <w:t xml:space="preserve"> day of November, 2018.</w:t>
      </w:r>
    </w:p>
    <w:p>
      <w:pPr>
        <w:sectPr>
          <w:pgSz w:w="11900" w:h="16838" w:orient="portrait"/>
          <w:cols w:equalWidth="0" w:num="1">
            <w:col w:w="9060"/>
          </w:cols>
          <w:pgMar w:left="1420" w:top="121" w:right="1419" w:bottom="1440" w:gutter="0" w:footer="0" w:header="0"/>
        </w:sectPr>
      </w:pPr>
    </w:p>
    <w:p>
      <w:pPr>
        <w:spacing w:after="0" w:line="225" w:lineRule="exact"/>
        <w:rPr>
          <w:sz w:val="20"/>
          <w:szCs w:val="20"/>
          <w:color w:val="auto"/>
        </w:rPr>
      </w:pPr>
    </w:p>
    <w:p>
      <w:pPr>
        <w:ind w:right="1060"/>
        <w:spacing w:after="0" w:line="295" w:lineRule="auto"/>
        <w:rPr>
          <w:sz w:val="20"/>
          <w:szCs w:val="20"/>
          <w:color w:val="auto"/>
        </w:rPr>
      </w:pPr>
      <w:r>
        <w:rPr>
          <w:rFonts w:ascii="Arial" w:cs="Arial" w:eastAsia="Arial" w:hAnsi="Arial"/>
          <w:sz w:val="17"/>
          <w:szCs w:val="17"/>
          <w:color w:val="auto"/>
        </w:rPr>
        <w:t>/s/ CHIH-HSIANG (THOMPSON) LIN CHIH-HSIANG (THOMPSON) LIN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279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787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65" w:lineRule="exact"/>
        <w:rPr>
          <w:sz w:val="20"/>
          <w:szCs w:val="20"/>
          <w:color w:val="auto"/>
        </w:rPr>
      </w:pPr>
    </w:p>
    <w:p>
      <w:pPr>
        <w:sectPr>
          <w:pgSz w:w="11900" w:h="16838" w:orient="portrait"/>
          <w:cols w:equalWidth="0" w:num="2">
            <w:col w:w="3960" w:space="720"/>
            <w:col w:w="4380"/>
          </w:cols>
          <w:pgMar w:left="1420" w:top="121" w:right="1419" w:bottom="1440" w:gutter="0" w:footer="0" w:header="0"/>
          <w:type w:val="continuous"/>
        </w:sectPr>
      </w:pP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8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2" Type="http://schemas.openxmlformats.org/officeDocument/2006/relationships/hyperlink" Target="http://www.sec.gov/Archives/edgar/data/1158114/000101968713004306/aaoi_10q-ex0301.htm" TargetMode="External"/><Relationship Id="rId63" Type="http://schemas.openxmlformats.org/officeDocument/2006/relationships/hyperlink" Target="http://www.sec.gov/Archives/edgar/data/1158114/000101968713004306/aaoi_10q-ex0302.htm" TargetMode="External"/><Relationship Id="rId64" Type="http://schemas.openxmlformats.org/officeDocument/2006/relationships/hyperlink" Target="http://www.sec.gov/Archives/edgar/data/1158114/000110465915051289/a15-15715_1ex4d1.htm" TargetMode="External"/><Relationship Id="rId65" Type="http://schemas.openxmlformats.org/officeDocument/2006/relationships/hyperlink" Target="http://www.sec.gov/Archives/edgar/data/1158114/000168316818002871/applied_8k-ex1001.htm" TargetMode="External"/><Relationship Id="rId66" Type="http://schemas.openxmlformats.org/officeDocument/2006/relationships/hyperlink" Target="http://www.sec.gov/Archives/edgar/data/1158114/000168316818002871/applied_8k-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2019-12-28T17:56:39Z</dcterms:created>
  <dcterms:modified xsi:type="dcterms:W3CDTF">2019-12-28T17:56:39Z</dcterms:modified>
</cp:coreProperties>
</file>