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aoi_8k.htm"/>
      <w:bookmarkStart w:id="1" w:name="ksaaoi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5_edei--DocumentType_c2026022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February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2_edei--EntityRegistrantName_c2026"/>
      <w:bookmarkEnd w:id="4"/>
      <w:r>
        <w:rPr>
          <w:rFonts w:ascii="Times New Roman;Times;Serif" w:hAnsi="Times New Roman;Times;Serif"/>
          <w:b/>
          <w:i w:val="false"/>
          <w:caps w:val="false"/>
          <w:smallCaps w:val="false"/>
          <w:sz w:val="28"/>
        </w:rPr>
        <w:t>Applied Optoelectronics,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1925"/>
        <w:gridCol w:w="2210"/>
        <w:gridCol w:w="2915"/>
      </w:tblGrid>
      <w:tr>
        <w:trPr/>
        <w:tc>
          <w:tcPr>
            <w:tcW w:w="19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226"/>
            <w:bookmarkEnd w:id="6"/>
            <w:r>
              <w:rPr>
                <w:rFonts w:ascii="Times New Roman;Times;Serif" w:hAnsi="Times New Roman;Times;Serif"/>
                <w:b/>
                <w:i w:val="false"/>
                <w:caps w:val="false"/>
                <w:smallCaps w:val="false"/>
                <w:sz w:val="20"/>
              </w:rPr>
              <w:t>001-36083</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76-0533927</w:t>
            </w:r>
          </w:p>
        </w:tc>
      </w:tr>
      <w:tr>
        <w:trPr/>
        <w:tc>
          <w:tcPr>
            <w:tcW w:w="1925" w:type="dxa"/>
            <w:tcBorders/>
            <w:vAlign w:val="center"/>
          </w:tcPr>
          <w:p>
            <w:pPr>
              <w:pStyle w:val="TableContents"/>
              <w:bidi w:val="0"/>
              <w:spacing w:before="0" w:after="283"/>
              <w:jc w:val="center"/>
              <w:rPr>
                <w:sz w:val="20"/>
              </w:rPr>
            </w:pPr>
            <w:r>
              <w:rPr>
                <w:sz w:val="20"/>
              </w:rPr>
              <w:t>(State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13139 Jess Pirtle Blvd.</w:t>
        <w:br/>
      </w:r>
      <w:bookmarkStart w:id="9" w:name="xdx_908_edei--EntityAddressCityOrTown_c2"/>
      <w:bookmarkEnd w:id="9"/>
      <w:r>
        <w:rPr>
          <w:rFonts w:ascii="Times New Roman;Times;Serif" w:hAnsi="Times New Roman;Times;Serif"/>
          <w:b/>
          <w:i w:val="false"/>
          <w:caps w:val="false"/>
          <w:smallCaps w:val="false"/>
          <w:sz w:val="20"/>
        </w:rPr>
        <w:t xml:space="preserve">Sugar Land, </w:t>
      </w:r>
      <w:bookmarkStart w:id="10" w:name="xdx_904_edei--EntityAddressStateOrProvin"/>
      <w:bookmarkEnd w:id="10"/>
      <w:r>
        <w:rPr>
          <w:rFonts w:ascii="Times New Roman;Times;Serif" w:hAnsi="Times New Roman;Times;Serif"/>
          <w:b/>
          <w:i w:val="false"/>
          <w:caps w:val="false"/>
          <w:smallCaps w:val="false"/>
          <w:sz w:val="20"/>
        </w:rPr>
        <w:t xml:space="preserve">Texas </w:t>
      </w:r>
      <w:bookmarkStart w:id="11" w:name="xdx_90C_edei--EntityAddressPostalZipCode"/>
      <w:bookmarkEnd w:id="11"/>
      <w:r>
        <w:rPr>
          <w:rFonts w:ascii="Times New Roman;Times;Serif" w:hAnsi="Times New Roman;Times;Serif"/>
          <w:b/>
          <w:i w:val="false"/>
          <w:caps w:val="false"/>
          <w:smallCaps w:val="false"/>
          <w:sz w:val="20"/>
        </w:rPr>
        <w:t>77478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226__20"/>
      <w:bookmarkEnd w:id="12"/>
      <w:r>
        <w:rPr>
          <w:rFonts w:ascii="Times New Roman;Times;Serif" w:hAnsi="Times New Roman;Times;Serif"/>
          <w:b/>
          <w:i w:val="false"/>
          <w:caps w:val="false"/>
          <w:smallCaps w:val="false"/>
          <w:sz w:val="20"/>
        </w:rPr>
        <w:t xml:space="preserve">281) </w:t>
      </w:r>
      <w:bookmarkStart w:id="13" w:name="xdx_90E_edei--LocalPhoneNumber_c20260226"/>
      <w:bookmarkEnd w:id="13"/>
      <w:r>
        <w:rPr>
          <w:rFonts w:ascii="Times New Roman;Times;Serif" w:hAnsi="Times New Roman;Times;Serif"/>
          <w:b/>
          <w:i w:val="false"/>
          <w:caps w:val="false"/>
          <w:smallCaps w:val="false"/>
          <w:sz w:val="20"/>
        </w:rPr>
        <w:t>295-1800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2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firstLine="36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SolicitingMaterial_c202602"/>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3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2750"/>
        <w:gridCol w:w="1610"/>
        <w:gridCol w:w="446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6_edei--Security12bTitle_c20260226"/>
            <w:bookmarkEnd w:id="18"/>
            <w:r>
              <w:rPr>
                <w:rFonts w:ascii="Times New Roman;Times;Serif" w:hAnsi="Times New Roman;Times;Serif"/>
                <w:sz w:val="20"/>
              </w:rPr>
              <w:t>Common Stock, Par value $0.001</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5_edei--TradingSymbol_c20260226__2"/>
            <w:bookmarkEnd w:id="19"/>
            <w:r>
              <w:rPr>
                <w:rFonts w:ascii="Times New Roman;Times;Serif" w:hAnsi="Times New Roman;Times;Serif"/>
                <w:sz w:val="20"/>
              </w:rPr>
              <w:t>AAOI</w:t>
            </w:r>
          </w:p>
        </w:tc>
        <w:tc>
          <w:tcPr>
            <w:tcW w:w="44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9_edei--SecurityExchangeName_c2026"/>
            <w:bookmarkEnd w:id="20"/>
            <w:r>
              <w:rPr>
                <w:rFonts w:ascii="Times New Roman;Times;Serif" w:hAnsi="Times New Roman;Times;Serif"/>
                <w:sz w:val="20"/>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205"/>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b/>
              </w:rPr>
            </w:pPr>
            <w:r>
              <w:rPr>
                <w:b/>
              </w:rPr>
              <w:t>ITEM 2.02.</w:t>
            </w:r>
          </w:p>
        </w:tc>
        <w:tc>
          <w:tcPr>
            <w:tcW w:w="681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2026 Applied Optoelectronics, Inc. (the “Company”) issued a press release regarding the Company’s financial results for the fourth quarter ended December 31, 2025. A copy of the Company’s press release is attached as Exhibit 99.1 to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furnished in this Current Report under this Item 2.02 and the exhibits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bidi w:val="0"/>
        <w:spacing w:before="0" w:after="0"/>
        <w:ind w:left="0" w:right="0" w:hanging="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145"/>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ITEM 9.01.</w:t>
            </w:r>
          </w:p>
        </w:tc>
        <w:tc>
          <w:tcPr>
            <w:tcW w:w="4835" w:type="dxa"/>
            <w:tcBorders/>
            <w:vAlign w:val="center"/>
          </w:tcPr>
          <w:p>
            <w:pPr>
              <w:pStyle w:val="TableContents"/>
              <w:bidi w:val="0"/>
              <w:spacing w:before="0" w:after="283"/>
              <w:jc w:val="left"/>
              <w:rPr/>
            </w:pPr>
            <w: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2"/>
        <w:gridCol w:w="60"/>
        <w:gridCol w:w="8963"/>
      </w:tblGrid>
      <w:tr>
        <w:trPr/>
        <w:tc>
          <w:tcPr>
            <w:tcW w:w="1182" w:type="dxa"/>
            <w:tcBorders/>
            <w:vAlign w:val="center"/>
          </w:tcPr>
          <w:p>
            <w:pPr>
              <w:pStyle w:val="TableContents"/>
              <w:bidi w:val="0"/>
              <w:spacing w:before="0" w:after="283"/>
              <w:jc w:val="left"/>
              <w:rPr>
                <w:b/>
                <w:u w:val="single"/>
              </w:rPr>
            </w:pPr>
            <w:r>
              <w:rPr>
                <w:b/>
                <w:u w:val="single"/>
              </w:rPr>
              <w:t>Exhibit No.</w:t>
            </w:r>
          </w:p>
        </w:tc>
        <w:tc>
          <w:tcPr>
            <w:tcW w:w="60"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283"/>
              <w:jc w:val="left"/>
              <w:rPr>
                <w:b/>
                <w:u w:val="single"/>
              </w:rPr>
            </w:pPr>
            <w:r>
              <w:rPr>
                <w:b/>
                <w:u w:val="single"/>
              </w:rPr>
              <w:t>Description</w:t>
            </w:r>
          </w:p>
        </w:tc>
      </w:tr>
      <w:tr>
        <w:trPr/>
        <w:tc>
          <w:tcPr>
            <w:tcW w:w="1182"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ind w:left="0" w:right="0" w:hanging="0"/>
              <w:jc w:val="left"/>
              <w:rPr/>
            </w:pPr>
            <w:hyperlink w:anchor="aaoi_ex9901.htm">
              <w:r>
                <w:rPr>
                  <w:rStyle w:val="InternetLink"/>
                  <w:rFonts w:ascii="Times New Roman;Times;Serif" w:hAnsi="Times New Roman;Times;Serif"/>
                  <w:b w:val="false"/>
                  <w:i w:val="false"/>
                  <w:caps w:val="false"/>
                  <w:smallCaps w:val="false"/>
                  <w:sz w:val="20"/>
                </w:rPr>
                <w:t>Press release dated February 26, 2026, issued by Applied Optoelectronics, Inc., filed herewith.</w:t>
              </w:r>
            </w:hyperlink>
          </w:p>
        </w:tc>
      </w:tr>
      <w:tr>
        <w:trPr/>
        <w:tc>
          <w:tcPr>
            <w:tcW w:w="1182"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283"/>
              <w:jc w:val="left"/>
              <w:rPr>
                <w:b w:val="false"/>
              </w:rPr>
            </w:pPr>
            <w:r>
              <w:rPr>
                <w:b w:val="false"/>
              </w:rPr>
              <w:t>Cover Page Interactive File (the cover page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514" w:type="dxa"/>
        <w:jc w:val="left"/>
        <w:tblInd w:w="0" w:type="dxa"/>
        <w:tblLayout w:type="fixed"/>
        <w:tblCellMar>
          <w:top w:w="0" w:type="dxa"/>
          <w:left w:w="0" w:type="dxa"/>
          <w:bottom w:w="0" w:type="dxa"/>
          <w:right w:w="0" w:type="dxa"/>
        </w:tblCellMar>
      </w:tblPr>
      <w:tblGrid>
        <w:gridCol w:w="75"/>
        <w:gridCol w:w="539"/>
        <w:gridCol w:w="2825"/>
        <w:gridCol w:w="75"/>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By:</w:t>
            </w:r>
          </w:p>
        </w:tc>
        <w:tc>
          <w:tcPr>
            <w:tcW w:w="282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sz w:val="20"/>
              </w:rPr>
              <w:t>Stefan J. Murry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Stefan J. Murry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9"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
        </w:rPr>
      </w:pPr>
      <w:bookmarkStart w:id="22" w:name="aaoi_ex9901.htm"/>
      <w:bookmarkStart w:id="23" w:name="ksaaoi_ex990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287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Applied Optoelectronics Reports Fourth Quarter and Full Year 2025 Results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Sugar Land, Texas, February 26, 2026 – Applied Optoelectronics, Inc. (NASDAQ: AAOI) (“AOI”),</w:t>
      </w:r>
      <w:r>
        <w:rPr>
          <w:rFonts w:ascii="Times New Roman;Times;Serif" w:hAnsi="Times New Roman;Times;Serif"/>
          <w:b w:val="false"/>
          <w:i w:val="false"/>
          <w:caps w:val="false"/>
          <w:smallCaps w:val="false"/>
          <w:sz w:val="20"/>
        </w:rPr>
        <w:t xml:space="preserve"> a leading provider of advanced optical and HFC networking products that power the internet, today announced financial results for its fourth quarter and full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deliver record fourth quarter results that were in line with or better than our expectations, and which capped off the strongest year in our company’s history,” said Dr. Thompson Lin, AOI’s Founder, President and Chief Executive Officer. “Our results were driven by broad-based demand in both our CATV and datacenter businesses. We have considerable momentum entering 2026, and we believe we are well positioned to accelerate our growth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generated significant revenue growth while expanding our gross margins this year,” said Dr. Stefan Murry, AOI’s Chief Financial Officer and Chief Strategy Officer. “We made tangible progress during the quarter on expanding our manufacturing capacity, which is a critical step as we prepare for higher-volume production of our next generation datacenter products. We believe we are well positioned for sustained growth and the capital investments underway are expected to fundamentally strengthen the company as we execute on the strong demand we 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Financial Summary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revenue was $134.3 million, compared with $100.3 million in the fourth quarter of 2024 and $118.6 million in the third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gross margin was 31.2%, compared with 28.7% in the fourth quarter of 2024 and 28.0% in the third quarter of 2025. Non-GAAP gross margin was 31.4%, compared with 28.9% in the fourth quarter of 2024 and 31.0% in the third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net loss was $2.0 million, or $0.03 per basic share, compared with net loss of $119.7 million, or $2.60 per basic share in the fourth quarter of 2024, and a net loss of $17.9 million, or $0.28 per basic share in the third quarter of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Non-GAAP net loss was $0.6 million, or $0.01 per basic share, compared with non-GAAP net loss of $1.0 million, or $0.02 per basic share in the fourth quarter of 2024, and a non-GAAP net loss of $5.4 million, or $0.09 per basic share in the third quarter of 2025.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Financial Summary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revenue was $455.7 million, compared with $249.4 million in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gross margin was 30.0%, compared with 24.8% in 2024. Non-GAAP gross margin was 30.9% compared to 25.1% in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GAAP net loss was $38.2 million, or $0.64 per basic share, compared with net loss of $186.7 million, or $4.50 per basic share in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net loss was $15.7 million, or $0.26 per basic share, compared with non-GAAP net loss of $32.7 million, or $0.79 per basic share in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all GAAP and non-GAAP information referenced above is contained in the tables below. Please also refer to “Non-GAAP Financial Measures” below for a description of these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First Quarter 2026 Business Outlook </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first quarter of 2026, the company currently expects: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in the range of $150 million to $165 million.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Non-GAAP gross margin in the range of 29% to 31%.</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Non-GAAP net income in the range of a loss of $7.0 million to a loss of $0.3 million, and non-GAAP income per share in the range of a loss of $0.09 to breakeven using approximately 76.4 million shares.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Please refer to the note below on forward-looking statements and the risks involved with such statements as well as the note on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and webcast for analysts and investors today, February 26, 2026 to discuss its fourth quarter and full year 2025 financial results and outlook for its first quarter 2026 at 4:30 p.m. Eastern time / 3:30 p.m. Central time. This call will be open to the public, and investors may access the call by dialing 844-890-1794 (domestic) or 412-717-9586 (international). A live audio webcast of the conference call along with supplemental financial information will also be accessible on the company's website at investors.ao-inc.com. Following the webcast, an archived version will be available on the website for one year. A telephonic replay of the call will be available one hour after the call and will run for five business days and may be accessed by dialing 855-669-9658 (domestic) or 412-317-0088 (international) and entering passcode 9932656.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 some cases, you can identify forward-looking statements by terminology such as "believe," "may," "estimate," "continue," "anticipate," "intend," "should," "could," "would," "target," "seek," "aim," "predicts," "think," "objectives," "optimistic," "new," "goal," “priorities,” "strategy," "potential," "is likely," "will," "expect," “momentum,” "plan" "project," "permit," “positions” or by other similar expressions that convey uncertainty of future events or outcomes. These statements include management’s beliefs and expectations related to our outlook for the first quarter of 2026. Such forward-looking statements reflect the views of management at the time such statements are made.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internet datacenter, cable television (CATV) broadband, telecom, or fiber-to-the-home (FTTH) markets; changes in the world economy (particularly in the United States and China); changes in the regulation and taxation of international trade, including the imposition of tariffs; changes in currency exchange rates; the negative effects of seasonality; and other risks and uncertainties described more fully in the company's documents filed with or furnished to the Securities and Exchange Commission, including our Annual Report on Form 10-K for the year ended December 31, 2025. More information about these and other risks that may impact the company's business are set forth in the "Risk Factors" section of the company's quarterly and annual reports on file with the Securities and Exchange Commission.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press release to conform these statements to actual results or to changes in the company's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non-GAAP gross margin, non-GAAP net income (loss), non-GAAP earnings (loss) per share, and non-GAAP Adjusted EBITDA to eliminate the impact of items that we do not consider indicative of our overall operating performance. To arrive at our non-GAAP gross margin, we exclude stock-based compensation and related expenses, expenses associated with discontinued products, and non-recurring (income) expenses, if any, from our GAAP gross margin. To arrive at our non-GAAP net income (loss), we exclude all amortization of intangible assets, stock-based compensation expense, non-recurring expenses, unrealized foreign exchange loss (gain), losses from the disposal of idle assets, if any, and non-GAAP tax benefit (expenses) from our GAAP net income (loss). Included in our non-recurring expenses in Q4 2025 and Q4 2024 are employee severance expenses (if any), legal expenses associated with litigation and certain legal and advisory expenses associated with purchase termination or patent protection (if any). Also included in our non-recurring expenses in Q4 2024, but not in Q4 2025, is management's estimate on the loss of aged account receivables and certain non-recurring expenses related to extreme weather events. In computing our non-GAAP income tax benefit (expense), we have applied an estimate of our annual effective income tax rate and applied it to our net income before income taxes. Our non-GAAP Adjusted EBITDA is calculated by excluding depreciation expense, non-GAAP tax benefit (expense), and interest (income) expense, as well as the items excluded from non-GAAP net income (loss), from our GAAP net loss. Our non-GAAP diluted net earnings (loss0 per share is calculated by dividing our non-GAAP net loss by the fully diluted share count (for periods in which non-GAAP net income is positive) or basic share count (for periods in which our non-GAAP net income is negative).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non-GAAP measures are useful to investors in evaluating our operating performance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believe that elimination of items such as amortization of intangible assets, stock-based compensation expense, non-recurring revenue and expenses, losses from the disposal of idle assets, unrealized foreign exchange gain or loss, and depreciation on certain equipment undergoing reconfiguration is appropriate because treatment of these items may vary for reasons unrelated to our overall operating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believe that elimination of expenses associated with discontinued products, including depreciation and inventory obsolescence is appropriate because these expenses are not indicative of our ongoing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W</w:t>
            </w:r>
            <w:r>
              <w:rPr>
                <w:rFonts w:ascii="Times New Roman;Times;Serif" w:hAnsi="Times New Roman;Times;Serif"/>
              </w:rPr>
              <w:t>e believe that estimating non-GAAP income taxes allows comparison with prior periods and provides additional information regarding the generation of potential future deferred tax assets;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believe that non-GAAP measures provide better comparability with our past financial performance, period-to-period results and with our peer companies, many of which also use similar non-GAAP financial measures;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W</w:t>
            </w:r>
            <w:r>
              <w:rPr>
                <w:rFonts w:ascii="Times New Roman;Times;Serif" w:hAnsi="Times New Roman;Times;Serif"/>
              </w:rPr>
              <w:t>e anticipate that investors and securities analysts will utilize non-GAAP measures as a supplement to GAAP measures to evaluate our overall operating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our GAAP net income (loss), GAAP total gross profit, GAAP earnings (loss), and GAAP earnings (loss) per share for Q4 2025 and FY 2025 to our non-GAAP net income (loss), non-GAAP total gross profit, Adjusted EBITDA, and earnings (loss) per share, respectively, is provided below, together with corresponding reconciliations for Q4 2024 and FY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as an alternative to gross profit, net income (loss), earnings (loss) per share, or any other measure of financial performance calculated and presented in accordance with GAAP. Our non-GAAP measures may not be comparable to similarly titled measures of other organizations because other organizations may not calculate such other non-GAAP measures in the same manner. We have not reconciled the non-GAAP measures included in our guidance to the appropriate GAAP financial measures because the GAAP measures are not readily determinable on a forward-looking basis. GAAP measures that impact our non-GAAP financial measures may include stock-based compensation expense, non-recurring expenses, amortization of intangible assets, unrealized exchange loss (gain), asset impairment charges, loss (gain) from disposal of idle assets, and changes in the fair value of our convertible notes. These GAAP measures cannot be reasonably predicted and may directly impact our non-GAAP gross margin, our non-GAAP net income and our non-GAAP fully-diluted earnings per share, although changes with respect to certain of these measures may offset other changes. In addition, certain of these measures are out of our control. Accordingly, a reconciliation of the non-GAAP financial measure guidance to the corresponding GAAP measures is not available without unreasonable effort.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Applied Optoelectronics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Applied Optoelectronics, Inc. (AOI) is a leading developer and manufacturer of advanced optical and Hybrid Fiber-Coax (HFC) networking products that are the building blocks for AI datacenters, CATV and broadband fiber access networks around the world. AOI supplies this critical infrastructure to tier-one customers across cloud computing, CATV broadband, telecom, and FTTH markets. The company has R&amp;D facilities in Atlanta, GA, and engineering and manufacturing facilities at its corporate headquarters in Sugar Land, TX, as well as in Taipei, Taiwan and Ningbo, China. For additional information, visit www.ao-inc.com. </w:t>
      </w: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Blueshirt Group,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Savarese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+1-212-331-8417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ir@ao-inc.com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9488" w:type="dxa"/>
        <w:jc w:val="left"/>
        <w:tblInd w:w="0" w:type="dxa"/>
        <w:tblLayout w:type="fixed"/>
        <w:tblCellMar>
          <w:top w:w="0" w:type="dxa"/>
          <w:left w:w="0" w:type="dxa"/>
          <w:bottom w:w="0" w:type="dxa"/>
          <w:right w:w="0" w:type="dxa"/>
        </w:tblCellMar>
      </w:tblPr>
      <w:tblGrid>
        <w:gridCol w:w="6215"/>
        <w:gridCol w:w="60"/>
        <w:gridCol w:w="184"/>
        <w:gridCol w:w="1290"/>
        <w:gridCol w:w="95"/>
        <w:gridCol w:w="60"/>
        <w:gridCol w:w="202"/>
        <w:gridCol w:w="1272"/>
        <w:gridCol w:w="11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ASSETS</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Cash, Cash Equivalents and Restricted Cash</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w:t>
            </w:r>
          </w:p>
        </w:tc>
        <w:tc>
          <w:tcPr>
            <w:tcW w:w="1290" w:type="dxa"/>
            <w:tcBorders/>
            <w:shd w:fill="EEEEEE" w:val="clear"/>
            <w:vAlign w:val="center"/>
          </w:tcPr>
          <w:p>
            <w:pPr>
              <w:pStyle w:val="TableContents"/>
              <w:bidi w:val="0"/>
              <w:spacing w:before="0" w:after="283"/>
              <w:jc w:val="right"/>
              <w:rPr/>
            </w:pPr>
            <w:r>
              <w:rPr/>
              <w:t>216,035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w:t>
            </w:r>
          </w:p>
        </w:tc>
        <w:tc>
          <w:tcPr>
            <w:tcW w:w="1272" w:type="dxa"/>
            <w:tcBorders/>
            <w:shd w:fill="EEEEEE" w:val="clear"/>
            <w:vAlign w:val="center"/>
          </w:tcPr>
          <w:p>
            <w:pPr>
              <w:pStyle w:val="TableContents"/>
              <w:bidi w:val="0"/>
              <w:spacing w:before="0" w:after="283"/>
              <w:jc w:val="right"/>
              <w:rPr/>
            </w:pPr>
            <w:r>
              <w:rPr/>
              <w:t>79,133</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244,404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116,801</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Inventories</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183,105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88,135</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pPr>
            <w:r>
              <w:rPr/>
              <w:t>32,183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17,199</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Total Current Assets</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b/>
              </w:rPr>
            </w:pPr>
            <w:r>
              <w:rPr>
                <w:b/>
              </w:rPr>
              <w:t>675,727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b/>
              </w:rPr>
            </w:pPr>
            <w:r>
              <w:rPr>
                <w:b/>
              </w:rPr>
              <w:t>301,268</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Property, Plant And Equipment, Net</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376,050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219,235</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Land Use Rights,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4,825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4,837</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Operating Right of Use Asset</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49,697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9,646</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3,623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3,680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Other Assets</w:t>
            </w:r>
          </w:p>
        </w:tc>
        <w:tc>
          <w:tcPr>
            <w:tcW w:w="60" w:type="dxa"/>
            <w:tcBorders/>
            <w:shd w:fill="EEEEEE" w:val="clear"/>
            <w:vAlign w:val="center"/>
          </w:tcPr>
          <w:p>
            <w:pPr>
              <w:pStyle w:val="TableContents"/>
              <w:bidi w:val="0"/>
              <w:spacing w:before="0" w:after="283"/>
              <w:jc w:val="left"/>
              <w:rPr/>
            </w:pPr>
            <w:r>
              <w:rPr/>
              <w:t> </w:t>
            </w:r>
          </w:p>
        </w:tc>
        <w:tc>
          <w:tcPr>
            <w:tcW w:w="18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EEEEEE" w:val="clear"/>
            <w:tcMar>
              <w:bottom w:w="28" w:type="dxa"/>
            </w:tcMar>
            <w:vAlign w:val="center"/>
          </w:tcPr>
          <w:p>
            <w:pPr>
              <w:pStyle w:val="TableContents"/>
              <w:bidi w:val="0"/>
              <w:spacing w:before="0" w:after="283"/>
              <w:jc w:val="right"/>
              <w:rPr/>
            </w:pPr>
            <w:r>
              <w:rPr/>
              <w:t>58,501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EEEEEE" w:val="clear"/>
            <w:tcMar>
              <w:bottom w:w="28" w:type="dxa"/>
            </w:tcMar>
            <w:vAlign w:val="center"/>
          </w:tcPr>
          <w:p>
            <w:pPr>
              <w:pStyle w:val="TableContents"/>
              <w:bidi w:val="0"/>
              <w:spacing w:before="0" w:after="283"/>
              <w:jc w:val="right"/>
              <w:rPr/>
            </w:pPr>
            <w:r>
              <w:rPr/>
              <w:t>8,366</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1,168,423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547,032</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CURRENT LIABILITIES</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290" w:type="dxa"/>
            <w:tcBorders/>
            <w:shd w:fill="FFFFFF" w:val="clear"/>
            <w:vAlign w:val="center"/>
          </w:tcPr>
          <w:p>
            <w:pPr>
              <w:pStyle w:val="TableContents"/>
              <w:bidi w:val="0"/>
              <w:spacing w:before="0" w:after="283"/>
              <w:jc w:val="right"/>
              <w:rPr/>
            </w:pPr>
            <w:r>
              <w:rPr/>
              <w:t>143,932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1272" w:type="dxa"/>
            <w:tcBorders/>
            <w:shd w:fill="FFFFFF" w:val="clear"/>
            <w:vAlign w:val="center"/>
          </w:tcPr>
          <w:p>
            <w:pPr>
              <w:pStyle w:val="TableContents"/>
              <w:bidi w:val="0"/>
              <w:spacing w:before="0" w:after="283"/>
              <w:jc w:val="right"/>
              <w:rPr/>
            </w:pPr>
            <w:r>
              <w:rPr/>
              <w:t>104,969</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Bank Acceptance Payable</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33,363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19,259</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42,491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22,091</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Current Lease Liability-Operating</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3,522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1,380</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Current Portion of Notes Payable and Long Term Debt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pPr>
            <w:r>
              <w:rPr/>
              <w:t>33,975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22,370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Total Current Liabilities</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b/>
              </w:rPr>
            </w:pPr>
            <w:r>
              <w:rPr>
                <w:b/>
              </w:rPr>
              <w:t>257,283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b/>
              </w:rPr>
            </w:pPr>
            <w:r>
              <w:rPr>
                <w:b/>
              </w:rPr>
              <w:t>170,069</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Convertible Senior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129,829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134,497</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Other Long-Term Liabilities</w:t>
            </w:r>
          </w:p>
        </w:tc>
        <w:tc>
          <w:tcPr>
            <w:tcW w:w="60" w:type="dxa"/>
            <w:tcBorders/>
            <w:shd w:fill="EEEEEE" w:val="clear"/>
            <w:vAlign w:val="center"/>
          </w:tcPr>
          <w:p>
            <w:pPr>
              <w:pStyle w:val="TableContents"/>
              <w:bidi w:val="0"/>
              <w:spacing w:before="0" w:after="283"/>
              <w:jc w:val="left"/>
              <w:rPr/>
            </w:pPr>
            <w:r>
              <w:rPr/>
              <w:t> </w:t>
            </w:r>
          </w:p>
        </w:tc>
        <w:tc>
          <w:tcPr>
            <w:tcW w:w="18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EEEEEE" w:val="clear"/>
            <w:tcMar>
              <w:bottom w:w="28" w:type="dxa"/>
            </w:tcMar>
            <w:vAlign w:val="center"/>
          </w:tcPr>
          <w:p>
            <w:pPr>
              <w:pStyle w:val="TableContents"/>
              <w:bidi w:val="0"/>
              <w:spacing w:before="0" w:after="283"/>
              <w:jc w:val="right"/>
              <w:rPr/>
            </w:pPr>
            <w:r>
              <w:rPr/>
              <w:t>47,393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EEEEEE" w:val="clear"/>
            <w:tcMar>
              <w:bottom w:w="28" w:type="dxa"/>
            </w:tcMar>
            <w:vAlign w:val="center"/>
          </w:tcPr>
          <w:p>
            <w:pPr>
              <w:pStyle w:val="TableContents"/>
              <w:bidi w:val="0"/>
              <w:spacing w:before="0" w:after="283"/>
              <w:jc w:val="right"/>
              <w:rPr/>
            </w:pPr>
            <w:r>
              <w:rPr/>
              <w:t>13,354</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b/>
              </w:rPr>
            </w:pPr>
            <w:r>
              <w:rPr>
                <w:b/>
              </w:rPr>
              <w:t>434,505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b/>
              </w:rPr>
            </w:pPr>
            <w:r>
              <w:rPr>
                <w:b/>
              </w:rPr>
              <w:t>317,920</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Common Stock</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75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49</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1,224,538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683,462</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pPr>
            <w:r>
              <w:rPr/>
              <w:t>Cumulative Translation Adjustment</w:t>
            </w:r>
          </w:p>
        </w:tc>
        <w:tc>
          <w:tcPr>
            <w:tcW w:w="60" w:type="dxa"/>
            <w:tcBorders/>
            <w:shd w:fill="EEEEEE" w:val="clear"/>
            <w:vAlign w:val="center"/>
          </w:tcPr>
          <w:p>
            <w:pPr>
              <w:pStyle w:val="TableContents"/>
              <w:bidi w:val="0"/>
              <w:spacing w:before="0" w:after="283"/>
              <w:jc w:val="left"/>
              <w:rPr/>
            </w:pPr>
            <w:r>
              <w:rPr/>
              <w:t> </w:t>
            </w:r>
          </w:p>
        </w:tc>
        <w:tc>
          <w:tcPr>
            <w:tcW w:w="184" w:type="dxa"/>
            <w:tcBorders/>
            <w:shd w:fill="EEEEEE" w:val="clear"/>
            <w:vAlign w:val="center"/>
          </w:tcPr>
          <w:p>
            <w:pPr>
              <w:pStyle w:val="TableContents"/>
              <w:bidi w:val="0"/>
              <w:spacing w:before="0" w:after="283"/>
              <w:jc w:val="left"/>
              <w:rPr/>
            </w:pPr>
            <w:r>
              <w:rPr/>
              <w:t> </w:t>
            </w:r>
          </w:p>
        </w:tc>
        <w:tc>
          <w:tcPr>
            <w:tcW w:w="1290" w:type="dxa"/>
            <w:tcBorders/>
            <w:shd w:fill="EEEEEE" w:val="clear"/>
            <w:vAlign w:val="center"/>
          </w:tcPr>
          <w:p>
            <w:pPr>
              <w:pStyle w:val="TableContents"/>
              <w:bidi w:val="0"/>
              <w:spacing w:before="0" w:after="283"/>
              <w:jc w:val="right"/>
              <w:rPr/>
            </w:pPr>
            <w:r>
              <w:rPr/>
              <w:t>(616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2" w:type="dxa"/>
            <w:tcBorders/>
            <w:shd w:fill="EEEEEE" w:val="clear"/>
            <w:vAlign w:val="center"/>
          </w:tcPr>
          <w:p>
            <w:pPr>
              <w:pStyle w:val="TableContents"/>
              <w:bidi w:val="0"/>
              <w:spacing w:before="0" w:after="283"/>
              <w:jc w:val="left"/>
              <w:rPr/>
            </w:pPr>
            <w:r>
              <w:rPr/>
              <w:t> </w:t>
            </w:r>
          </w:p>
        </w:tc>
        <w:tc>
          <w:tcPr>
            <w:tcW w:w="1272" w:type="dxa"/>
            <w:tcBorders/>
            <w:shd w:fill="EEEEEE" w:val="clear"/>
            <w:vAlign w:val="center"/>
          </w:tcPr>
          <w:p>
            <w:pPr>
              <w:pStyle w:val="TableContents"/>
              <w:bidi w:val="0"/>
              <w:spacing w:before="0" w:after="283"/>
              <w:jc w:val="right"/>
              <w:rPr/>
            </w:pPr>
            <w:r>
              <w:rPr/>
              <w:t>(2,548</w:t>
            </w:r>
          </w:p>
        </w:tc>
        <w:tc>
          <w:tcPr>
            <w:tcW w:w="110" w:type="dxa"/>
            <w:tcBorders/>
            <w:shd w:fill="EEEEEE" w:val="clear"/>
            <w:vAlign w:val="center"/>
          </w:tcPr>
          <w:p>
            <w:pPr>
              <w:pStyle w:val="TableContents"/>
              <w:bidi w:val="0"/>
              <w:spacing w:before="0" w:after="283"/>
              <w:jc w:val="left"/>
              <w:rPr/>
            </w:pPr>
            <w:r>
              <w:rPr/>
              <w:t>)</w:t>
            </w:r>
          </w:p>
        </w:tc>
      </w:tr>
      <w:tr>
        <w:trPr/>
        <w:tc>
          <w:tcPr>
            <w:tcW w:w="621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pPr>
            <w:r>
              <w:rPr/>
              <w:t>(490,079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FFFFFF" w:val="clear"/>
            <w:tcMar>
              <w:bottom w:w="28" w:type="dxa"/>
            </w:tcMar>
            <w:vAlign w:val="center"/>
          </w:tcPr>
          <w:p>
            <w:pPr>
              <w:pStyle w:val="TableContents"/>
              <w:bidi w:val="0"/>
              <w:spacing w:before="0" w:after="283"/>
              <w:jc w:val="right"/>
              <w:rPr/>
            </w:pPr>
            <w:r>
              <w:rPr/>
              <w:t>(451,851</w:t>
            </w:r>
          </w:p>
        </w:tc>
        <w:tc>
          <w:tcPr>
            <w:tcW w:w="110" w:type="dxa"/>
            <w:tcBorders/>
            <w:shd w:fill="FFFFFF" w:val="clear"/>
            <w:vAlign w:val="center"/>
          </w:tcPr>
          <w:p>
            <w:pPr>
              <w:pStyle w:val="TableContents"/>
              <w:bidi w:val="0"/>
              <w:spacing w:before="0" w:after="283"/>
              <w:jc w:val="left"/>
              <w:rPr/>
            </w:pPr>
            <w:r>
              <w:rPr/>
              <w:t>)</w:t>
            </w:r>
          </w:p>
        </w:tc>
      </w:tr>
      <w:tr>
        <w:trPr/>
        <w:tc>
          <w:tcPr>
            <w:tcW w:w="6215" w:type="dxa"/>
            <w:tcBorders/>
            <w:shd w:fill="EEEEEE" w:val="clear"/>
            <w:vAlign w:val="center"/>
          </w:tcPr>
          <w:p>
            <w:pPr>
              <w:pStyle w:val="TableContents"/>
              <w:bidi w:val="0"/>
              <w:spacing w:before="0" w:after="283"/>
              <w:jc w:val="left"/>
              <w:rPr>
                <w:b/>
              </w:rPr>
            </w:pPr>
            <w:r>
              <w:rPr>
                <w:b/>
              </w:rPr>
              <w:t>TOTAL STOCKHOLDERS' EQUITY</w:t>
            </w:r>
          </w:p>
        </w:tc>
        <w:tc>
          <w:tcPr>
            <w:tcW w:w="60" w:type="dxa"/>
            <w:tcBorders/>
            <w:shd w:fill="EEEEEE" w:val="clear"/>
            <w:vAlign w:val="center"/>
          </w:tcPr>
          <w:p>
            <w:pPr>
              <w:pStyle w:val="TableContents"/>
              <w:bidi w:val="0"/>
              <w:spacing w:before="0" w:after="283"/>
              <w:jc w:val="left"/>
              <w:rPr/>
            </w:pPr>
            <w:r>
              <w:rPr/>
              <w:t> </w:t>
            </w:r>
          </w:p>
        </w:tc>
        <w:tc>
          <w:tcPr>
            <w:tcW w:w="18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EEEEEE" w:val="clear"/>
            <w:tcMar>
              <w:bottom w:w="28" w:type="dxa"/>
            </w:tcMar>
            <w:vAlign w:val="center"/>
          </w:tcPr>
          <w:p>
            <w:pPr>
              <w:pStyle w:val="TableContents"/>
              <w:bidi w:val="0"/>
              <w:spacing w:before="0" w:after="283"/>
              <w:jc w:val="right"/>
              <w:rPr>
                <w:b/>
              </w:rPr>
            </w:pPr>
            <w:r>
              <w:rPr>
                <w:b/>
              </w:rPr>
              <w:t>733,918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72" w:type="dxa"/>
            <w:tcBorders>
              <w:bottom w:val="single" w:sz="8" w:space="0" w:color="000000"/>
            </w:tcBorders>
            <w:shd w:fill="EEEEEE" w:val="clear"/>
            <w:tcMar>
              <w:bottom w:w="28" w:type="dxa"/>
            </w:tcMar>
            <w:vAlign w:val="center"/>
          </w:tcPr>
          <w:p>
            <w:pPr>
              <w:pStyle w:val="TableContents"/>
              <w:bidi w:val="0"/>
              <w:spacing w:before="0" w:after="283"/>
              <w:jc w:val="right"/>
              <w:rPr>
                <w:b/>
              </w:rPr>
            </w:pPr>
            <w:r>
              <w:rPr>
                <w:b/>
              </w:rPr>
              <w:t>229,112</w:t>
            </w:r>
          </w:p>
        </w:tc>
        <w:tc>
          <w:tcPr>
            <w:tcW w:w="110" w:type="dxa"/>
            <w:tcBorders/>
            <w:shd w:fill="EEEEEE"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15" w:type="dxa"/>
            <w:tcBorders/>
            <w:shd w:fill="EEEEEE" w:val="clear"/>
            <w:vAlign w:val="center"/>
          </w:tcPr>
          <w:p>
            <w:pPr>
              <w:pStyle w:val="TableContents"/>
              <w:bidi w:val="0"/>
              <w:spacing w:before="0" w:after="283"/>
              <w:jc w:val="left"/>
              <w:rPr>
                <w:b/>
              </w:rPr>
            </w:pPr>
            <w:r>
              <w:rPr>
                <w:b/>
              </w:rPr>
              <w:t>TOTAL LIABILITIES AND STOCKHOLDERS' EQUITY</w:t>
            </w:r>
          </w:p>
        </w:tc>
        <w:tc>
          <w:tcPr>
            <w:tcW w:w="60" w:type="dxa"/>
            <w:tcBorders/>
            <w:shd w:fill="EEEEEE" w:val="clear"/>
            <w:vAlign w:val="center"/>
          </w:tcPr>
          <w:p>
            <w:pPr>
              <w:pStyle w:val="TableContents"/>
              <w:bidi w:val="0"/>
              <w:spacing w:before="0" w:after="283"/>
              <w:jc w:val="left"/>
              <w:rPr/>
            </w:pPr>
            <w:r>
              <w:rPr/>
              <w:t> </w:t>
            </w:r>
          </w:p>
        </w:tc>
        <w:tc>
          <w:tcPr>
            <w:tcW w:w="184"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1290"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1,168,423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2"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1272"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547,032</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65"/>
        <w:gridCol w:w="60"/>
        <w:gridCol w:w="144"/>
        <w:gridCol w:w="826"/>
        <w:gridCol w:w="98"/>
        <w:gridCol w:w="61"/>
        <w:gridCol w:w="144"/>
        <w:gridCol w:w="904"/>
        <w:gridCol w:w="95"/>
        <w:gridCol w:w="60"/>
        <w:gridCol w:w="148"/>
        <w:gridCol w:w="847"/>
        <w:gridCol w:w="100"/>
        <w:gridCol w:w="63"/>
        <w:gridCol w:w="148"/>
        <w:gridCol w:w="926"/>
        <w:gridCol w:w="116"/>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Twelve Months Ended </w:t>
              <w:br/>
              <w:t>December 31,</w:t>
            </w:r>
          </w:p>
        </w:tc>
        <w:tc>
          <w:tcPr>
            <w:tcW w:w="116"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CATV</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w:t>
            </w:r>
          </w:p>
        </w:tc>
        <w:tc>
          <w:tcPr>
            <w:tcW w:w="826" w:type="dxa"/>
            <w:tcBorders/>
            <w:shd w:fill="EEEEEE" w:val="clear"/>
            <w:vAlign w:val="center"/>
          </w:tcPr>
          <w:p>
            <w:pPr>
              <w:pStyle w:val="TableContents"/>
              <w:bidi w:val="0"/>
              <w:spacing w:before="0" w:after="283"/>
              <w:jc w:val="right"/>
              <w:rPr/>
            </w:pPr>
            <w:r>
              <w:rPr/>
              <w:t>54,002</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w:t>
            </w:r>
          </w:p>
        </w:tc>
        <w:tc>
          <w:tcPr>
            <w:tcW w:w="904" w:type="dxa"/>
            <w:tcBorders/>
            <w:shd w:fill="EEEEEE" w:val="clear"/>
            <w:vAlign w:val="center"/>
          </w:tcPr>
          <w:p>
            <w:pPr>
              <w:pStyle w:val="TableContents"/>
              <w:bidi w:val="0"/>
              <w:spacing w:before="0" w:after="283"/>
              <w:jc w:val="right"/>
              <w:rPr/>
            </w:pPr>
            <w:r>
              <w:rPr/>
              <w:t>52,212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w:t>
            </w:r>
          </w:p>
        </w:tc>
        <w:tc>
          <w:tcPr>
            <w:tcW w:w="847" w:type="dxa"/>
            <w:tcBorders/>
            <w:shd w:fill="EEEEEE" w:val="clear"/>
            <w:vAlign w:val="center"/>
          </w:tcPr>
          <w:p>
            <w:pPr>
              <w:pStyle w:val="TableContents"/>
              <w:bidi w:val="0"/>
              <w:spacing w:before="0" w:after="283"/>
              <w:jc w:val="right"/>
              <w:rPr/>
            </w:pPr>
            <w:r>
              <w:rPr/>
              <w:t>245,124</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w:t>
            </w:r>
          </w:p>
        </w:tc>
        <w:tc>
          <w:tcPr>
            <w:tcW w:w="926" w:type="dxa"/>
            <w:tcBorders/>
            <w:shd w:fill="EEEEEE" w:val="clear"/>
            <w:vAlign w:val="center"/>
          </w:tcPr>
          <w:p>
            <w:pPr>
              <w:pStyle w:val="TableContents"/>
              <w:bidi w:val="0"/>
              <w:spacing w:before="0" w:after="283"/>
              <w:jc w:val="right"/>
              <w:rPr/>
            </w:pPr>
            <w:r>
              <w:rPr/>
              <w:t>87,713</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Datacenter</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74,876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44,242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195,651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148,525</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Telecom</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5,111</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3,535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13,729</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10,980</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285</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pPr>
            <w:r>
              <w:rPr/>
              <w:t>1,211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2,147</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Total Revenue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134,274</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100,271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455,715</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249,365</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Total Cost of Goods Sold</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92,329</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71,542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318,802</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187,565</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Total Gross Profit</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41,945</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28,729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136,913</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61,800</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Operating Expenses: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25,820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16,737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85,507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54,955</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Sales and Marketing</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6,904</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3,652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30,267</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18,154</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20,722</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14,813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pPr>
            <w:r>
              <w:rPr/>
              <w:t>75,741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59,599</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Total Operating Expenses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53,446</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35,202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191,515</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132,708</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b/>
              </w:rPr>
            </w:pPr>
            <w:r>
              <w:rPr>
                <w:b/>
              </w:rPr>
              <w:t>Operating Loss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b/>
              </w:rPr>
            </w:pPr>
            <w:r>
              <w:rPr>
                <w:b/>
              </w:rPr>
              <w:t>(11,501</w:t>
            </w:r>
          </w:p>
        </w:tc>
        <w:tc>
          <w:tcPr>
            <w:tcW w:w="98" w:type="dxa"/>
            <w:tcBorders/>
            <w:shd w:fill="EEEEEE" w:val="clear"/>
            <w:vAlign w:val="center"/>
          </w:tcPr>
          <w:p>
            <w:pPr>
              <w:pStyle w:val="TableContents"/>
              <w:bidi w:val="0"/>
              <w:spacing w:before="0" w:after="283"/>
              <w:jc w:val="left"/>
              <w:rPr>
                <w:b/>
              </w:rPr>
            </w:pPr>
            <w:r>
              <w:rPr>
                <w:b/>
              </w:rPr>
              <w:t>)</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b/>
              </w:rPr>
            </w:pPr>
            <w:r>
              <w:rPr>
                <w:b/>
              </w:rPr>
              <w:t>(6,473</w:t>
            </w:r>
          </w:p>
        </w:tc>
        <w:tc>
          <w:tcPr>
            <w:tcW w:w="95" w:type="dxa"/>
            <w:tcBorders/>
            <w:shd w:fill="EEEEEE" w:val="clear"/>
            <w:vAlign w:val="center"/>
          </w:tcPr>
          <w:p>
            <w:pPr>
              <w:pStyle w:val="TableContents"/>
              <w:bidi w:val="0"/>
              <w:spacing w:before="0" w:after="283"/>
              <w:jc w:val="left"/>
              <w:rPr>
                <w:b/>
              </w:rPr>
            </w:pPr>
            <w:r>
              <w:rPr>
                <w:b/>
              </w:rPr>
              <w:t>)</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b/>
              </w:rPr>
            </w:pPr>
            <w:r>
              <w:rPr>
                <w:b/>
              </w:rPr>
              <w:t>(54,602</w:t>
            </w:r>
          </w:p>
        </w:tc>
        <w:tc>
          <w:tcPr>
            <w:tcW w:w="100" w:type="dxa"/>
            <w:tcBorders/>
            <w:shd w:fill="EEEEEE" w:val="clear"/>
            <w:vAlign w:val="center"/>
          </w:tcPr>
          <w:p>
            <w:pPr>
              <w:pStyle w:val="TableContents"/>
              <w:bidi w:val="0"/>
              <w:spacing w:before="0" w:after="283"/>
              <w:jc w:val="left"/>
              <w:rPr>
                <w:b/>
              </w:rPr>
            </w:pPr>
            <w:r>
              <w:rPr>
                <w:b/>
              </w:rPr>
              <w:t>)</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b/>
              </w:rPr>
            </w:pPr>
            <w:r>
              <w:rPr>
                <w:b/>
              </w:rPr>
              <w:t>(70,908</w:t>
            </w:r>
          </w:p>
        </w:tc>
        <w:tc>
          <w:tcPr>
            <w:tcW w:w="116" w:type="dxa"/>
            <w:tcBorders/>
            <w:shd w:fill="EEEEEE"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Other Income (Expense):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830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1,792</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874</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pPr>
            <w:r>
              <w:rPr/>
              <w:t>Interest Expense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(843</w:t>
            </w:r>
          </w:p>
        </w:tc>
        <w:tc>
          <w:tcPr>
            <w:tcW w:w="98"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(1,754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(3,497</w:t>
            </w:r>
          </w:p>
        </w:tc>
        <w:tc>
          <w:tcPr>
            <w:tcW w:w="100" w:type="dxa"/>
            <w:tcBorders/>
            <w:shd w:fill="EEEEEE" w:val="clear"/>
            <w:vAlign w:val="center"/>
          </w:tcPr>
          <w:p>
            <w:pPr>
              <w:pStyle w:val="TableContents"/>
              <w:bidi w:val="0"/>
              <w:spacing w:before="0" w:after="283"/>
              <w:jc w:val="left"/>
              <w:rPr/>
            </w:pPr>
            <w:r>
              <w:rPr/>
              <w:t>)</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(6,826</w:t>
            </w:r>
          </w:p>
        </w:tc>
        <w:tc>
          <w:tcPr>
            <w:tcW w:w="116" w:type="dxa"/>
            <w:tcBorders/>
            <w:shd w:fill="EEEEEE"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1,016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(111,828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pPr>
            <w:r>
              <w:rPr/>
              <w:t>9,603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(109,871</w:t>
            </w:r>
          </w:p>
        </w:tc>
        <w:tc>
          <w:tcPr>
            <w:tcW w:w="116" w:type="dxa"/>
            <w:tcBorders/>
            <w:shd w:fill="FFFFFF" w:val="clear"/>
            <w:vAlign w:val="center"/>
          </w:tcPr>
          <w:p>
            <w:pPr>
              <w:pStyle w:val="TableContents"/>
              <w:bidi w:val="0"/>
              <w:spacing w:before="0" w:after="283"/>
              <w:jc w:val="left"/>
              <w:rPr/>
            </w:pPr>
            <w:r>
              <w:rPr/>
              <w:t>)</w:t>
            </w:r>
          </w:p>
        </w:tc>
      </w:tr>
      <w:tr>
        <w:trPr/>
        <w:tc>
          <w:tcPr>
            <w:tcW w:w="5465" w:type="dxa"/>
            <w:tcBorders/>
            <w:shd w:fill="EEEEEE" w:val="clear"/>
            <w:vAlign w:val="center"/>
          </w:tcPr>
          <w:p>
            <w:pPr>
              <w:pStyle w:val="TableContents"/>
              <w:bidi w:val="0"/>
              <w:spacing w:before="0" w:after="283"/>
              <w:jc w:val="left"/>
              <w:rPr/>
            </w:pPr>
            <w:r>
              <w:rPr/>
              <w:t>Total Other Income (Expense):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1,003</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(113,217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7,898</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(115,823</w:t>
            </w:r>
          </w:p>
        </w:tc>
        <w:tc>
          <w:tcPr>
            <w:tcW w:w="116" w:type="dxa"/>
            <w:tcBorders/>
            <w:shd w:fill="EEEEEE"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b/>
              </w:rPr>
            </w:pPr>
            <w:r>
              <w:rPr>
                <w:b/>
              </w:rPr>
              <w:t>Net loss before Income Taxes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b/>
              </w:rPr>
            </w:pPr>
            <w:r>
              <w:rPr>
                <w:b/>
              </w:rPr>
              <w:t>(10,498</w:t>
            </w:r>
          </w:p>
        </w:tc>
        <w:tc>
          <w:tcPr>
            <w:tcW w:w="98" w:type="dxa"/>
            <w:tcBorders/>
            <w:shd w:fill="EEEEEE" w:val="clear"/>
            <w:vAlign w:val="center"/>
          </w:tcPr>
          <w:p>
            <w:pPr>
              <w:pStyle w:val="TableContents"/>
              <w:bidi w:val="0"/>
              <w:spacing w:before="0" w:after="283"/>
              <w:jc w:val="left"/>
              <w:rPr>
                <w:b/>
              </w:rPr>
            </w:pPr>
            <w:r>
              <w:rPr>
                <w:b/>
              </w:rPr>
              <w:t>)</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b/>
              </w:rPr>
            </w:pPr>
            <w:r>
              <w:rPr>
                <w:b/>
              </w:rPr>
              <w:t>(119,690</w:t>
            </w:r>
          </w:p>
        </w:tc>
        <w:tc>
          <w:tcPr>
            <w:tcW w:w="95" w:type="dxa"/>
            <w:tcBorders/>
            <w:shd w:fill="EEEEEE" w:val="clear"/>
            <w:vAlign w:val="center"/>
          </w:tcPr>
          <w:p>
            <w:pPr>
              <w:pStyle w:val="TableContents"/>
              <w:bidi w:val="0"/>
              <w:spacing w:before="0" w:after="283"/>
              <w:jc w:val="left"/>
              <w:rPr>
                <w:b/>
              </w:rPr>
            </w:pPr>
            <w:r>
              <w:rPr>
                <w:b/>
              </w:rPr>
              <w:t>)</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b/>
              </w:rPr>
            </w:pPr>
            <w:r>
              <w:rPr>
                <w:b/>
              </w:rPr>
              <w:t>(46,704</w:t>
            </w:r>
          </w:p>
        </w:tc>
        <w:tc>
          <w:tcPr>
            <w:tcW w:w="100" w:type="dxa"/>
            <w:tcBorders/>
            <w:shd w:fill="EEEEEE" w:val="clear"/>
            <w:vAlign w:val="center"/>
          </w:tcPr>
          <w:p>
            <w:pPr>
              <w:pStyle w:val="TableContents"/>
              <w:bidi w:val="0"/>
              <w:spacing w:before="0" w:after="283"/>
              <w:jc w:val="left"/>
              <w:rPr>
                <w:b/>
              </w:rPr>
            </w:pPr>
            <w:r>
              <w:rPr>
                <w:b/>
              </w:rPr>
              <w:t>)</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b/>
              </w:rPr>
            </w:pPr>
            <w:r>
              <w:rPr>
                <w:b/>
              </w:rPr>
              <w:t>(186,731</w:t>
            </w:r>
          </w:p>
        </w:tc>
        <w:tc>
          <w:tcPr>
            <w:tcW w:w="116" w:type="dxa"/>
            <w:tcBorders/>
            <w:shd w:fill="EEEEEE"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8,476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8,476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w:t>
            </w:r>
          </w:p>
        </w:tc>
        <w:tc>
          <w:tcPr>
            <w:tcW w:w="116" w:type="dxa"/>
            <w:tcBorders/>
            <w:shd w:fill="FFFFFF" w:val="clear"/>
            <w:vAlign w:val="center"/>
          </w:tcPr>
          <w:p>
            <w:pPr>
              <w:pStyle w:val="TableContents"/>
              <w:bidi w:val="0"/>
              <w:spacing w:before="0" w:after="283"/>
              <w:jc w:val="left"/>
              <w:rPr>
                <w:b/>
              </w:rPr>
            </w:pPr>
            <w:r>
              <w:rPr>
                <w:b/>
              </w:rPr>
              <w:t>)</w:t>
            </w:r>
          </w:p>
        </w:tc>
      </w:tr>
      <w:tr>
        <w:trPr/>
        <w:tc>
          <w:tcPr>
            <w:tcW w:w="5465" w:type="dxa"/>
            <w:tcBorders/>
            <w:shd w:fill="EEEEEE" w:val="clear"/>
            <w:vAlign w:val="center"/>
          </w:tcPr>
          <w:p>
            <w:pPr>
              <w:pStyle w:val="TableContents"/>
              <w:bidi w:val="0"/>
              <w:spacing w:before="0" w:after="283"/>
              <w:jc w:val="left"/>
              <w:rPr>
                <w:b/>
              </w:rPr>
            </w:pPr>
            <w:r>
              <w:rPr>
                <w:b/>
              </w:rPr>
              <w:t>Net loss</w:t>
            </w:r>
          </w:p>
        </w:tc>
        <w:tc>
          <w:tcPr>
            <w:tcW w:w="60"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826"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(2,022</w:t>
            </w:r>
          </w:p>
        </w:tc>
        <w:tc>
          <w:tcPr>
            <w:tcW w:w="98" w:type="dxa"/>
            <w:tcBorders/>
            <w:shd w:fill="EEEEEE" w:val="clear"/>
            <w:vAlign w:val="center"/>
          </w:tcPr>
          <w:p>
            <w:pPr>
              <w:pStyle w:val="TableContents"/>
              <w:bidi w:val="0"/>
              <w:spacing w:before="0" w:after="283"/>
              <w:jc w:val="left"/>
              <w:rPr>
                <w:b/>
              </w:rPr>
            </w:pPr>
            <w:r>
              <w:rPr>
                <w:b/>
              </w:rPr>
              <w:t>)</w:t>
            </w:r>
          </w:p>
        </w:tc>
        <w:tc>
          <w:tcPr>
            <w:tcW w:w="61"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904"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(119,692</w:t>
            </w:r>
          </w:p>
        </w:tc>
        <w:tc>
          <w:tcPr>
            <w:tcW w:w="95" w:type="dxa"/>
            <w:tcBorders/>
            <w:shd w:fill="EEEEEE" w:val="clear"/>
            <w:vAlign w:val="center"/>
          </w:tcPr>
          <w:p>
            <w:pPr>
              <w:pStyle w:val="TableContents"/>
              <w:bidi w:val="0"/>
              <w:spacing w:before="0" w:after="283"/>
              <w:jc w:val="left"/>
              <w:rPr>
                <w:b/>
              </w:rPr>
            </w:pPr>
            <w:r>
              <w:rPr>
                <w:b/>
              </w:rPr>
              <w:t>)</w:t>
            </w:r>
          </w:p>
        </w:tc>
        <w:tc>
          <w:tcPr>
            <w:tcW w:w="60" w:type="dxa"/>
            <w:tcBorders/>
            <w:shd w:fill="EEEEEE" w:val="clear"/>
            <w:vAlign w:val="center"/>
          </w:tcPr>
          <w:p>
            <w:pPr>
              <w:pStyle w:val="TableContents"/>
              <w:bidi w:val="0"/>
              <w:spacing w:before="0" w:after="283"/>
              <w:jc w:val="left"/>
              <w:rPr/>
            </w:pPr>
            <w:r>
              <w:rPr/>
              <w:t> </w:t>
            </w:r>
          </w:p>
        </w:tc>
        <w:tc>
          <w:tcPr>
            <w:tcW w:w="148"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847"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(38,228</w:t>
            </w:r>
          </w:p>
        </w:tc>
        <w:tc>
          <w:tcPr>
            <w:tcW w:w="100" w:type="dxa"/>
            <w:tcBorders/>
            <w:shd w:fill="EEEEEE" w:val="clear"/>
            <w:vAlign w:val="center"/>
          </w:tcPr>
          <w:p>
            <w:pPr>
              <w:pStyle w:val="TableContents"/>
              <w:bidi w:val="0"/>
              <w:spacing w:before="0" w:after="283"/>
              <w:jc w:val="left"/>
              <w:rPr>
                <w:b/>
              </w:rPr>
            </w:pPr>
            <w:r>
              <w:rPr>
                <w:b/>
              </w:rPr>
              <w:t>)</w:t>
            </w:r>
          </w:p>
        </w:tc>
        <w:tc>
          <w:tcPr>
            <w:tcW w:w="63" w:type="dxa"/>
            <w:tcBorders/>
            <w:shd w:fill="EEEEEE" w:val="clear"/>
            <w:vAlign w:val="center"/>
          </w:tcPr>
          <w:p>
            <w:pPr>
              <w:pStyle w:val="TableContents"/>
              <w:bidi w:val="0"/>
              <w:spacing w:before="0" w:after="283"/>
              <w:jc w:val="left"/>
              <w:rPr/>
            </w:pPr>
            <w:r>
              <w:rPr/>
              <w:t> </w:t>
            </w:r>
          </w:p>
        </w:tc>
        <w:tc>
          <w:tcPr>
            <w:tcW w:w="148" w:type="dxa"/>
            <w:tcBorders>
              <w:bottom w:val="double" w:sz="6" w:space="0" w:color="000000"/>
            </w:tcBorders>
            <w:shd w:fill="EEEEEE" w:val="clear"/>
            <w:tcMar>
              <w:bottom w:w="28" w:type="dxa"/>
            </w:tcMar>
            <w:vAlign w:val="center"/>
          </w:tcPr>
          <w:p>
            <w:pPr>
              <w:pStyle w:val="TableContents"/>
              <w:bidi w:val="0"/>
              <w:spacing w:before="0" w:after="283"/>
              <w:jc w:val="left"/>
              <w:rPr>
                <w:b/>
              </w:rPr>
            </w:pPr>
            <w:r>
              <w:rPr>
                <w:b/>
              </w:rPr>
              <w:t>$</w:t>
            </w:r>
          </w:p>
        </w:tc>
        <w:tc>
          <w:tcPr>
            <w:tcW w:w="926" w:type="dxa"/>
            <w:tcBorders>
              <w:bottom w:val="double" w:sz="6" w:space="0" w:color="000000"/>
            </w:tcBorders>
            <w:shd w:fill="EEEEEE" w:val="clear"/>
            <w:tcMar>
              <w:bottom w:w="28" w:type="dxa"/>
            </w:tcMar>
            <w:vAlign w:val="center"/>
          </w:tcPr>
          <w:p>
            <w:pPr>
              <w:pStyle w:val="TableContents"/>
              <w:bidi w:val="0"/>
              <w:spacing w:before="0" w:after="283"/>
              <w:jc w:val="right"/>
              <w:rPr>
                <w:b/>
              </w:rPr>
            </w:pPr>
            <w:r>
              <w:rPr>
                <w:b/>
              </w:rPr>
              <w:t>(186,733</w:t>
            </w:r>
          </w:p>
        </w:tc>
        <w:tc>
          <w:tcPr>
            <w:tcW w:w="116" w:type="dxa"/>
            <w:tcBorders/>
            <w:shd w:fill="EEEEEE" w:val="clear"/>
            <w:vAlign w:val="center"/>
          </w:tcPr>
          <w:p>
            <w:pPr>
              <w:pStyle w:val="TableContents"/>
              <w:bidi w:val="0"/>
              <w:spacing w:before="0" w:after="283"/>
              <w:jc w:val="left"/>
              <w:rPr>
                <w:b/>
              </w:rPr>
            </w:pPr>
            <w:r>
              <w:rPr>
                <w:b/>
              </w:rPr>
              <w:t>)</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b/>
              </w:rPr>
            </w:pPr>
            <w:r>
              <w:rPr>
                <w:b/>
              </w:rPr>
              <w:t>Net loss per share attributable to common stockholders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6"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pPr>
            <w:r>
              <w:rPr/>
              <w:t>(0.64</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26" w:type="dxa"/>
            <w:tcBorders>
              <w:bottom w:val="double" w:sz="6" w:space="0" w:color="000000"/>
            </w:tcBorders>
            <w:shd w:fill="FFFFFF" w:val="clear"/>
            <w:tcMar>
              <w:bottom w:w="28" w:type="dxa"/>
            </w:tcMar>
            <w:vAlign w:val="center"/>
          </w:tcPr>
          <w:p>
            <w:pPr>
              <w:pStyle w:val="TableContents"/>
              <w:bidi w:val="0"/>
              <w:spacing w:before="0" w:after="283"/>
              <w:jc w:val="right"/>
              <w:rPr/>
            </w:pPr>
            <w:r>
              <w:rPr/>
              <w:t>(4.50</w:t>
            </w:r>
          </w:p>
        </w:tc>
        <w:tc>
          <w:tcPr>
            <w:tcW w:w="116" w:type="dxa"/>
            <w:tcBorders/>
            <w:shd w:fill="FFFFFF" w:val="clear"/>
            <w:vAlign w:val="center"/>
          </w:tcPr>
          <w:p>
            <w:pPr>
              <w:pStyle w:val="TableContents"/>
              <w:bidi w:val="0"/>
              <w:spacing w:before="0" w:after="283"/>
              <w:jc w:val="left"/>
              <w:rPr/>
            </w:pPr>
            <w:r>
              <w:rPr/>
              <w:t>)</w:t>
            </w:r>
          </w:p>
        </w:tc>
      </w:tr>
      <w:tr>
        <w:trPr/>
        <w:tc>
          <w:tcPr>
            <w:tcW w:w="5465" w:type="dxa"/>
            <w:tcBorders/>
            <w:shd w:fill="EEEEEE" w:val="clear"/>
            <w:vAlign w:val="center"/>
          </w:tcPr>
          <w:p>
            <w:pPr>
              <w:pStyle w:val="TableContents"/>
              <w:bidi w:val="0"/>
              <w:spacing w:before="0" w:after="283"/>
              <w:jc w:val="left"/>
              <w:rPr>
                <w:b/>
              </w:rPr>
            </w:pPr>
            <w:r>
              <w:rPr>
                <w:b/>
              </w:rPr>
              <w:t>diluted</w:t>
            </w:r>
          </w:p>
        </w:tc>
        <w:tc>
          <w:tcPr>
            <w:tcW w:w="60"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26" w:type="dxa"/>
            <w:tcBorders>
              <w:bottom w:val="double" w:sz="6" w:space="0" w:color="000000"/>
            </w:tcBorders>
            <w:shd w:fill="EEEEEE" w:val="clear"/>
            <w:tcMar>
              <w:bottom w:w="28" w:type="dxa"/>
            </w:tcMar>
            <w:vAlign w:val="center"/>
          </w:tcPr>
          <w:p>
            <w:pPr>
              <w:pStyle w:val="TableContents"/>
              <w:bidi w:val="0"/>
              <w:spacing w:before="0" w:after="283"/>
              <w:jc w:val="right"/>
              <w:rPr/>
            </w:pPr>
            <w:r>
              <w:rPr/>
              <w:t>(0.03</w:t>
            </w:r>
          </w:p>
        </w:tc>
        <w:tc>
          <w:tcPr>
            <w:tcW w:w="98"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04" w:type="dxa"/>
            <w:tcBorders>
              <w:bottom w:val="double" w:sz="6" w:space="0" w:color="000000"/>
            </w:tcBorders>
            <w:shd w:fill="EEEEEE" w:val="clear"/>
            <w:tcMar>
              <w:bottom w:w="28" w:type="dxa"/>
            </w:tcMar>
            <w:vAlign w:val="center"/>
          </w:tcPr>
          <w:p>
            <w:pPr>
              <w:pStyle w:val="TableContents"/>
              <w:bidi w:val="0"/>
              <w:spacing w:before="0" w:after="283"/>
              <w:jc w:val="right"/>
              <w:rPr/>
            </w:pPr>
            <w:r>
              <w:rPr/>
              <w:t>(2.60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shd w:fill="EEEEEE" w:val="clear"/>
            <w:tcMar>
              <w:bottom w:w="28" w:type="dxa"/>
            </w:tcMar>
            <w:vAlign w:val="center"/>
          </w:tcPr>
          <w:p>
            <w:pPr>
              <w:pStyle w:val="TableContents"/>
              <w:bidi w:val="0"/>
              <w:spacing w:before="0" w:after="283"/>
              <w:jc w:val="right"/>
              <w:rPr/>
            </w:pPr>
            <w:r>
              <w:rPr/>
              <w:t>(0.64</w:t>
            </w:r>
          </w:p>
        </w:tc>
        <w:tc>
          <w:tcPr>
            <w:tcW w:w="100" w:type="dxa"/>
            <w:tcBorders/>
            <w:shd w:fill="EEEEEE" w:val="clear"/>
            <w:vAlign w:val="center"/>
          </w:tcPr>
          <w:p>
            <w:pPr>
              <w:pStyle w:val="TableContents"/>
              <w:bidi w:val="0"/>
              <w:spacing w:before="0" w:after="283"/>
              <w:jc w:val="left"/>
              <w:rPr/>
            </w:pPr>
            <w:r>
              <w:rPr/>
              <w:t>)</w:t>
            </w:r>
          </w:p>
        </w:tc>
        <w:tc>
          <w:tcPr>
            <w:tcW w:w="63" w:type="dxa"/>
            <w:tcBorders/>
            <w:shd w:fill="EEEEEE" w:val="clear"/>
            <w:vAlign w:val="center"/>
          </w:tcPr>
          <w:p>
            <w:pPr>
              <w:pStyle w:val="TableContents"/>
              <w:bidi w:val="0"/>
              <w:spacing w:before="0" w:after="283"/>
              <w:jc w:val="left"/>
              <w:rPr/>
            </w:pPr>
            <w:r>
              <w:rPr/>
              <w:t> </w:t>
            </w:r>
          </w:p>
        </w:tc>
        <w:tc>
          <w:tcPr>
            <w:tcW w:w="14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26" w:type="dxa"/>
            <w:tcBorders>
              <w:bottom w:val="double" w:sz="6" w:space="0" w:color="000000"/>
            </w:tcBorders>
            <w:shd w:fill="EEEEEE" w:val="clear"/>
            <w:tcMar>
              <w:bottom w:w="28" w:type="dxa"/>
            </w:tcMar>
            <w:vAlign w:val="center"/>
          </w:tcPr>
          <w:p>
            <w:pPr>
              <w:pStyle w:val="TableContents"/>
              <w:bidi w:val="0"/>
              <w:spacing w:before="0" w:after="283"/>
              <w:jc w:val="right"/>
              <w:rPr/>
            </w:pPr>
            <w:r>
              <w:rPr/>
              <w:t>(4.50</w:t>
            </w:r>
          </w:p>
        </w:tc>
        <w:tc>
          <w:tcPr>
            <w:tcW w:w="116" w:type="dxa"/>
            <w:tcBorders/>
            <w:shd w:fill="EEEEEE" w:val="clear"/>
            <w:vAlign w:val="center"/>
          </w:tcPr>
          <w:p>
            <w:pPr>
              <w:pStyle w:val="TableContents"/>
              <w:bidi w:val="0"/>
              <w:spacing w:before="0" w:after="283"/>
              <w:jc w:val="left"/>
              <w:rPr/>
            </w:pPr>
            <w:r>
              <w:rPr/>
              <w:t>)</w:t>
            </w:r>
          </w:p>
        </w:tc>
      </w:tr>
      <w:tr>
        <w:trPr/>
        <w:tc>
          <w:tcPr>
            <w:tcW w:w="54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p>
        </w:tc>
      </w:tr>
      <w:tr>
        <w:trPr/>
        <w:tc>
          <w:tcPr>
            <w:tcW w:w="5465" w:type="dxa"/>
            <w:tcBorders/>
            <w:shd w:fill="EEEEEE" w:val="clear"/>
            <w:vAlign w:val="center"/>
          </w:tcPr>
          <w:p>
            <w:pPr>
              <w:pStyle w:val="TableContents"/>
              <w:bidi w:val="0"/>
              <w:spacing w:before="0" w:after="283"/>
              <w:jc w:val="left"/>
              <w:rPr>
                <w:b/>
              </w:rPr>
            </w:pPr>
            <w:r>
              <w:rPr>
                <w:b/>
              </w:rPr>
              <w:t>Weighted-average shares used to compute net loss per share attributable to common stockholders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 </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b/>
              </w:rPr>
            </w:pPr>
            <w:r>
              <w:rPr>
                <w:b/>
              </w:rPr>
              <w:t>basic</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70,336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46,057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60,184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41,539</w:t>
            </w:r>
          </w:p>
        </w:tc>
        <w:tc>
          <w:tcPr>
            <w:tcW w:w="116" w:type="dxa"/>
            <w:tcBorders/>
            <w:shd w:fill="FFFFFF" w:val="clear"/>
            <w:vAlign w:val="center"/>
          </w:tcPr>
          <w:p>
            <w:pPr>
              <w:pStyle w:val="TableContents"/>
              <w:bidi w:val="0"/>
              <w:spacing w:before="0" w:after="283"/>
              <w:jc w:val="left"/>
              <w:rPr/>
            </w:pPr>
            <w:r>
              <w:rPr/>
              <w:t> </w:t>
            </w:r>
          </w:p>
        </w:tc>
      </w:tr>
      <w:tr>
        <w:trPr/>
        <w:tc>
          <w:tcPr>
            <w:tcW w:w="5465" w:type="dxa"/>
            <w:tcBorders/>
            <w:shd w:fill="EEEEEE" w:val="clear"/>
            <w:vAlign w:val="center"/>
          </w:tcPr>
          <w:p>
            <w:pPr>
              <w:pStyle w:val="TableContents"/>
              <w:bidi w:val="0"/>
              <w:spacing w:before="0" w:after="283"/>
              <w:jc w:val="left"/>
              <w:rPr>
                <w:b/>
              </w:rPr>
            </w:pPr>
            <w:r>
              <w:rPr>
                <w:b/>
              </w:rPr>
              <w:t>diluted</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826" w:type="dxa"/>
            <w:tcBorders/>
            <w:shd w:fill="EEEEEE" w:val="clear"/>
            <w:vAlign w:val="center"/>
          </w:tcPr>
          <w:p>
            <w:pPr>
              <w:pStyle w:val="TableContents"/>
              <w:bidi w:val="0"/>
              <w:spacing w:before="0" w:after="283"/>
              <w:jc w:val="right"/>
              <w:rPr/>
            </w:pPr>
            <w:r>
              <w:rPr/>
              <w:t>70,336</w:t>
            </w:r>
          </w:p>
        </w:tc>
        <w:tc>
          <w:tcPr>
            <w:tcW w:w="98"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904" w:type="dxa"/>
            <w:tcBorders/>
            <w:shd w:fill="EEEEEE" w:val="clear"/>
            <w:vAlign w:val="center"/>
          </w:tcPr>
          <w:p>
            <w:pPr>
              <w:pStyle w:val="TableContents"/>
              <w:bidi w:val="0"/>
              <w:spacing w:before="0" w:after="283"/>
              <w:jc w:val="right"/>
              <w:rPr/>
            </w:pPr>
            <w:r>
              <w:rPr/>
              <w:t>46,057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847" w:type="dxa"/>
            <w:tcBorders/>
            <w:shd w:fill="EEEEEE" w:val="clear"/>
            <w:vAlign w:val="center"/>
          </w:tcPr>
          <w:p>
            <w:pPr>
              <w:pStyle w:val="TableContents"/>
              <w:bidi w:val="0"/>
              <w:spacing w:before="0" w:after="283"/>
              <w:jc w:val="right"/>
              <w:rPr/>
            </w:pPr>
            <w:r>
              <w:rPr/>
              <w:t>60,184</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8" w:type="dxa"/>
            <w:tcBorders/>
            <w:shd w:fill="EEEEEE" w:val="clear"/>
            <w:vAlign w:val="center"/>
          </w:tcPr>
          <w:p>
            <w:pPr>
              <w:pStyle w:val="TableContents"/>
              <w:bidi w:val="0"/>
              <w:spacing w:before="0" w:after="283"/>
              <w:jc w:val="left"/>
              <w:rPr/>
            </w:pPr>
            <w:r>
              <w:rPr/>
              <w:t> </w:t>
            </w:r>
          </w:p>
        </w:tc>
        <w:tc>
          <w:tcPr>
            <w:tcW w:w="926" w:type="dxa"/>
            <w:tcBorders/>
            <w:shd w:fill="EEEEEE" w:val="clear"/>
            <w:vAlign w:val="center"/>
          </w:tcPr>
          <w:p>
            <w:pPr>
              <w:pStyle w:val="TableContents"/>
              <w:bidi w:val="0"/>
              <w:spacing w:before="0" w:after="283"/>
              <w:jc w:val="right"/>
              <w:rPr/>
            </w:pPr>
            <w:r>
              <w:rPr/>
              <w:t>41,539</w:t>
            </w:r>
          </w:p>
        </w:tc>
        <w:tc>
          <w:tcPr>
            <w:tcW w:w="116" w:type="dxa"/>
            <w:tcBorders/>
            <w:shd w:fill="EEEEEE"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Applied Optoelectronics,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Statements of Operations under GAAP and Non-GAAP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08"/>
        <w:gridCol w:w="60"/>
        <w:gridCol w:w="208"/>
        <w:gridCol w:w="1017"/>
        <w:gridCol w:w="141"/>
        <w:gridCol w:w="89"/>
        <w:gridCol w:w="208"/>
        <w:gridCol w:w="1308"/>
        <w:gridCol w:w="95"/>
        <w:gridCol w:w="60"/>
        <w:gridCol w:w="205"/>
        <w:gridCol w:w="1174"/>
        <w:gridCol w:w="139"/>
        <w:gridCol w:w="87"/>
        <w:gridCol w:w="205"/>
        <w:gridCol w:w="1284"/>
        <w:gridCol w:w="117"/>
      </w:tblGrid>
      <w:tr>
        <w:trPr/>
        <w:tc>
          <w:tcPr>
            <w:tcW w:w="38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Twelve Months Ended December 31,</w:t>
            </w:r>
          </w:p>
        </w:tc>
        <w:tc>
          <w:tcPr>
            <w:tcW w:w="117" w:type="dxa"/>
            <w:tcBorders/>
            <w:vAlign w:val="center"/>
          </w:tcPr>
          <w:p>
            <w:pPr>
              <w:pStyle w:val="TableContents"/>
              <w:bidi w:val="0"/>
              <w:spacing w:before="0" w:after="283"/>
              <w:jc w:val="left"/>
              <w:rPr/>
            </w:pPr>
            <w:r>
              <w:rPr/>
              <w:t> </w:t>
            </w:r>
          </w:p>
        </w:tc>
      </w:tr>
      <w:tr>
        <w:trPr/>
        <w:tc>
          <w:tcPr>
            <w:tcW w:w="38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2025</w:t>
            </w:r>
          </w:p>
        </w:tc>
        <w:tc>
          <w:tcPr>
            <w:tcW w:w="13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right"/>
              <w:rPr>
                <w:b/>
              </w:rPr>
            </w:pPr>
            <w:r>
              <w:rPr>
                <w:b/>
              </w:rPr>
              <w:t>2024</w:t>
            </w:r>
          </w:p>
        </w:tc>
        <w:tc>
          <w:tcPr>
            <w:tcW w:w="117" w:type="dxa"/>
            <w:tcBorders/>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xml:space="preserve">GAAP total gross profit </w:t>
            </w:r>
            <w:r>
              <w:rPr>
                <w:rFonts w:ascii="Times New Roman;Times;Serif" w:hAnsi="Times New Roman;Times;Serif"/>
                <w:b w:val="false"/>
                <w:i w:val="false"/>
                <w:caps w:val="false"/>
                <w:smallCaps w:val="false"/>
                <w:position w:val="7"/>
                <w:sz w:val="16"/>
                <w:sz w:val="20"/>
              </w:rPr>
              <w:t>(a)</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017" w:type="dxa"/>
            <w:tcBorders/>
            <w:shd w:fill="EEEEEE" w:val="clear"/>
            <w:vAlign w:val="center"/>
          </w:tcPr>
          <w:p>
            <w:pPr>
              <w:pStyle w:val="TableContents"/>
              <w:bidi w:val="0"/>
              <w:spacing w:before="0" w:after="283"/>
              <w:jc w:val="right"/>
              <w:rPr/>
            </w:pPr>
            <w:r>
              <w:rPr/>
              <w:t>41,945</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308" w:type="dxa"/>
            <w:tcBorders/>
            <w:shd w:fill="EEEEEE" w:val="clear"/>
            <w:vAlign w:val="center"/>
          </w:tcPr>
          <w:p>
            <w:pPr>
              <w:pStyle w:val="TableContents"/>
              <w:bidi w:val="0"/>
              <w:spacing w:before="0" w:after="283"/>
              <w:jc w:val="right"/>
              <w:rPr/>
            </w:pPr>
            <w:r>
              <w:rPr/>
              <w:t>28,729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174" w:type="dxa"/>
            <w:tcBorders/>
            <w:shd w:fill="EEEEEE" w:val="clear"/>
            <w:vAlign w:val="center"/>
          </w:tcPr>
          <w:p>
            <w:pPr>
              <w:pStyle w:val="TableContents"/>
              <w:bidi w:val="0"/>
              <w:spacing w:before="0" w:after="283"/>
              <w:jc w:val="right"/>
              <w:rPr/>
            </w:pPr>
            <w:r>
              <w:rPr/>
              <w:t>136,913</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284" w:type="dxa"/>
            <w:tcBorders/>
            <w:shd w:fill="EEEEEE" w:val="clear"/>
            <w:vAlign w:val="center"/>
          </w:tcPr>
          <w:p>
            <w:pPr>
              <w:pStyle w:val="TableContents"/>
              <w:bidi w:val="0"/>
              <w:spacing w:before="0" w:after="283"/>
              <w:jc w:val="right"/>
              <w:rPr/>
            </w:pPr>
            <w:r>
              <w:rPr/>
              <w:t>61,800</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97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361</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474</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Non-recurring expense</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25</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15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74</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81</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129</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3,501</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b w:val="false"/>
                <w:i w:val="false"/>
                <w:caps w:val="false"/>
                <w:smallCaps w:val="false"/>
              </w:rPr>
            </w:pPr>
            <w:r>
              <w:rPr>
                <w:b w:val="false"/>
                <w:i w:val="false"/>
                <w:caps w:val="false"/>
                <w:smallCaps w:val="false"/>
              </w:rPr>
              <w:t xml:space="preserve">Non-GAAP total gross profit </w:t>
            </w:r>
            <w:r>
              <w:rPr>
                <w:rFonts w:ascii="Times New Roman;Times;Serif" w:hAnsi="Times New Roman;Times;Serif"/>
                <w:b w:val="false"/>
                <w:i w:val="false"/>
                <w:caps w:val="false"/>
                <w:smallCaps w:val="false"/>
                <w:position w:val="7"/>
                <w:sz w:val="16"/>
                <w:sz w:val="20"/>
              </w:rPr>
              <w:t>(a)</w:t>
            </w:r>
          </w:p>
        </w:tc>
        <w:tc>
          <w:tcPr>
            <w:tcW w:w="60"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EEEEEE" w:val="clear"/>
            <w:tcMar>
              <w:bottom w:w="28" w:type="dxa"/>
            </w:tcMar>
            <w:vAlign w:val="center"/>
          </w:tcPr>
          <w:p>
            <w:pPr>
              <w:pStyle w:val="TableContents"/>
              <w:bidi w:val="0"/>
              <w:spacing w:before="0" w:after="283"/>
              <w:jc w:val="right"/>
              <w:rPr/>
            </w:pPr>
            <w:r>
              <w:rPr/>
              <w:t>42,196</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EEEEEE" w:val="clear"/>
            <w:tcMar>
              <w:bottom w:w="28" w:type="dxa"/>
            </w:tcMar>
            <w:vAlign w:val="center"/>
          </w:tcPr>
          <w:p>
            <w:pPr>
              <w:pStyle w:val="TableContents"/>
              <w:bidi w:val="0"/>
              <w:spacing w:before="0" w:after="283"/>
              <w:jc w:val="right"/>
              <w:rPr/>
            </w:pPr>
            <w:r>
              <w:rPr/>
              <w:t>28,961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EEEEEE" w:val="clear"/>
            <w:tcMar>
              <w:bottom w:w="28" w:type="dxa"/>
            </w:tcMar>
            <w:vAlign w:val="center"/>
          </w:tcPr>
          <w:p>
            <w:pPr>
              <w:pStyle w:val="TableContents"/>
              <w:bidi w:val="0"/>
              <w:spacing w:before="0" w:after="283"/>
              <w:jc w:val="right"/>
              <w:rPr/>
            </w:pPr>
            <w:r>
              <w:rPr/>
              <w:t>140,849</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84" w:type="dxa"/>
            <w:tcBorders>
              <w:bottom w:val="double" w:sz="6" w:space="0" w:color="000000"/>
            </w:tcBorders>
            <w:shd w:fill="EEEEEE" w:val="clear"/>
            <w:tcMar>
              <w:bottom w:w="28" w:type="dxa"/>
            </w:tcMar>
            <w:vAlign w:val="center"/>
          </w:tcPr>
          <w:p>
            <w:pPr>
              <w:pStyle w:val="TableContents"/>
              <w:bidi w:val="0"/>
              <w:spacing w:before="0" w:after="283"/>
              <w:jc w:val="right"/>
              <w:rPr/>
            </w:pPr>
            <w:r>
              <w:rPr/>
              <w:t>62,655</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GAAP net loss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017" w:type="dxa"/>
            <w:tcBorders/>
            <w:shd w:fill="EEEEEE" w:val="clear"/>
            <w:vAlign w:val="center"/>
          </w:tcPr>
          <w:p>
            <w:pPr>
              <w:pStyle w:val="TableContents"/>
              <w:bidi w:val="0"/>
              <w:spacing w:before="0" w:after="283"/>
              <w:jc w:val="right"/>
              <w:rPr/>
            </w:pPr>
            <w:r>
              <w:rPr/>
              <w:t>(2,022</w:t>
            </w:r>
          </w:p>
        </w:tc>
        <w:tc>
          <w:tcPr>
            <w:tcW w:w="141"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308" w:type="dxa"/>
            <w:tcBorders/>
            <w:shd w:fill="EEEEEE" w:val="clear"/>
            <w:vAlign w:val="center"/>
          </w:tcPr>
          <w:p>
            <w:pPr>
              <w:pStyle w:val="TableContents"/>
              <w:bidi w:val="0"/>
              <w:spacing w:before="0" w:after="283"/>
              <w:jc w:val="right"/>
              <w:rPr/>
            </w:pPr>
            <w:r>
              <w:rPr/>
              <w:t>(119,692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174" w:type="dxa"/>
            <w:tcBorders/>
            <w:shd w:fill="EEEEEE" w:val="clear"/>
            <w:vAlign w:val="center"/>
          </w:tcPr>
          <w:p>
            <w:pPr>
              <w:pStyle w:val="TableContents"/>
              <w:bidi w:val="0"/>
              <w:spacing w:before="0" w:after="283"/>
              <w:jc w:val="right"/>
              <w:rPr/>
            </w:pPr>
            <w:r>
              <w:rPr/>
              <w:t>(38,228</w:t>
            </w:r>
          </w:p>
        </w:tc>
        <w:tc>
          <w:tcPr>
            <w:tcW w:w="139" w:type="dxa"/>
            <w:tcBorders/>
            <w:shd w:fill="EEEEEE" w:val="clear"/>
            <w:vAlign w:val="center"/>
          </w:tcPr>
          <w:p>
            <w:pPr>
              <w:pStyle w:val="TableContents"/>
              <w:bidi w:val="0"/>
              <w:spacing w:before="0" w:after="283"/>
              <w:jc w:val="left"/>
              <w:rPr/>
            </w:pPr>
            <w:r>
              <w:rPr/>
              <w:t>)</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284" w:type="dxa"/>
            <w:tcBorders/>
            <w:shd w:fill="EEEEEE" w:val="clear"/>
            <w:vAlign w:val="center"/>
          </w:tcPr>
          <w:p>
            <w:pPr>
              <w:pStyle w:val="TableContents"/>
              <w:bidi w:val="0"/>
              <w:spacing w:before="0" w:after="283"/>
              <w:jc w:val="right"/>
              <w:rPr/>
            </w:pPr>
            <w:r>
              <w:rPr/>
              <w:t>(186,733</w:t>
            </w:r>
          </w:p>
        </w:tc>
        <w:tc>
          <w:tcPr>
            <w:tcW w:w="117" w:type="dxa"/>
            <w:tcBorders/>
            <w:shd w:fill="EEEEEE" w:val="clear"/>
            <w:vAlign w:val="center"/>
          </w:tcPr>
          <w:p>
            <w:pPr>
              <w:pStyle w:val="TableContents"/>
              <w:bidi w:val="0"/>
              <w:spacing w:before="0" w:after="283"/>
              <w:jc w:val="left"/>
              <w:rPr/>
            </w:pPr>
            <w:r>
              <w:rPr/>
              <w:t>)</w:t>
            </w:r>
          </w:p>
        </w:tc>
      </w:tr>
      <w:tr>
        <w:trPr/>
        <w:tc>
          <w:tcPr>
            <w:tcW w:w="3808"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2,868</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2,949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11,710</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14,790</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Expenses associated with discontinued products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129</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98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3,501</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300</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Non-cash 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1,043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4,268</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4,201</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Amortization of intangible assets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117</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106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447</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438</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Non-recurring (income)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282</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111,725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1,622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114,232</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Unrealized exchange loss (gain)</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(282</w:t>
            </w:r>
          </w:p>
        </w:tc>
        <w:tc>
          <w:tcPr>
            <w:tcW w:w="141"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576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208</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591</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Tax (benefit) expense related to the above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(2,770</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2,152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749</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19,464</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Non-GAAP net loss</w:t>
            </w:r>
          </w:p>
        </w:tc>
        <w:tc>
          <w:tcPr>
            <w:tcW w:w="60"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EEEEEE" w:val="clear"/>
            <w:tcMar>
              <w:bottom w:w="28" w:type="dxa"/>
            </w:tcMar>
            <w:vAlign w:val="center"/>
          </w:tcPr>
          <w:p>
            <w:pPr>
              <w:pStyle w:val="TableContents"/>
              <w:bidi w:val="0"/>
              <w:spacing w:before="0" w:after="283"/>
              <w:jc w:val="right"/>
              <w:rPr/>
            </w:pPr>
            <w:r>
              <w:rPr/>
              <w:t>(635</w:t>
            </w:r>
          </w:p>
        </w:tc>
        <w:tc>
          <w:tcPr>
            <w:tcW w:w="141"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EEEEEE" w:val="clear"/>
            <w:tcMar>
              <w:bottom w:w="28" w:type="dxa"/>
            </w:tcMar>
            <w:vAlign w:val="center"/>
          </w:tcPr>
          <w:p>
            <w:pPr>
              <w:pStyle w:val="TableContents"/>
              <w:bidi w:val="0"/>
              <w:spacing w:before="0" w:after="283"/>
              <w:jc w:val="right"/>
              <w:rPr/>
            </w:pPr>
            <w:r>
              <w:rPr/>
              <w:t>(1,047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EEEEEE" w:val="clear"/>
            <w:tcMar>
              <w:bottom w:w="28" w:type="dxa"/>
            </w:tcMar>
            <w:vAlign w:val="center"/>
          </w:tcPr>
          <w:p>
            <w:pPr>
              <w:pStyle w:val="TableContents"/>
              <w:bidi w:val="0"/>
              <w:spacing w:before="0" w:after="283"/>
              <w:jc w:val="right"/>
              <w:rPr/>
            </w:pPr>
            <w:r>
              <w:rPr/>
              <w:t>(15,723</w:t>
            </w:r>
          </w:p>
        </w:tc>
        <w:tc>
          <w:tcPr>
            <w:tcW w:w="139" w:type="dxa"/>
            <w:tcBorders/>
            <w:shd w:fill="EEEEEE" w:val="clear"/>
            <w:vAlign w:val="center"/>
          </w:tcPr>
          <w:p>
            <w:pPr>
              <w:pStyle w:val="TableContents"/>
              <w:bidi w:val="0"/>
              <w:spacing w:before="0" w:after="283"/>
              <w:jc w:val="left"/>
              <w:rPr/>
            </w:pPr>
            <w:r>
              <w:rPr/>
              <w:t>)</w:t>
            </w:r>
          </w:p>
        </w:tc>
        <w:tc>
          <w:tcPr>
            <w:tcW w:w="87"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84" w:type="dxa"/>
            <w:tcBorders>
              <w:bottom w:val="double" w:sz="6" w:space="0" w:color="000000"/>
            </w:tcBorders>
            <w:shd w:fill="EEEEEE" w:val="clear"/>
            <w:tcMar>
              <w:bottom w:w="28" w:type="dxa"/>
            </w:tcMar>
            <w:vAlign w:val="center"/>
          </w:tcPr>
          <w:p>
            <w:pPr>
              <w:pStyle w:val="TableContents"/>
              <w:bidi w:val="0"/>
              <w:spacing w:before="0" w:after="283"/>
              <w:jc w:val="right"/>
              <w:rPr/>
            </w:pPr>
            <w:r>
              <w:rPr/>
              <w:t>(32,717</w:t>
            </w:r>
          </w:p>
        </w:tc>
        <w:tc>
          <w:tcPr>
            <w:tcW w:w="117" w:type="dxa"/>
            <w:tcBorders/>
            <w:shd w:fill="EEEEEE" w:val="clear"/>
            <w:vAlign w:val="center"/>
          </w:tcPr>
          <w:p>
            <w:pPr>
              <w:pStyle w:val="TableContents"/>
              <w:bidi w:val="0"/>
              <w:spacing w:before="0" w:after="283"/>
              <w:jc w:val="left"/>
              <w:rPr/>
            </w:pPr>
            <w:r>
              <w:rPr/>
              <w:t>)</w:t>
            </w:r>
          </w:p>
        </w:tc>
      </w:tr>
      <w:tr>
        <w:trPr/>
        <w:tc>
          <w:tcPr>
            <w:tcW w:w="3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GAAP net loss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017" w:type="dxa"/>
            <w:tcBorders/>
            <w:shd w:fill="EEEEEE" w:val="clear"/>
            <w:vAlign w:val="center"/>
          </w:tcPr>
          <w:p>
            <w:pPr>
              <w:pStyle w:val="TableContents"/>
              <w:bidi w:val="0"/>
              <w:spacing w:before="0" w:after="283"/>
              <w:jc w:val="right"/>
              <w:rPr/>
            </w:pPr>
            <w:r>
              <w:rPr/>
              <w:t>(2,022</w:t>
            </w:r>
          </w:p>
        </w:tc>
        <w:tc>
          <w:tcPr>
            <w:tcW w:w="141"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308" w:type="dxa"/>
            <w:tcBorders/>
            <w:shd w:fill="EEEEEE" w:val="clear"/>
            <w:vAlign w:val="center"/>
          </w:tcPr>
          <w:p>
            <w:pPr>
              <w:pStyle w:val="TableContents"/>
              <w:bidi w:val="0"/>
              <w:spacing w:before="0" w:after="283"/>
              <w:jc w:val="right"/>
              <w:rPr/>
            </w:pPr>
            <w:r>
              <w:rPr/>
              <w:t>(119,692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174" w:type="dxa"/>
            <w:tcBorders/>
            <w:shd w:fill="EEEEEE" w:val="clear"/>
            <w:vAlign w:val="center"/>
          </w:tcPr>
          <w:p>
            <w:pPr>
              <w:pStyle w:val="TableContents"/>
              <w:bidi w:val="0"/>
              <w:spacing w:before="0" w:after="283"/>
              <w:jc w:val="right"/>
              <w:rPr/>
            </w:pPr>
            <w:r>
              <w:rPr/>
              <w:t>(38,228</w:t>
            </w:r>
          </w:p>
        </w:tc>
        <w:tc>
          <w:tcPr>
            <w:tcW w:w="139" w:type="dxa"/>
            <w:tcBorders/>
            <w:shd w:fill="EEEEEE" w:val="clear"/>
            <w:vAlign w:val="center"/>
          </w:tcPr>
          <w:p>
            <w:pPr>
              <w:pStyle w:val="TableContents"/>
              <w:bidi w:val="0"/>
              <w:spacing w:before="0" w:after="283"/>
              <w:jc w:val="left"/>
              <w:rPr/>
            </w:pPr>
            <w:r>
              <w:rPr/>
              <w:t>)</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284" w:type="dxa"/>
            <w:tcBorders/>
            <w:shd w:fill="EEEEEE" w:val="clear"/>
            <w:vAlign w:val="center"/>
          </w:tcPr>
          <w:p>
            <w:pPr>
              <w:pStyle w:val="TableContents"/>
              <w:bidi w:val="0"/>
              <w:spacing w:before="0" w:after="283"/>
              <w:jc w:val="right"/>
              <w:rPr/>
            </w:pPr>
            <w:r>
              <w:rPr/>
              <w:t>(186,733</w:t>
            </w:r>
          </w:p>
        </w:tc>
        <w:tc>
          <w:tcPr>
            <w:tcW w:w="117" w:type="dxa"/>
            <w:tcBorders/>
            <w:shd w:fill="EEEEEE" w:val="clear"/>
            <w:vAlign w:val="center"/>
          </w:tcPr>
          <w:p>
            <w:pPr>
              <w:pStyle w:val="TableContents"/>
              <w:bidi w:val="0"/>
              <w:spacing w:before="0" w:after="283"/>
              <w:jc w:val="left"/>
              <w:rPr/>
            </w:pPr>
            <w:r>
              <w:rPr/>
              <w:t>)</w:t>
            </w:r>
          </w:p>
        </w:tc>
      </w:tr>
      <w:tr>
        <w:trPr/>
        <w:tc>
          <w:tcPr>
            <w:tcW w:w="3808"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2,868</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2,949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11,710</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14,790</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Expenses associated with discontinued products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129</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98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3,501</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300</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Non-cash 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1,043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4,268</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4,201</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Amortization of intangible assets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117</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106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447</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438</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Non-recurring expense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282</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111,725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1,622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114,232</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Unrealized exchange loss (gain)</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(282</w:t>
            </w:r>
          </w:p>
        </w:tc>
        <w:tc>
          <w:tcPr>
            <w:tcW w:w="141"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576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208</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591</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7,045</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4,213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22,982</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16,012</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Interest (income) expense, net</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13</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1,390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1,705</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5,953</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Income tax expenses (credit)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(8,477</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(8,477</w:t>
            </w:r>
          </w:p>
        </w:tc>
        <w:tc>
          <w:tcPr>
            <w:tcW w:w="139"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Adjusted EBITDA</w:t>
            </w:r>
          </w:p>
        </w:tc>
        <w:tc>
          <w:tcPr>
            <w:tcW w:w="60"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EEEEEE" w:val="clear"/>
            <w:tcMar>
              <w:bottom w:w="28" w:type="dxa"/>
            </w:tcMar>
            <w:vAlign w:val="center"/>
          </w:tcPr>
          <w:p>
            <w:pPr>
              <w:pStyle w:val="TableContents"/>
              <w:bidi w:val="0"/>
              <w:spacing w:before="0" w:after="283"/>
              <w:jc w:val="right"/>
              <w:rPr/>
            </w:pPr>
            <w:r>
              <w:rPr/>
              <w:t>716</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EEEEEE" w:val="clear"/>
            <w:tcMar>
              <w:bottom w:w="28" w:type="dxa"/>
            </w:tcMar>
            <w:vAlign w:val="center"/>
          </w:tcPr>
          <w:p>
            <w:pPr>
              <w:pStyle w:val="TableContents"/>
              <w:bidi w:val="0"/>
              <w:spacing w:before="0" w:after="283"/>
              <w:jc w:val="right"/>
              <w:rPr/>
            </w:pPr>
            <w:r>
              <w:rPr/>
              <w:t>2,404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EEEEEE" w:val="clear"/>
            <w:tcMar>
              <w:bottom w:w="28" w:type="dxa"/>
            </w:tcMar>
            <w:vAlign w:val="center"/>
          </w:tcPr>
          <w:p>
            <w:pPr>
              <w:pStyle w:val="TableContents"/>
              <w:bidi w:val="0"/>
              <w:spacing w:before="0" w:after="283"/>
              <w:jc w:val="right"/>
              <w:rPr/>
            </w:pPr>
            <w:r>
              <w:rPr/>
              <w:t>(262</w:t>
            </w:r>
          </w:p>
        </w:tc>
        <w:tc>
          <w:tcPr>
            <w:tcW w:w="139" w:type="dxa"/>
            <w:tcBorders/>
            <w:shd w:fill="EEEEEE" w:val="clear"/>
            <w:vAlign w:val="center"/>
          </w:tcPr>
          <w:p>
            <w:pPr>
              <w:pStyle w:val="TableContents"/>
              <w:bidi w:val="0"/>
              <w:spacing w:before="0" w:after="283"/>
              <w:jc w:val="left"/>
              <w:rPr/>
            </w:pPr>
            <w:r>
              <w:rPr/>
              <w:t>)</w:t>
            </w:r>
          </w:p>
        </w:tc>
        <w:tc>
          <w:tcPr>
            <w:tcW w:w="87"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84" w:type="dxa"/>
            <w:tcBorders>
              <w:bottom w:val="double" w:sz="6" w:space="0" w:color="000000"/>
            </w:tcBorders>
            <w:shd w:fill="EEEEEE" w:val="clear"/>
            <w:tcMar>
              <w:bottom w:w="28" w:type="dxa"/>
            </w:tcMar>
            <w:vAlign w:val="center"/>
          </w:tcPr>
          <w:p>
            <w:pPr>
              <w:pStyle w:val="TableContents"/>
              <w:bidi w:val="0"/>
              <w:spacing w:before="0" w:after="283"/>
              <w:jc w:val="right"/>
              <w:rPr/>
            </w:pPr>
            <w:r>
              <w:rPr/>
              <w:t>(30,216</w:t>
            </w:r>
          </w:p>
        </w:tc>
        <w:tc>
          <w:tcPr>
            <w:tcW w:w="117" w:type="dxa"/>
            <w:tcBorders/>
            <w:shd w:fill="EEEEEE" w:val="clear"/>
            <w:vAlign w:val="center"/>
          </w:tcPr>
          <w:p>
            <w:pPr>
              <w:pStyle w:val="TableContents"/>
              <w:bidi w:val="0"/>
              <w:spacing w:before="0" w:after="283"/>
              <w:jc w:val="left"/>
              <w:rPr/>
            </w:pPr>
            <w:r>
              <w:rPr/>
              <w:t>)</w:t>
            </w:r>
          </w:p>
        </w:tc>
      </w:tr>
      <w:tr>
        <w:trPr/>
        <w:tc>
          <w:tcPr>
            <w:tcW w:w="3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GAAP diluted net loss per share</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017" w:type="dxa"/>
            <w:tcBorders/>
            <w:shd w:fill="EEEEEE" w:val="clear"/>
            <w:vAlign w:val="center"/>
          </w:tcPr>
          <w:p>
            <w:pPr>
              <w:pStyle w:val="TableContents"/>
              <w:bidi w:val="0"/>
              <w:spacing w:before="0" w:after="283"/>
              <w:jc w:val="right"/>
              <w:rPr/>
            </w:pPr>
            <w:r>
              <w:rPr/>
              <w:t>(0.03</w:t>
            </w:r>
          </w:p>
        </w:tc>
        <w:tc>
          <w:tcPr>
            <w:tcW w:w="141"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308" w:type="dxa"/>
            <w:tcBorders/>
            <w:shd w:fill="EEEEEE" w:val="clear"/>
            <w:vAlign w:val="center"/>
          </w:tcPr>
          <w:p>
            <w:pPr>
              <w:pStyle w:val="TableContents"/>
              <w:bidi w:val="0"/>
              <w:spacing w:before="0" w:after="283"/>
              <w:jc w:val="right"/>
              <w:rPr/>
            </w:pPr>
            <w:r>
              <w:rPr/>
              <w:t>(2.60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174" w:type="dxa"/>
            <w:tcBorders/>
            <w:shd w:fill="EEEEEE" w:val="clear"/>
            <w:vAlign w:val="center"/>
          </w:tcPr>
          <w:p>
            <w:pPr>
              <w:pStyle w:val="TableContents"/>
              <w:bidi w:val="0"/>
              <w:spacing w:before="0" w:after="283"/>
              <w:jc w:val="right"/>
              <w:rPr/>
            </w:pPr>
            <w:r>
              <w:rPr/>
              <w:t>(0.64</w:t>
            </w:r>
          </w:p>
        </w:tc>
        <w:tc>
          <w:tcPr>
            <w:tcW w:w="139" w:type="dxa"/>
            <w:tcBorders/>
            <w:shd w:fill="EEEEEE" w:val="clear"/>
            <w:vAlign w:val="center"/>
          </w:tcPr>
          <w:p>
            <w:pPr>
              <w:pStyle w:val="TableContents"/>
              <w:bidi w:val="0"/>
              <w:spacing w:before="0" w:after="283"/>
              <w:jc w:val="left"/>
              <w:rPr/>
            </w:pPr>
            <w:r>
              <w:rPr/>
              <w:t>)</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w:t>
            </w:r>
          </w:p>
        </w:tc>
        <w:tc>
          <w:tcPr>
            <w:tcW w:w="1284" w:type="dxa"/>
            <w:tcBorders/>
            <w:shd w:fill="EEEEEE" w:val="clear"/>
            <w:vAlign w:val="center"/>
          </w:tcPr>
          <w:p>
            <w:pPr>
              <w:pStyle w:val="TableContents"/>
              <w:bidi w:val="0"/>
              <w:spacing w:before="0" w:after="283"/>
              <w:jc w:val="right"/>
              <w:rPr/>
            </w:pPr>
            <w:r>
              <w:rPr/>
              <w:t>(4.50</w:t>
            </w:r>
          </w:p>
        </w:tc>
        <w:tc>
          <w:tcPr>
            <w:tcW w:w="117" w:type="dxa"/>
            <w:tcBorders/>
            <w:shd w:fill="EEEEEE" w:val="clear"/>
            <w:vAlign w:val="center"/>
          </w:tcPr>
          <w:p>
            <w:pPr>
              <w:pStyle w:val="TableContents"/>
              <w:bidi w:val="0"/>
              <w:spacing w:before="0" w:after="283"/>
              <w:jc w:val="left"/>
              <w:rPr/>
            </w:pPr>
            <w:r>
              <w:rPr/>
              <w:t>)</w:t>
            </w:r>
          </w:p>
        </w:tc>
      </w:tr>
      <w:tr>
        <w:trPr/>
        <w:tc>
          <w:tcPr>
            <w:tcW w:w="3808"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0.04</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0.20</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0.36</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Expenses associated with discontinued products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0.06</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0.01</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Non-cash expenses associated with discontinued products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0.01</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0.07</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0.10</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Amortization of intangible assets</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0.00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0.01</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0.01</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Non-recurring (income)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0.01</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0.03</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2.75</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Unrealized exchange loss (gain)</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0.01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0.01</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Non-GAAP tax benefit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pPr>
            <w:r>
              <w:rPr/>
              <w:t>(0.04</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0.01</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pPr>
            <w:r>
              <w:rPr/>
              <w:t>0.47</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Non-GAAP diluted net loss per share</w:t>
            </w:r>
          </w:p>
        </w:tc>
        <w:tc>
          <w:tcPr>
            <w:tcW w:w="60"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17" w:type="dxa"/>
            <w:tcBorders>
              <w:bottom w:val="double" w:sz="6" w:space="0" w:color="000000"/>
            </w:tcBorders>
            <w:shd w:fill="EEEEEE" w:val="clear"/>
            <w:tcMar>
              <w:bottom w:w="28" w:type="dxa"/>
            </w:tcMar>
            <w:vAlign w:val="center"/>
          </w:tcPr>
          <w:p>
            <w:pPr>
              <w:pStyle w:val="TableContents"/>
              <w:bidi w:val="0"/>
              <w:spacing w:before="0" w:after="283"/>
              <w:jc w:val="right"/>
              <w:rPr/>
            </w:pPr>
            <w:r>
              <w:rPr/>
              <w:t>(0.01</w:t>
            </w:r>
          </w:p>
        </w:tc>
        <w:tc>
          <w:tcPr>
            <w:tcW w:w="141" w:type="dxa"/>
            <w:tcBorders/>
            <w:shd w:fill="EEEEEE" w:val="clear"/>
            <w:vAlign w:val="center"/>
          </w:tcPr>
          <w:p>
            <w:pPr>
              <w:pStyle w:val="TableContents"/>
              <w:bidi w:val="0"/>
              <w:spacing w:before="0" w:after="283"/>
              <w:jc w:val="left"/>
              <w:rPr/>
            </w:pPr>
            <w:r>
              <w:rPr/>
              <w:t>)</w:t>
            </w:r>
          </w:p>
        </w:tc>
        <w:tc>
          <w:tcPr>
            <w:tcW w:w="89" w:type="dxa"/>
            <w:tcBorders/>
            <w:shd w:fill="EEEEEE" w:val="clear"/>
            <w:vAlign w:val="center"/>
          </w:tcPr>
          <w:p>
            <w:pPr>
              <w:pStyle w:val="TableContents"/>
              <w:bidi w:val="0"/>
              <w:spacing w:before="0" w:after="283"/>
              <w:jc w:val="left"/>
              <w:rPr/>
            </w:pPr>
            <w:r>
              <w:rPr/>
              <w:t> </w:t>
            </w:r>
          </w:p>
        </w:tc>
        <w:tc>
          <w:tcPr>
            <w:tcW w:w="20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EEEEEE" w:val="clear"/>
            <w:tcMar>
              <w:bottom w:w="28" w:type="dxa"/>
            </w:tcMar>
            <w:vAlign w:val="center"/>
          </w:tcPr>
          <w:p>
            <w:pPr>
              <w:pStyle w:val="TableContents"/>
              <w:bidi w:val="0"/>
              <w:spacing w:before="0" w:after="283"/>
              <w:jc w:val="right"/>
              <w:rPr/>
            </w:pPr>
            <w:r>
              <w:rPr/>
              <w:t>(0.02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EEEEEE" w:val="clear"/>
            <w:tcMar>
              <w:bottom w:w="28" w:type="dxa"/>
            </w:tcMar>
            <w:vAlign w:val="center"/>
          </w:tcPr>
          <w:p>
            <w:pPr>
              <w:pStyle w:val="TableContents"/>
              <w:bidi w:val="0"/>
              <w:spacing w:before="0" w:after="283"/>
              <w:jc w:val="right"/>
              <w:rPr/>
            </w:pPr>
            <w:r>
              <w:rPr/>
              <w:t>(0.26</w:t>
            </w:r>
          </w:p>
        </w:tc>
        <w:tc>
          <w:tcPr>
            <w:tcW w:w="139" w:type="dxa"/>
            <w:tcBorders/>
            <w:shd w:fill="EEEEEE" w:val="clear"/>
            <w:vAlign w:val="center"/>
          </w:tcPr>
          <w:p>
            <w:pPr>
              <w:pStyle w:val="TableContents"/>
              <w:bidi w:val="0"/>
              <w:spacing w:before="0" w:after="283"/>
              <w:jc w:val="left"/>
              <w:rPr/>
            </w:pPr>
            <w:r>
              <w:rPr/>
              <w:t>)</w:t>
            </w:r>
          </w:p>
        </w:tc>
        <w:tc>
          <w:tcPr>
            <w:tcW w:w="87" w:type="dxa"/>
            <w:tcBorders/>
            <w:shd w:fill="EEEEEE" w:val="clear"/>
            <w:vAlign w:val="center"/>
          </w:tcPr>
          <w:p>
            <w:pPr>
              <w:pStyle w:val="TableContents"/>
              <w:bidi w:val="0"/>
              <w:spacing w:before="0" w:after="283"/>
              <w:jc w:val="left"/>
              <w:rPr/>
            </w:pPr>
            <w:r>
              <w:rPr/>
              <w:t> </w:t>
            </w:r>
          </w:p>
        </w:tc>
        <w:tc>
          <w:tcPr>
            <w:tcW w:w="20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84" w:type="dxa"/>
            <w:tcBorders>
              <w:bottom w:val="double" w:sz="6" w:space="0" w:color="000000"/>
            </w:tcBorders>
            <w:shd w:fill="EEEEEE" w:val="clear"/>
            <w:tcMar>
              <w:bottom w:w="28" w:type="dxa"/>
            </w:tcMar>
            <w:vAlign w:val="center"/>
          </w:tcPr>
          <w:p>
            <w:pPr>
              <w:pStyle w:val="TableContents"/>
              <w:bidi w:val="0"/>
              <w:spacing w:before="0" w:after="283"/>
              <w:jc w:val="right"/>
              <w:rPr/>
            </w:pPr>
            <w:r>
              <w:rPr/>
              <w:t>(0.79</w:t>
            </w:r>
          </w:p>
        </w:tc>
        <w:tc>
          <w:tcPr>
            <w:tcW w:w="117" w:type="dxa"/>
            <w:tcBorders/>
            <w:shd w:fill="EEEEEE" w:val="clear"/>
            <w:vAlign w:val="center"/>
          </w:tcPr>
          <w:p>
            <w:pPr>
              <w:pStyle w:val="TableContents"/>
              <w:bidi w:val="0"/>
              <w:spacing w:before="0" w:after="283"/>
              <w:jc w:val="left"/>
              <w:rPr/>
            </w:pPr>
            <w:r>
              <w:rPr/>
              <w:t>)</w:t>
            </w:r>
          </w:p>
        </w:tc>
      </w:tr>
      <w:tr>
        <w:trPr/>
        <w:tc>
          <w:tcPr>
            <w:tcW w:w="38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3808" w:type="dxa"/>
            <w:tcBorders/>
            <w:shd w:fill="EEEEEE" w:val="clear"/>
            <w:vAlign w:val="center"/>
          </w:tcPr>
          <w:p>
            <w:pPr>
              <w:pStyle w:val="TableContents"/>
              <w:bidi w:val="0"/>
              <w:spacing w:before="0" w:after="283"/>
              <w:jc w:val="left"/>
              <w:rPr/>
            </w:pPr>
            <w:r>
              <w:rPr/>
              <w:t>Shares used to compute diluted loss per share</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017" w:type="dxa"/>
            <w:tcBorders/>
            <w:shd w:fill="EEEEEE" w:val="clear"/>
            <w:vAlign w:val="center"/>
          </w:tcPr>
          <w:p>
            <w:pPr>
              <w:pStyle w:val="TableContents"/>
              <w:bidi w:val="0"/>
              <w:spacing w:before="0" w:after="283"/>
              <w:jc w:val="right"/>
              <w:rPr/>
            </w:pPr>
            <w:r>
              <w:rPr/>
              <w:t>70,336</w:t>
            </w:r>
          </w:p>
        </w:tc>
        <w:tc>
          <w:tcPr>
            <w:tcW w:w="141"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 </w:t>
            </w:r>
          </w:p>
        </w:tc>
        <w:tc>
          <w:tcPr>
            <w:tcW w:w="1308" w:type="dxa"/>
            <w:tcBorders/>
            <w:shd w:fill="EEEEEE" w:val="clear"/>
            <w:vAlign w:val="center"/>
          </w:tcPr>
          <w:p>
            <w:pPr>
              <w:pStyle w:val="TableContents"/>
              <w:bidi w:val="0"/>
              <w:spacing w:before="0" w:after="283"/>
              <w:jc w:val="right"/>
              <w:rPr/>
            </w:pPr>
            <w:r>
              <w:rPr/>
              <w:t>46,057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174" w:type="dxa"/>
            <w:tcBorders/>
            <w:shd w:fill="EEEEEE" w:val="clear"/>
            <w:vAlign w:val="center"/>
          </w:tcPr>
          <w:p>
            <w:pPr>
              <w:pStyle w:val="TableContents"/>
              <w:bidi w:val="0"/>
              <w:spacing w:before="0" w:after="283"/>
              <w:jc w:val="right"/>
              <w:rPr/>
            </w:pPr>
            <w:r>
              <w:rPr/>
              <w:t>60,184</w:t>
            </w:r>
          </w:p>
        </w:tc>
        <w:tc>
          <w:tcPr>
            <w:tcW w:w="139" w:type="dxa"/>
            <w:tcBorders/>
            <w:shd w:fill="EEEEEE" w:val="clear"/>
            <w:vAlign w:val="center"/>
          </w:tcPr>
          <w:p>
            <w:pPr>
              <w:pStyle w:val="TableContents"/>
              <w:bidi w:val="0"/>
              <w:spacing w:before="0" w:after="283"/>
              <w:jc w:val="left"/>
              <w:rPr/>
            </w:pPr>
            <w:r>
              <w:rPr/>
              <w:t> </w:t>
            </w:r>
          </w:p>
        </w:tc>
        <w:tc>
          <w:tcPr>
            <w:tcW w:w="87" w:type="dxa"/>
            <w:tcBorders/>
            <w:shd w:fill="EEEEEE" w:val="clear"/>
            <w:vAlign w:val="center"/>
          </w:tcPr>
          <w:p>
            <w:pPr>
              <w:pStyle w:val="TableContents"/>
              <w:bidi w:val="0"/>
              <w:spacing w:before="0" w:after="283"/>
              <w:jc w:val="left"/>
              <w:rPr/>
            </w:pPr>
            <w:r>
              <w:rPr/>
              <w:t> </w:t>
            </w:r>
          </w:p>
        </w:tc>
        <w:tc>
          <w:tcPr>
            <w:tcW w:w="205" w:type="dxa"/>
            <w:tcBorders/>
            <w:shd w:fill="EEEEEE" w:val="clear"/>
            <w:vAlign w:val="center"/>
          </w:tcPr>
          <w:p>
            <w:pPr>
              <w:pStyle w:val="TableContents"/>
              <w:bidi w:val="0"/>
              <w:spacing w:before="0" w:after="283"/>
              <w:jc w:val="left"/>
              <w:rPr/>
            </w:pPr>
            <w:r>
              <w:rPr/>
              <w:t> </w:t>
            </w:r>
          </w:p>
        </w:tc>
        <w:tc>
          <w:tcPr>
            <w:tcW w:w="1284" w:type="dxa"/>
            <w:tcBorders/>
            <w:shd w:fill="EEEEEE" w:val="clear"/>
            <w:vAlign w:val="center"/>
          </w:tcPr>
          <w:p>
            <w:pPr>
              <w:pStyle w:val="TableContents"/>
              <w:bidi w:val="0"/>
              <w:spacing w:before="0" w:after="283"/>
              <w:jc w:val="right"/>
              <w:rPr/>
            </w:pPr>
            <w:r>
              <w:rPr/>
              <w:t>41,539</w:t>
            </w:r>
          </w:p>
        </w:tc>
        <w:tc>
          <w:tcPr>
            <w:tcW w:w="117" w:type="dxa"/>
            <w:tcBorders/>
            <w:shd w:fill="EEEEEE" w:val="clear"/>
            <w:vAlign w:val="center"/>
          </w:tcPr>
          <w:p>
            <w:pPr>
              <w:pStyle w:val="TableContents"/>
              <w:bidi w:val="0"/>
              <w:spacing w:before="0" w:after="283"/>
              <w:jc w:val="left"/>
              <w:rPr/>
            </w:pPr>
            <w:r>
              <w:rPr/>
              <w:t> </w:t>
            </w:r>
          </w:p>
        </w:tc>
      </w:tr>
      <w:tr>
        <w:trPr/>
        <w:tc>
          <w:tcPr>
            <w:tcW w:w="3808" w:type="dxa"/>
            <w:tcBorders/>
            <w:shd w:fill="FFFFFF" w:val="clear"/>
            <w:vAlign w:val="center"/>
          </w:tcPr>
          <w:p>
            <w:pPr>
              <w:pStyle w:val="TableContents"/>
              <w:bidi w:val="0"/>
              <w:spacing w:before="0" w:after="283"/>
              <w:jc w:val="left"/>
              <w:rPr/>
            </w:pPr>
            <w:r>
              <w:rPr/>
              <w:t>Shares used to compute diluted earnings per share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pPr>
            <w:r>
              <w:rPr/>
              <w:t>70,336</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46,057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60,184</w:t>
            </w:r>
          </w:p>
        </w:tc>
        <w:tc>
          <w:tcPr>
            <w:tcW w:w="13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41,539</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Provided for the purpose of calculating gross profit as a percentage of revenue (gross margin).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3365</Words>
  <Characters>18605</Characters>
  <CharactersWithSpaces>22619</CharactersWithSpaces>
  <Paragraphs>1944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