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 w:lineRule="exact"/>
        <w:rPr>
          <w:sz w:val="24"/>
          <w:szCs w:val="24"/>
          <w:color w:val="auto"/>
        </w:rPr>
      </w:pPr>
    </w:p>
    <w:p>
      <w:pPr>
        <w:ind w:left="4180" w:right="3140" w:hanging="4172"/>
        <w:spacing w:after="0" w:line="523" w:lineRule="auto"/>
        <w:tabs>
          <w:tab w:leader="none" w:pos="35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ind w:left="55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5100" w:type="dxa"/>
            <w:vAlign w:val="bottom"/>
          </w:tcPr>
          <w:p>
            <w:pPr>
              <w:ind w:left="2960"/>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6"/>
                <w:szCs w:val="16"/>
                <w:b w:val="1"/>
                <w:bCs w:val="1"/>
                <w:color w:val="auto"/>
                <w:w w:val="92"/>
              </w:rPr>
              <w:t>to</w:t>
            </w:r>
          </w:p>
        </w:tc>
        <w:tc>
          <w:tcPr>
            <w:tcW w:w="780" w:type="dxa"/>
            <w:vAlign w:val="bottom"/>
            <w:tcBorders>
              <w:bottom w:val="single" w:sz="8" w:color="auto"/>
            </w:tcBorders>
          </w:tcPr>
          <w:p>
            <w:pPr>
              <w:spacing w:after="0"/>
              <w:rPr>
                <w:sz w:val="16"/>
                <w:szCs w:val="16"/>
                <w:color w:val="auto"/>
              </w:rPr>
            </w:pPr>
          </w:p>
        </w:tc>
        <w:tc>
          <w:tcPr>
            <w:tcW w:w="2140" w:type="dxa"/>
            <w:vAlign w:val="bottom"/>
          </w:tcPr>
          <w:p>
            <w:pPr>
              <w:spacing w:after="0"/>
              <w:rPr>
                <w:sz w:val="16"/>
                <w:szCs w:val="16"/>
                <w:color w:val="auto"/>
              </w:rPr>
            </w:pPr>
          </w:p>
        </w:tc>
      </w:tr>
      <w:tr>
        <w:trPr>
          <w:trHeight w:val="420"/>
        </w:trPr>
        <w:tc>
          <w:tcPr>
            <w:tcW w:w="904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2"/>
              </w:rPr>
              <w:t>Commission File Number: 001-36083</w:t>
            </w:r>
          </w:p>
        </w:tc>
      </w:tr>
      <w:tr>
        <w:trPr>
          <w:trHeight w:val="397"/>
        </w:trPr>
        <w:tc>
          <w:tcPr>
            <w:tcW w:w="5940" w:type="dxa"/>
            <w:vAlign w:val="bottom"/>
            <w:gridSpan w:val="3"/>
          </w:tcPr>
          <w:p>
            <w:pPr>
              <w:jc w:val="center"/>
              <w:ind w:left="3799"/>
              <w:spacing w:after="0"/>
              <w:rPr>
                <w:sz w:val="20"/>
                <w:szCs w:val="20"/>
                <w:color w:val="auto"/>
              </w:rPr>
            </w:pPr>
            <w:r>
              <w:rPr>
                <w:rFonts w:ascii="Arial" w:cs="Arial" w:eastAsia="Arial" w:hAnsi="Arial"/>
                <w:sz w:val="16"/>
                <w:szCs w:val="16"/>
                <w:b w:val="1"/>
                <w:bCs w:val="1"/>
                <w:color w:val="auto"/>
                <w:w w:val="91"/>
              </w:rPr>
              <w:t>Applied Optoelectronics, Inc.</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3"/>
        </w:trPr>
        <w:tc>
          <w:tcPr>
            <w:tcW w:w="9040" w:type="dxa"/>
            <w:vAlign w:val="bottom"/>
            <w:gridSpan w:val="6"/>
          </w:tcPr>
          <w:p>
            <w:pPr>
              <w:ind w:left="308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03"/>
        </w:trPr>
        <w:tc>
          <w:tcPr>
            <w:tcW w:w="5940" w:type="dxa"/>
            <w:vAlign w:val="bottom"/>
            <w:gridSpan w:val="3"/>
          </w:tcPr>
          <w:p>
            <w:pPr>
              <w:jc w:val="center"/>
              <w:ind w:right="1760"/>
              <w:spacing w:after="0"/>
              <w:rPr>
                <w:sz w:val="20"/>
                <w:szCs w:val="20"/>
                <w:color w:val="auto"/>
              </w:rPr>
            </w:pPr>
            <w:r>
              <w:rPr>
                <w:rFonts w:ascii="Arial" w:cs="Arial" w:eastAsia="Arial" w:hAnsi="Arial"/>
                <w:sz w:val="16"/>
                <w:szCs w:val="16"/>
                <w:b w:val="1"/>
                <w:bCs w:val="1"/>
                <w:color w:val="auto"/>
                <w:w w:val="93"/>
              </w:rPr>
              <w:t>Delaware</w:t>
            </w:r>
          </w:p>
        </w:tc>
        <w:tc>
          <w:tcPr>
            <w:tcW w:w="310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76-0533927</w:t>
            </w:r>
          </w:p>
        </w:tc>
      </w:tr>
      <w:tr>
        <w:trPr>
          <w:trHeight w:val="203"/>
        </w:trPr>
        <w:tc>
          <w:tcPr>
            <w:tcW w:w="5940" w:type="dxa"/>
            <w:vAlign w:val="bottom"/>
            <w:gridSpan w:val="3"/>
          </w:tcPr>
          <w:p>
            <w:pPr>
              <w:jc w:val="center"/>
              <w:ind w:right="176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180" w:type="dxa"/>
            <w:vAlign w:val="bottom"/>
          </w:tcPr>
          <w:p>
            <w:pPr>
              <w:spacing w:after="0"/>
              <w:rPr>
                <w:sz w:val="17"/>
                <w:szCs w:val="17"/>
                <w:color w:val="auto"/>
              </w:rPr>
            </w:pPr>
          </w:p>
        </w:tc>
        <w:tc>
          <w:tcPr>
            <w:tcW w:w="292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03"/>
        </w:trPr>
        <w:tc>
          <w:tcPr>
            <w:tcW w:w="5940" w:type="dxa"/>
            <w:vAlign w:val="bottom"/>
            <w:gridSpan w:val="3"/>
          </w:tcPr>
          <w:p>
            <w:pPr>
              <w:jc w:val="center"/>
              <w:ind w:left="3819"/>
              <w:spacing w:after="0"/>
              <w:rPr>
                <w:sz w:val="20"/>
                <w:szCs w:val="20"/>
                <w:color w:val="auto"/>
              </w:rPr>
            </w:pPr>
            <w:r>
              <w:rPr>
                <w:rFonts w:ascii="Arial" w:cs="Arial" w:eastAsia="Arial" w:hAnsi="Arial"/>
                <w:sz w:val="16"/>
                <w:szCs w:val="16"/>
                <w:b w:val="1"/>
                <w:bCs w:val="1"/>
                <w:color w:val="auto"/>
                <w:w w:val="90"/>
              </w:rPr>
              <w:t>13139 Jess Pirtle Blvd.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10"/>
        </w:trPr>
        <w:tc>
          <w:tcPr>
            <w:tcW w:w="5940" w:type="dxa"/>
            <w:vAlign w:val="bottom"/>
            <w:gridSpan w:val="3"/>
          </w:tcPr>
          <w:p>
            <w:pPr>
              <w:jc w:val="center"/>
              <w:ind w:left="3839"/>
              <w:spacing w:after="0"/>
              <w:rPr>
                <w:sz w:val="20"/>
                <w:szCs w:val="20"/>
                <w:color w:val="auto"/>
              </w:rPr>
            </w:pPr>
            <w:r>
              <w:rPr>
                <w:rFonts w:ascii="Arial" w:cs="Arial" w:eastAsia="Arial" w:hAnsi="Arial"/>
                <w:sz w:val="16"/>
                <w:szCs w:val="16"/>
                <w:b w:val="1"/>
                <w:bCs w:val="1"/>
                <w:color w:val="auto"/>
                <w:w w:val="94"/>
              </w:rPr>
              <w:t>Sugar Land, TX 77478</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jc w:val="center"/>
        <w:ind w:right="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13" w:lineRule="exact"/>
        <w:rPr>
          <w:sz w:val="24"/>
          <w:szCs w:val="24"/>
          <w:color w:val="auto"/>
        </w:rPr>
      </w:pPr>
    </w:p>
    <w:p>
      <w:pPr>
        <w:ind w:left="5600" w:hanging="392"/>
        <w:spacing w:after="0"/>
        <w:tabs>
          <w:tab w:leader="none" w:pos="56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295-1800</w:t>
      </w:r>
    </w:p>
    <w:p>
      <w:pPr>
        <w:spacing w:after="0" w:line="26"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(Registrant’s telephone number)</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4240" w:type="dxa"/>
            <w:vAlign w:val="bottom"/>
          </w:tcPr>
          <w:p>
            <w:pPr>
              <w:ind w:left="400"/>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200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9"/>
        </w:trPr>
        <w:tc>
          <w:tcPr>
            <w:tcW w:w="4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Title of each class</w:t>
            </w:r>
          </w:p>
        </w:tc>
        <w:tc>
          <w:tcPr>
            <w:tcW w:w="20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color w:val="auto"/>
                <w:w w:val="93"/>
              </w:rPr>
              <w:t>Trading Symbol(s)</w:t>
            </w:r>
          </w:p>
        </w:tc>
        <w:tc>
          <w:tcPr>
            <w:tcW w:w="518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w w:val="91"/>
              </w:rPr>
              <w:t>Trading Name of each exchange on which registered</w:t>
            </w:r>
          </w:p>
        </w:tc>
      </w:tr>
      <w:tr>
        <w:trPr>
          <w:trHeight w:val="206"/>
        </w:trPr>
        <w:tc>
          <w:tcPr>
            <w:tcW w:w="4240" w:type="dxa"/>
            <w:vAlign w:val="bottom"/>
          </w:tcPr>
          <w:p>
            <w:pPr>
              <w:jc w:val="center"/>
              <w:ind w:right="59"/>
              <w:spacing w:after="0"/>
              <w:rPr>
                <w:sz w:val="20"/>
                <w:szCs w:val="20"/>
                <w:color w:val="auto"/>
              </w:rPr>
            </w:pPr>
            <w:r>
              <w:rPr>
                <w:rFonts w:ascii="Arial" w:cs="Arial" w:eastAsia="Arial" w:hAnsi="Arial"/>
                <w:sz w:val="16"/>
                <w:szCs w:val="16"/>
                <w:color w:val="auto"/>
                <w:w w:val="91"/>
              </w:rPr>
              <w:t>Common Stock, Par value $0.001</w:t>
            </w:r>
          </w:p>
        </w:tc>
        <w:tc>
          <w:tcPr>
            <w:tcW w:w="2000" w:type="dxa"/>
            <w:vAlign w:val="bottom"/>
          </w:tcPr>
          <w:p>
            <w:pPr>
              <w:jc w:val="center"/>
              <w:ind w:right="479"/>
              <w:spacing w:after="0"/>
              <w:rPr>
                <w:sz w:val="20"/>
                <w:szCs w:val="20"/>
                <w:color w:val="auto"/>
              </w:rPr>
            </w:pPr>
            <w:r>
              <w:rPr>
                <w:rFonts w:ascii="Arial" w:cs="Arial" w:eastAsia="Arial" w:hAnsi="Arial"/>
                <w:sz w:val="16"/>
                <w:szCs w:val="16"/>
                <w:color w:val="auto"/>
              </w:rPr>
              <w:t>AAOI</w:t>
            </w:r>
          </w:p>
        </w:tc>
        <w:tc>
          <w:tcPr>
            <w:tcW w:w="5180" w:type="dxa"/>
            <w:vAlign w:val="bottom"/>
          </w:tcPr>
          <w:p>
            <w:pPr>
              <w:jc w:val="center"/>
              <w:ind w:right="319"/>
              <w:spacing w:after="0"/>
              <w:rPr>
                <w:sz w:val="20"/>
                <w:szCs w:val="20"/>
                <w:color w:val="auto"/>
              </w:rPr>
            </w:pPr>
            <w:r>
              <w:rPr>
                <w:rFonts w:ascii="Arial" w:cs="Arial" w:eastAsia="Arial" w:hAnsi="Arial"/>
                <w:sz w:val="16"/>
                <w:szCs w:val="16"/>
                <w:color w:val="auto"/>
                <w:w w:val="96"/>
              </w:rPr>
              <w:t>NASDAQ Global Market</w:t>
            </w:r>
          </w:p>
        </w:tc>
      </w:tr>
    </w:tbl>
    <w:p>
      <w:pPr>
        <w:spacing w:after="0" w:line="189"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91" w:lineRule="exact"/>
        <w:rPr>
          <w:sz w:val="24"/>
          <w:szCs w:val="24"/>
          <w:color w:val="auto"/>
        </w:rPr>
      </w:pPr>
    </w:p>
    <w:p>
      <w:pPr>
        <w:ind w:left="400" w:right="1840"/>
        <w:spacing w:after="0" w:line="33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of 1933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ind w:right="120" w:firstLine="38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firstLine="389"/>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86" w:lineRule="exact"/>
        <w:rPr>
          <w:sz w:val="24"/>
          <w:szCs w:val="24"/>
          <w:color w:val="auto"/>
        </w:rPr>
      </w:pPr>
    </w:p>
    <w:p>
      <w:pPr>
        <w:ind w:right="100" w:firstLine="41"/>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tbl>
      <w:tblPr>
        <w:tblLayout w:type="fixed"/>
        <w:tblInd w:w="660" w:type="dxa"/>
        <w:tblCellMar>
          <w:top w:w="0" w:type="dxa"/>
          <w:left w:w="0" w:type="dxa"/>
          <w:bottom w:w="0" w:type="dxa"/>
          <w:right w:w="0" w:type="dxa"/>
        </w:tblCellMar>
      </w:tblPr>
      <w:tr>
        <w:trPr>
          <w:trHeight w:val="171"/>
        </w:trPr>
        <w:tc>
          <w:tcPr>
            <w:tcW w:w="2060" w:type="dxa"/>
            <w:vAlign w:val="bottom"/>
          </w:tcPr>
          <w:p>
            <w:pPr>
              <w:spacing w:after="0" w:line="171" w:lineRule="exact"/>
              <w:rPr>
                <w:sz w:val="20"/>
                <w:szCs w:val="20"/>
                <w:color w:val="auto"/>
              </w:rPr>
            </w:pPr>
            <w:r>
              <w:rPr>
                <w:rFonts w:ascii="Arial" w:cs="Arial" w:eastAsia="Arial" w:hAnsi="Arial"/>
                <w:sz w:val="16"/>
                <w:szCs w:val="16"/>
                <w:color w:val="auto"/>
              </w:rPr>
              <w:t>Large accelerated filer</w:t>
            </w:r>
          </w:p>
        </w:tc>
        <w:tc>
          <w:tcPr>
            <w:tcW w:w="16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880"/>
              <w:spacing w:after="0" w:line="171" w:lineRule="exact"/>
              <w:rPr>
                <w:sz w:val="20"/>
                <w:szCs w:val="20"/>
                <w:color w:val="auto"/>
              </w:rPr>
            </w:pPr>
            <w:r>
              <w:rPr>
                <w:rFonts w:ascii="Arial" w:cs="Arial" w:eastAsia="Arial" w:hAnsi="Arial"/>
                <w:sz w:val="16"/>
                <w:szCs w:val="16"/>
                <w:color w:val="auto"/>
              </w:rPr>
              <w:t>Accelerated filer</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880"/>
              <w:spacing w:after="0"/>
              <w:rPr>
                <w:sz w:val="20"/>
                <w:szCs w:val="20"/>
                <w:color w:val="auto"/>
              </w:rPr>
            </w:pPr>
            <w:r>
              <w:rPr>
                <w:rFonts w:ascii="Arial" w:cs="Arial" w:eastAsia="Arial" w:hAnsi="Arial"/>
                <w:sz w:val="16"/>
                <w:szCs w:val="16"/>
                <w:color w:val="auto"/>
              </w:rPr>
              <w:t>Smaller reporting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44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92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ind w:right="440" w:firstLine="3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4"/>
          <w:szCs w:val="24"/>
          <w:color w:val="auto"/>
        </w:rPr>
      </w:pPr>
    </w:p>
    <w:p>
      <w:pPr>
        <w:ind w:left="4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60" w:firstLine="389"/>
        <w:spacing w:after="0" w:line="273" w:lineRule="auto"/>
        <w:rPr>
          <w:sz w:val="20"/>
          <w:szCs w:val="20"/>
          <w:color w:val="auto"/>
        </w:rPr>
      </w:pPr>
      <w:r>
        <w:rPr>
          <w:rFonts w:ascii="Arial" w:cs="Arial" w:eastAsia="Arial" w:hAnsi="Arial"/>
          <w:sz w:val="16"/>
          <w:szCs w:val="16"/>
          <w:color w:val="auto"/>
        </w:rPr>
        <w:t>As of June 30, 2019, the aggregate market value of the common stock held by non-affiliates of the Registrant was $160,183,854 based upon the closing sales price of the Registrant’s common stock as reported on the NASDAQ Global Markets on June 28, 2019 of $10.28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7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February 20, 2020, the Registrant had 20,231,435 outstanding shares of Common Stock.</w:t>
      </w:r>
    </w:p>
    <w:p>
      <w:pPr>
        <w:spacing w:after="0" w:line="221"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DOCUMENTS INCORPORATED BY REFERENCE</w:t>
      </w:r>
    </w:p>
    <w:p>
      <w:pPr>
        <w:spacing w:after="0" w:line="22" w:lineRule="exact"/>
        <w:rPr>
          <w:sz w:val="24"/>
          <w:szCs w:val="24"/>
          <w:color w:val="auto"/>
        </w:rPr>
      </w:pPr>
    </w:p>
    <w:p>
      <w:pPr>
        <w:ind w:right="80" w:firstLine="389"/>
        <w:spacing w:after="0" w:line="276" w:lineRule="auto"/>
        <w:rPr>
          <w:sz w:val="20"/>
          <w:szCs w:val="20"/>
          <w:color w:val="auto"/>
        </w:rPr>
      </w:pPr>
      <w:r>
        <w:rPr>
          <w:rFonts w:ascii="Arial" w:cs="Arial" w:eastAsia="Arial" w:hAnsi="Arial"/>
          <w:sz w:val="16"/>
          <w:szCs w:val="16"/>
          <w:color w:val="auto"/>
        </w:rPr>
        <w:t>Portions of the Registrant’s definitive Proxy Statement for the Registrant’s 2020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68" w:right="239" w:bottom="23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4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80" w:type="dxa"/>
            <w:vAlign w:val="bottom"/>
          </w:tcPr>
          <w:p>
            <w:pPr>
              <w:spacing w:after="0"/>
              <w:rPr>
                <w:sz w:val="17"/>
                <w:szCs w:val="17"/>
                <w:color w:val="auto"/>
              </w:rPr>
            </w:pPr>
          </w:p>
        </w:tc>
      </w:tr>
      <w:tr>
        <w:trPr>
          <w:trHeight w:val="677"/>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90"/>
              </w:rPr>
              <w:t>Applied Optoelectronics, Inc.</w:t>
            </w:r>
          </w:p>
        </w:tc>
        <w:tc>
          <w:tcPr>
            <w:tcW w:w="138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88"/>
              </w:rPr>
              <w:t>Table of Contents</w:t>
            </w:r>
          </w:p>
        </w:tc>
        <w:tc>
          <w:tcPr>
            <w:tcW w:w="1380" w:type="dxa"/>
            <w:vAlign w:val="bottom"/>
          </w:tcPr>
          <w:p>
            <w:pPr>
              <w:spacing w:after="0"/>
              <w:rPr>
                <w:sz w:val="20"/>
                <w:szCs w:val="20"/>
                <w:color w:val="auto"/>
              </w:rPr>
            </w:pPr>
          </w:p>
        </w:tc>
      </w:tr>
      <w:tr>
        <w:trPr>
          <w:trHeight w:val="67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Arial" w:cs="Arial" w:eastAsia="Arial" w:hAnsi="Arial"/>
                <w:sz w:val="18"/>
                <w:szCs w:val="18"/>
                <w:color w:val="auto"/>
              </w:rPr>
              <w:t>Page</w:t>
            </w:r>
          </w:p>
        </w:tc>
      </w:tr>
      <w:tr>
        <w:trPr>
          <w:trHeight w:val="392"/>
        </w:trPr>
        <w:tc>
          <w:tcPr>
            <w:tcW w:w="9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color w:val="auto"/>
                <w:w w:val="79"/>
              </w:rPr>
              <w:t>3</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Item 1.</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380" w:type="dxa"/>
            <w:vAlign w:val="bottom"/>
          </w:tcPr>
          <w:p>
            <w:pPr>
              <w:jc w:val="center"/>
              <w:ind w:left="610"/>
              <w:spacing w:after="0"/>
              <w:rPr>
                <w:sz w:val="20"/>
                <w:szCs w:val="20"/>
                <w:color w:val="auto"/>
              </w:rPr>
            </w:pPr>
            <w:r>
              <w:rPr>
                <w:rFonts w:ascii="Arial" w:cs="Arial" w:eastAsia="Arial" w:hAnsi="Arial"/>
                <w:sz w:val="18"/>
                <w:szCs w:val="18"/>
                <w:color w:val="auto"/>
                <w:w w:val="79"/>
              </w:rPr>
              <w:t>3</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Item 1A.</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8040" w:type="dxa"/>
            <w:vAlign w:val="bottom"/>
            <w:gridSpan w:val="18"/>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14</w:t>
            </w:r>
          </w:p>
        </w:tc>
      </w:tr>
      <w:tr>
        <w:trPr>
          <w:trHeight w:val="412"/>
        </w:trPr>
        <w:tc>
          <w:tcPr>
            <w:tcW w:w="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1B.</w:t>
              </w:r>
            </w:hyperlink>
          </w:p>
        </w:tc>
        <w:tc>
          <w:tcPr>
            <w:tcW w:w="2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Unresolved Staff Comments</w:t>
              </w:r>
            </w:hyperlink>
          </w:p>
        </w:tc>
        <w:tc>
          <w:tcPr>
            <w:tcW w:w="6900" w:type="dxa"/>
            <w:vAlign w:val="bottom"/>
            <w:gridSpan w:val="11"/>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35</w:t>
            </w:r>
          </w:p>
        </w:tc>
      </w:tr>
      <w:tr>
        <w:trPr>
          <w:trHeight w:val="412"/>
        </w:trPr>
        <w:tc>
          <w:tcPr>
            <w:tcW w:w="460" w:type="dxa"/>
            <w:vAlign w:val="bottom"/>
            <w:tcBorders>
              <w:bottom w:val="single" w:sz="8" w:color="0000EE"/>
            </w:tcBorders>
            <w:gridSpan w:val="2"/>
          </w:tcPr>
          <w:p>
            <w:pPr>
              <w:spacing w:after="0"/>
              <w:rPr>
                <w:rFonts w:ascii="Arial" w:cs="Arial" w:eastAsia="Arial" w:hAnsi="Arial"/>
                <w:sz w:val="18"/>
                <w:szCs w:val="18"/>
                <w:color w:val="0000EE"/>
                <w:w w:val="76"/>
              </w:rPr>
            </w:pPr>
            <w:hyperlink w:anchor="page26">
              <w:r>
                <w:rPr>
                  <w:rFonts w:ascii="Arial" w:cs="Arial" w:eastAsia="Arial" w:hAnsi="Arial"/>
                  <w:sz w:val="18"/>
                  <w:szCs w:val="18"/>
                  <w:color w:val="0000EE"/>
                  <w:w w:val="76"/>
                </w:rPr>
                <w:t>Item 2.</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8220" w:type="dxa"/>
            <w:vAlign w:val="bottom"/>
            <w:gridSpan w:val="19"/>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35</w:t>
            </w: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27">
              <w:r>
                <w:rPr>
                  <w:rFonts w:ascii="Arial" w:cs="Arial" w:eastAsia="Arial" w:hAnsi="Arial"/>
                  <w:sz w:val="18"/>
                  <w:szCs w:val="18"/>
                  <w:color w:val="0000EE"/>
                  <w:w w:val="76"/>
                </w:rPr>
                <w:t>Item 3.</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36</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27">
              <w:r>
                <w:rPr>
                  <w:rFonts w:ascii="Arial" w:cs="Arial" w:eastAsia="Arial" w:hAnsi="Arial"/>
                  <w:sz w:val="18"/>
                  <w:szCs w:val="18"/>
                  <w:color w:val="0000EE"/>
                  <w:w w:val="76"/>
                </w:rPr>
                <w:t>Item 4.</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36</w:t>
            </w:r>
          </w:p>
        </w:tc>
      </w:tr>
      <w:tr>
        <w:trPr>
          <w:trHeight w:val="412"/>
        </w:trPr>
        <w:tc>
          <w:tcPr>
            <w:tcW w:w="460" w:type="dxa"/>
            <w:vAlign w:val="bottom"/>
            <w:tcBorders>
              <w:top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Part II</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37</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27">
              <w:r>
                <w:rPr>
                  <w:rFonts w:ascii="Arial" w:cs="Arial" w:eastAsia="Arial" w:hAnsi="Arial"/>
                  <w:sz w:val="18"/>
                  <w:szCs w:val="18"/>
                  <w:color w:val="0000EE"/>
                  <w:w w:val="76"/>
                </w:rPr>
                <w:t>Item 5.</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37</w:t>
            </w:r>
          </w:p>
        </w:tc>
      </w:tr>
      <w:tr>
        <w:trPr>
          <w:trHeight w:val="412"/>
        </w:trPr>
        <w:tc>
          <w:tcPr>
            <w:tcW w:w="4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6"/>
              </w:rPr>
            </w:pPr>
            <w:hyperlink w:anchor="page28">
              <w:r>
                <w:rPr>
                  <w:rFonts w:ascii="Arial" w:cs="Arial" w:eastAsia="Arial" w:hAnsi="Arial"/>
                  <w:sz w:val="18"/>
                  <w:szCs w:val="18"/>
                  <w:color w:val="0000EE"/>
                  <w:w w:val="76"/>
                </w:rPr>
                <w:t>Item 6.</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39</w:t>
            </w: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0">
              <w:r>
                <w:rPr>
                  <w:rFonts w:ascii="Arial" w:cs="Arial" w:eastAsia="Arial" w:hAnsi="Arial"/>
                  <w:sz w:val="18"/>
                  <w:szCs w:val="18"/>
                  <w:color w:val="0000EE"/>
                  <w:w w:val="76"/>
                </w:rPr>
                <w:t>Item 7.</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41</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Item 7A.</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Quantitative and Qualitative Disclosures about Market Risk</w:t>
              </w:r>
            </w:hyperlink>
          </w:p>
        </w:tc>
        <w:tc>
          <w:tcPr>
            <w:tcW w:w="4640" w:type="dxa"/>
            <w:vAlign w:val="bottom"/>
            <w:gridSpan w:val="6"/>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58</w:t>
            </w:r>
          </w:p>
        </w:tc>
      </w:tr>
      <w:tr>
        <w:trPr>
          <w:trHeight w:val="412"/>
        </w:trPr>
        <w:tc>
          <w:tcPr>
            <w:tcW w:w="460" w:type="dxa"/>
            <w:vAlign w:val="bottom"/>
            <w:tcBorders>
              <w:bottom w:val="single" w:sz="8" w:color="0000EE"/>
            </w:tcBorders>
            <w:gridSpan w:val="2"/>
          </w:tcPr>
          <w:p>
            <w:pPr>
              <w:spacing w:after="0"/>
              <w:rPr>
                <w:rFonts w:ascii="Arial" w:cs="Arial" w:eastAsia="Arial" w:hAnsi="Arial"/>
                <w:sz w:val="18"/>
                <w:szCs w:val="18"/>
                <w:color w:val="0000EE"/>
                <w:w w:val="76"/>
              </w:rPr>
            </w:pPr>
            <w:hyperlink w:anchor="page42">
              <w:r>
                <w:rPr>
                  <w:rFonts w:ascii="Arial" w:cs="Arial" w:eastAsia="Arial" w:hAnsi="Arial"/>
                  <w:sz w:val="18"/>
                  <w:szCs w:val="18"/>
                  <w:color w:val="0000EE"/>
                  <w:w w:val="76"/>
                </w:rPr>
                <w:t>Item 8.</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5620" w:type="dxa"/>
            <w:vAlign w:val="bottom"/>
            <w:gridSpan w:val="8"/>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59</w:t>
            </w: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42">
              <w:r>
                <w:rPr>
                  <w:rFonts w:ascii="Arial" w:cs="Arial" w:eastAsia="Arial" w:hAnsi="Arial"/>
                  <w:sz w:val="18"/>
                  <w:szCs w:val="18"/>
                  <w:color w:val="0000EE"/>
                  <w:w w:val="76"/>
                </w:rPr>
                <w:t>Item 9.</w:t>
              </w:r>
            </w:hyperlink>
          </w:p>
        </w:tc>
        <w:tc>
          <w:tcPr>
            <w:tcW w:w="4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Changes in and Disagreements with Accountants on Accounting and Financial Disclosure</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59</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Item 9A.</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180" w:type="dxa"/>
            <w:vAlign w:val="bottom"/>
            <w:gridSpan w:val="13"/>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59</w:t>
            </w:r>
          </w:p>
        </w:tc>
      </w:tr>
      <w:tr>
        <w:trPr>
          <w:trHeight w:val="412"/>
        </w:trPr>
        <w:tc>
          <w:tcPr>
            <w:tcW w:w="640" w:type="dxa"/>
            <w:vAlign w:val="bottom"/>
            <w:gridSpan w:val="5"/>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9B.</w:t>
              </w:r>
            </w:hyperlink>
          </w:p>
        </w:tc>
        <w:tc>
          <w:tcPr>
            <w:tcW w:w="2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62</w:t>
            </w:r>
          </w:p>
        </w:tc>
      </w:tr>
      <w:tr>
        <w:trPr>
          <w:trHeight w:val="412"/>
        </w:trPr>
        <w:tc>
          <w:tcPr>
            <w:tcW w:w="64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III</w:t>
              </w:r>
            </w:hyperlink>
          </w:p>
        </w:tc>
        <w:tc>
          <w:tcPr>
            <w:tcW w:w="2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63</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92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10.</w:t>
              </w:r>
            </w:hyperlink>
          </w:p>
        </w:tc>
        <w:tc>
          <w:tcPr>
            <w:tcW w:w="9120" w:type="dxa"/>
            <w:vAlign w:val="bottom"/>
            <w:gridSpan w:val="23"/>
          </w:tcPr>
          <w:p>
            <w:pPr>
              <w:ind w:left="160"/>
              <w:spacing w:after="0"/>
              <w:rPr>
                <w:rFonts w:ascii="Arial" w:cs="Arial" w:eastAsia="Arial" w:hAnsi="Arial"/>
                <w:sz w:val="18"/>
                <w:szCs w:val="18"/>
                <w:color w:val="0000EE"/>
              </w:rPr>
            </w:pPr>
            <w:hyperlink w:anchor="page43">
              <w:r>
                <w:rPr>
                  <w:rFonts w:ascii="Arial" w:cs="Arial" w:eastAsia="Arial" w:hAnsi="Arial"/>
                  <w:sz w:val="18"/>
                  <w:szCs w:val="18"/>
                  <w:color w:val="0000EE"/>
                </w:rPr>
                <w:t>Directors, Executive Officers and Corporate Governance</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63</w:t>
            </w:r>
          </w:p>
        </w:tc>
      </w:tr>
      <w:tr>
        <w:trPr>
          <w:trHeight w:val="20"/>
        </w:trPr>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92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11.</w:t>
              </w:r>
            </w:hyperlink>
          </w:p>
        </w:tc>
        <w:tc>
          <w:tcPr>
            <w:tcW w:w="9120" w:type="dxa"/>
            <w:vAlign w:val="bottom"/>
            <w:gridSpan w:val="23"/>
          </w:tcPr>
          <w:p>
            <w:pPr>
              <w:ind w:left="160"/>
              <w:spacing w:after="0"/>
              <w:rPr>
                <w:rFonts w:ascii="Arial" w:cs="Arial" w:eastAsia="Arial" w:hAnsi="Arial"/>
                <w:sz w:val="18"/>
                <w:szCs w:val="18"/>
                <w:color w:val="0000EE"/>
              </w:rPr>
            </w:pPr>
            <w:hyperlink w:anchor="page44">
              <w:r>
                <w:rPr>
                  <w:rFonts w:ascii="Arial" w:cs="Arial" w:eastAsia="Arial" w:hAnsi="Arial"/>
                  <w:sz w:val="18"/>
                  <w:szCs w:val="18"/>
                  <w:color w:val="0000EE"/>
                </w:rPr>
                <w:t>Executive Compensation</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63</w:t>
            </w:r>
          </w:p>
        </w:tc>
      </w:tr>
      <w:tr>
        <w:trPr>
          <w:trHeight w:val="20"/>
        </w:trPr>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12.</w:t>
              </w:r>
            </w:hyperlink>
          </w:p>
        </w:tc>
        <w:tc>
          <w:tcPr>
            <w:tcW w:w="3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Security Ownership of Certain Beneficial Owners and Management and Related Stockholder Matters</w:t>
              </w:r>
            </w:hyperlink>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63</w:t>
            </w:r>
          </w:p>
        </w:tc>
      </w:tr>
      <w:tr>
        <w:trPr>
          <w:trHeight w:val="412"/>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13.</w:t>
              </w:r>
            </w:hyperlink>
          </w:p>
        </w:tc>
        <w:tc>
          <w:tcPr>
            <w:tcW w:w="3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Borders>
              <w:top w:val="single" w:sz="8" w:color="0000EE"/>
            </w:tcBorders>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Certain Relationships and Related Transactions, and Director Independence</w:t>
              </w:r>
            </w:hyperlink>
          </w:p>
        </w:tc>
        <w:tc>
          <w:tcPr>
            <w:tcW w:w="1660" w:type="dxa"/>
            <w:vAlign w:val="bottom"/>
            <w:gridSpan w:val="2"/>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63</w:t>
            </w:r>
          </w:p>
        </w:tc>
      </w:tr>
      <w:tr>
        <w:trPr>
          <w:trHeight w:val="412"/>
        </w:trPr>
        <w:tc>
          <w:tcPr>
            <w:tcW w:w="620" w:type="dxa"/>
            <w:vAlign w:val="bottom"/>
            <w:tcBorders>
              <w:top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14.</w:t>
              </w:r>
            </w:hyperlink>
          </w:p>
        </w:tc>
        <w:tc>
          <w:tcPr>
            <w:tcW w:w="3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tcBorders>
              <w:top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Principal Accounting Fees and Services</w:t>
              </w:r>
            </w:hyperlink>
          </w:p>
        </w:tc>
        <w:tc>
          <w:tcPr>
            <w:tcW w:w="3500" w:type="dxa"/>
            <w:vAlign w:val="bottom"/>
            <w:gridSpan w:val="5"/>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63</w:t>
            </w:r>
          </w:p>
        </w:tc>
      </w:tr>
      <w:tr>
        <w:trPr>
          <w:trHeight w:val="412"/>
        </w:trPr>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Part IV</w:t>
              </w:r>
            </w:hyperlink>
          </w:p>
        </w:tc>
        <w:tc>
          <w:tcPr>
            <w:tcW w:w="32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64</w:t>
            </w:r>
          </w:p>
        </w:tc>
      </w:tr>
      <w:tr>
        <w:trPr>
          <w:trHeight w:val="412"/>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15.</w:t>
              </w:r>
            </w:hyperlink>
          </w:p>
        </w:tc>
        <w:tc>
          <w:tcPr>
            <w:tcW w:w="3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Exhibits, Financial Statements Schedules</w:t>
              </w:r>
            </w:hyperlink>
          </w:p>
        </w:tc>
        <w:tc>
          <w:tcPr>
            <w:tcW w:w="5980" w:type="dxa"/>
            <w:vAlign w:val="bottom"/>
            <w:gridSpan w:val="9"/>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64</w:t>
            </w:r>
          </w:p>
        </w:tc>
      </w:tr>
      <w:tr>
        <w:trPr>
          <w:trHeight w:val="412"/>
        </w:trPr>
        <w:tc>
          <w:tcPr>
            <w:tcW w:w="6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16.</w:t>
              </w:r>
            </w:hyperlink>
          </w:p>
        </w:tc>
        <w:tc>
          <w:tcPr>
            <w:tcW w:w="3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Form 10-K Summary</w:t>
              </w:r>
            </w:hyperlink>
          </w:p>
        </w:tc>
        <w:tc>
          <w:tcPr>
            <w:tcW w:w="7400" w:type="dxa"/>
            <w:vAlign w:val="bottom"/>
            <w:gridSpan w:val="16"/>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64</w:t>
            </w:r>
          </w:p>
        </w:tc>
      </w:tr>
      <w:tr>
        <w:trPr>
          <w:trHeight w:val="412"/>
        </w:trPr>
        <w:tc>
          <w:tcPr>
            <w:tcW w:w="92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jc w:val="center"/>
              <w:ind w:left="630"/>
              <w:spacing w:after="0"/>
              <w:rPr>
                <w:sz w:val="20"/>
                <w:szCs w:val="20"/>
                <w:color w:val="auto"/>
              </w:rPr>
            </w:pPr>
            <w:r>
              <w:rPr>
                <w:rFonts w:ascii="Arial" w:cs="Arial" w:eastAsia="Arial" w:hAnsi="Arial"/>
                <w:sz w:val="18"/>
                <w:szCs w:val="18"/>
                <w:color w:val="auto"/>
                <w:w w:val="89"/>
              </w:rPr>
              <w:t>71</w:t>
            </w:r>
          </w:p>
        </w:tc>
      </w:tr>
      <w:tr>
        <w:trPr>
          <w:trHeight w:val="466"/>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18"/>
          </w:tcPr>
          <w:p>
            <w:pPr>
              <w:jc w:val="right"/>
              <w:ind w:right="78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gridSpan w:val="2"/>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r>
        <w:trPr>
          <w:trHeight w:val="284"/>
        </w:trPr>
        <w:tc>
          <w:tcPr>
            <w:tcW w:w="1004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-217805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-217805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w:t>
      </w:r>
    </w:p>
    <w:p>
      <w:pPr>
        <w:sectPr>
          <w:pgSz w:w="11900" w:h="16921" w:orient="portrait"/>
          <w:cols w:equalWidth="0" w:num="1">
            <w:col w:w="11420"/>
          </w:cols>
          <w:pgMar w:left="240" w:top="108" w:right="239" w:bottom="0" w:gutter="0" w:footer="0" w:header="0"/>
        </w:sectPr>
      </w:pPr>
    </w:p>
    <w:bookmarkStart w:id="3" w:name="page4"/>
    <w:bookmarkEnd w:id="3"/>
    <w:p>
      <w:pPr>
        <w:ind w:right="20"/>
        <w:spacing w:after="0" w:line="266" w:lineRule="auto"/>
        <w:rPr>
          <w:sz w:val="20"/>
          <w:szCs w:val="20"/>
          <w:color w:val="auto"/>
        </w:rPr>
      </w:pPr>
      <w:r>
        <w:rPr>
          <w:rFonts w:ascii="Arial" w:cs="Arial" w:eastAsia="Arial" w:hAnsi="Arial"/>
          <w:sz w:val="17"/>
          <w:szCs w:val="17"/>
          <w:color w:val="auto"/>
        </w:rPr>
        <w:t>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impact of the Tax Cuts and Jobs Act of 2017, including impact on deferred tax assets ;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6"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PART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Applied Optoelectronics, Inc. (the “Company” or "AOI") is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To address this increased bandwidth demand, CATV and telecom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economical way to deliver the desired bandwidth.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internet data center market is our largest and fastest growing market. Our customers in this market are generally large internet-based (“Web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 data center operators, to whom we supply optical transceivers that plug into switches and servers within the data center and allow these network devices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send and receive data over fiber-optic cables. The majority of the data center optical transceivers that we sell utilize our own lasers and subassemblies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 to the transceivers subassemblies as “light engines”), and we believe that our in-house technology and manufacturing capability for these lasers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subassemblies gives us an advantage over many of our competitors who often lack either development or manufacturing capabilities for these advanced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optical modules.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CATV market is our most established market, for which we supply a broad array of products, including lasers, transmitters and transceivers,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As the complexity of CATV networks has increased over the years, equipment vendors, many of whom are our customers, have been under pressure to supply a wider variety of increasingly complex equipment to CATV multiple system operators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w:t>
      </w:r>
    </w:p>
    <w:p>
      <w:pPr>
        <w:spacing w:after="0" w:line="18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combination of Metal Organic Chemical Vapor Deposition, or MOCVD, and our proprietary Molecular Beam Epitaxy, or MBE,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and FTTH markets where networking equipment is often installed outdoors.</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2019, 2018 and 2017, our revenue was $190.9 million, $267.5 million, and $382.3 million and our gross margin was 24.2%, 32.8%, and 43.5%. 2019 In the years ended December 31, 2019, 2018 and 2017, we had net income (loss) of $(66.0) million, $(2.1) million, and $74.0 million, respectively. At December 31, 2019 and 2018, our retained earnings (accumulated deficit)were $(30.1) million and $36.0 million, respectively. In 2019, we earned 75.2% of our total revenue from the internet data center market and 19.6% of our total revenue from the CATV market. In 2019, our key customers in the data center market included Microsoft Corp (Microsoft), Amazon.com (Amazon) and Facebook, Inc. (Facebook). In 2019, 2018, and 2017, Microsoft accounted for 32.2%, 22.1%, and 13.8% of our revenue, Amazon accounted for 24.0%, 12.1%, and 35.4% of our revenue and Facebook accounted for 10.9%, 38.3%, and</w:t>
      </w:r>
    </w:p>
    <w:p>
      <w:pPr>
        <w:spacing w:after="0" w:line="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28.6% of our revenue, respectively. In 2019, our key customers in the CATV market included Cisco Systems, Inc. (Cisco), CommScope (which in 2019 acquired Arris, who had previously acquired the Motorola Home Business in 2013 and Pace Plc in 2016) , and a US-based public company who provides CATV equipment . In 2019, 2018 and 2017, Cisco accounted for 10.0%, 9.9%, and 4.8% of our revenue, CommScope accounted for 3.7%, 2.1%, and 3.2% of our revenue, and the US-based public company who provides CATV equipment accounted for 1.6%, 0.8% and 0.8% of our revenue, respectively.</w:t>
      </w:r>
    </w:p>
    <w:p>
      <w:pPr>
        <w:sectPr>
          <w:pgSz w:w="11900" w:h="16838" w:orient="portrait"/>
          <w:cols w:equalWidth="0" w:num="1">
            <w:col w:w="11400"/>
          </w:cols>
          <w:pgMar w:left="240" w:top="125" w:right="259" w:bottom="0" w:gutter="0" w:footer="0" w:header="0"/>
        </w:sectPr>
      </w:pPr>
    </w:p>
    <w:bookmarkStart w:id="4" w:name="page5"/>
    <w:bookmarkEnd w:id="4"/>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2019, our four target markets, internet data center, CATV, telecom and FTTH, experienced a significant growth in bandwidth consumption and the corresponding need for network infrastructure improvement to support this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ind w:left="700" w:hanging="233"/>
        <w:spacing w:after="0" w:line="286" w:lineRule="auto"/>
        <w:tabs>
          <w:tab w:leader="none" w:pos="700" w:val="left"/>
        </w:tabs>
        <w:numPr>
          <w:ilvl w:val="0"/>
          <w:numId w:val="4"/>
        </w:numPr>
        <w:rPr>
          <w:rFonts w:ascii="MS PGothic" w:cs="MS PGothic" w:eastAsia="MS PGothic" w:hAnsi="MS PGothic"/>
          <w:sz w:val="19"/>
          <w:szCs w:val="19"/>
          <w:color w:val="auto"/>
        </w:rPr>
      </w:pPr>
      <w:r>
        <w:rPr>
          <w:rFonts w:ascii="Arial" w:cs="Arial" w:eastAsia="Arial" w:hAnsi="Arial"/>
          <w:sz w:val="16"/>
          <w:szCs w:val="16"/>
          <w:b w:val="1"/>
          <w:bCs w:val="1"/>
          <w:i w:val="1"/>
          <w:iCs w:val="1"/>
          <w:color w:val="auto"/>
        </w:rPr>
        <w:t xml:space="preserve">Trends in the Internet Data Center Market. </w:t>
      </w:r>
      <w:r>
        <w:rPr>
          <w:rFonts w:ascii="Arial" w:cs="Arial" w:eastAsia="Arial" w:hAnsi="Arial"/>
          <w:sz w:val="16"/>
          <w:szCs w:val="16"/>
          <w:color w:val="auto"/>
        </w:rPr>
        <w:t>To support the substantial increase in bandwidth consumption, internet data center operators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the scale of their internet data centers and deploying infrastructure capable of data transmission rates. As a result, there is an ongoing transition from the use of copper cable, typically at speeds of up to 1 gigabit per second ("Gbps"), to optical fiber as a transport medium, typically providing speeds from 10 Gbps to 400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00" w:hanging="233"/>
        <w:spacing w:after="0" w:line="270" w:lineRule="auto"/>
        <w:tabs>
          <w:tab w:leader="none" w:pos="700" w:val="left"/>
        </w:tabs>
        <w:numPr>
          <w:ilvl w:val="0"/>
          <w:numId w:val="5"/>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Trends in the CATV Market. </w:t>
      </w:r>
      <w:r>
        <w:rPr>
          <w:rFonts w:ascii="Arial" w:cs="Arial" w:eastAsia="Arial" w:hAnsi="Arial"/>
          <w:sz w:val="17"/>
          <w:szCs w:val="17"/>
          <w:color w:val="auto"/>
        </w:rPr>
        <w:t>In recent years, CATV service providers have invested extensively to support high speed, two-way 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we expect that they will continue to do so. In North America, in particular, CATV service providers have upgraded their networks with new technologies like DOCSIS 3.1, which enables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Remote-PHY are under development by cable equipment suppliers. These technologies are being developed to be a cost-effective solution to provide higher available bandwidth to CATV customers. AOI has developed a unique Remote-PHY product portfolio which started to generate revenue in 2018. We believe this product is well positioned in the marketplace and we expect continued deployments in 2020.</w:t>
      </w:r>
    </w:p>
    <w:p>
      <w:pPr>
        <w:spacing w:after="0" w:line="181" w:lineRule="exact"/>
        <w:rPr>
          <w:rFonts w:ascii="MS PGothic" w:cs="MS PGothic" w:eastAsia="MS PGothic" w:hAnsi="MS PGothic"/>
          <w:sz w:val="17"/>
          <w:szCs w:val="17"/>
          <w:color w:val="auto"/>
        </w:rPr>
      </w:pPr>
    </w:p>
    <w:p>
      <w:pPr>
        <w:ind w:left="700" w:right="40"/>
        <w:spacing w:after="0" w:line="257" w:lineRule="auto"/>
        <w:rPr>
          <w:rFonts w:ascii="MS PGothic" w:cs="MS PGothic" w:eastAsia="MS PGothic" w:hAnsi="MS PGothic"/>
          <w:sz w:val="17"/>
          <w:szCs w:val="17"/>
          <w:color w:val="auto"/>
        </w:rPr>
      </w:pPr>
      <w:r>
        <w:rPr>
          <w:rFonts w:ascii="Arial" w:cs="Arial" w:eastAsia="Arial" w:hAnsi="Arial"/>
          <w:sz w:val="18"/>
          <w:szCs w:val="18"/>
          <w:color w:val="auto"/>
        </w:rPr>
        <w:t>As the complexity of CATV networks has increased over the years, equipment vendors, many of whom are our customers, have been under pressure to supply a wider variety of increasingly complex equipment to CATV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w:t>
      </w:r>
    </w:p>
    <w:p>
      <w:pPr>
        <w:spacing w:after="0" w:line="188" w:lineRule="exact"/>
        <w:rPr>
          <w:rFonts w:ascii="MS PGothic" w:cs="MS PGothic" w:eastAsia="MS PGothic" w:hAnsi="MS PGothic"/>
          <w:sz w:val="17"/>
          <w:szCs w:val="17"/>
          <w:color w:val="auto"/>
        </w:rPr>
      </w:pPr>
    </w:p>
    <w:p>
      <w:pPr>
        <w:ind w:left="700" w:right="20" w:hanging="233"/>
        <w:spacing w:after="0" w:line="255" w:lineRule="auto"/>
        <w:tabs>
          <w:tab w:leader="none" w:pos="70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Trends in the Telecom Market. </w:t>
      </w:r>
      <w:r>
        <w:rPr>
          <w:rFonts w:ascii="Arial" w:cs="Arial" w:eastAsia="Arial" w:hAnsi="Arial"/>
          <w:sz w:val="18"/>
          <w:szCs w:val="18"/>
          <w:color w:val="auto"/>
        </w:rPr>
        <w:t>The telecom market is composed of customers who deploy wireline optical networks, other than Passive Optical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or PONs, for telecom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 as mentioned above.</w:t>
      </w:r>
    </w:p>
    <w:p>
      <w:pPr>
        <w:spacing w:after="0" w:line="189" w:lineRule="exact"/>
        <w:rPr>
          <w:rFonts w:ascii="MS PGothic" w:cs="MS PGothic" w:eastAsia="MS PGothic" w:hAnsi="MS PGothic"/>
          <w:sz w:val="18"/>
          <w:szCs w:val="18"/>
          <w:color w:val="auto"/>
        </w:rPr>
      </w:pPr>
    </w:p>
    <w:p>
      <w:pPr>
        <w:ind w:left="700" w:right="80" w:hanging="233"/>
        <w:spacing w:after="0" w:line="297" w:lineRule="auto"/>
        <w:tabs>
          <w:tab w:leader="none" w:pos="70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Trends in the FTTH Market. </w:t>
      </w:r>
      <w:r>
        <w:rPr>
          <w:rFonts w:ascii="Arial" w:cs="Arial" w:eastAsia="Arial" w:hAnsi="Arial"/>
          <w:sz w:val="16"/>
          <w:szCs w:val="16"/>
          <w:color w:val="auto"/>
        </w:rPr>
        <w:t>The FTTH market generally refers to the PONs that telecom service providers deploy. The most commonly deployed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 We also see opportunities for 10 Gbps EPON and higher data rate PON networks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jc w:val="both"/>
        <w:ind w:left="980" w:right="200" w:hanging="324"/>
        <w:spacing w:after="0" w:line="264" w:lineRule="auto"/>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Enable customers to deliver innovative products. </w:t>
      </w:r>
      <w:r>
        <w:rPr>
          <w:rFonts w:ascii="Arial" w:cs="Arial" w:eastAsia="Arial" w:hAnsi="Arial"/>
          <w:sz w:val="18"/>
          <w:szCs w:val="18"/>
          <w:color w:val="auto"/>
        </w:rPr>
        <w:t>We leverage our extensive expertise in high-speed optical, mixed-signal semiconductor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mechanical engineering, and MOCVD and our proprietary MBE laser fabrication process to deliver technologically advanced products to our customers.</w:t>
      </w:r>
    </w:p>
    <w:p>
      <w:pPr>
        <w:spacing w:after="0" w:line="181" w:lineRule="exact"/>
        <w:rPr>
          <w:rFonts w:ascii="MS PGothic" w:cs="MS PGothic" w:eastAsia="MS PGothic" w:hAnsi="MS PGothic"/>
          <w:sz w:val="18"/>
          <w:szCs w:val="18"/>
          <w:color w:val="auto"/>
        </w:rPr>
      </w:pPr>
    </w:p>
    <w:p>
      <w:pPr>
        <w:ind w:left="980" w:right="80" w:hanging="324"/>
        <w:spacing w:after="0" w:line="342" w:lineRule="auto"/>
        <w:tabs>
          <w:tab w:leader="none" w:pos="98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Enhance efficiency and cost effectiveness of our customers’ supply chains. </w:t>
      </w:r>
      <w:r>
        <w:rPr>
          <w:rFonts w:ascii="Arial" w:cs="Arial" w:eastAsia="Arial" w:hAnsi="Arial"/>
          <w:sz w:val="16"/>
          <w:szCs w:val="16"/>
          <w:color w:val="auto"/>
        </w:rPr>
        <w:t>We design and sell products at the level of integration desired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from components to turn-key equipment, providing our customers a dependable, cost-effective and simplified supply chain.</w:t>
      </w:r>
    </w:p>
    <w:p>
      <w:pPr>
        <w:spacing w:after="0" w:line="123" w:lineRule="exact"/>
        <w:rPr>
          <w:rFonts w:ascii="MS PGothic" w:cs="MS PGothic" w:eastAsia="MS PGothic" w:hAnsi="MS PGothic"/>
          <w:sz w:val="16"/>
          <w:szCs w:val="16"/>
          <w:color w:val="auto"/>
        </w:rPr>
      </w:pPr>
    </w:p>
    <w:p>
      <w:pPr>
        <w:ind w:left="980" w:right="160" w:hanging="324"/>
        <w:spacing w:after="0" w:line="312" w:lineRule="auto"/>
        <w:tabs>
          <w:tab w:leader="none" w:pos="98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46" w:lineRule="exact"/>
        <w:rPr>
          <w:rFonts w:ascii="MS PGothic" w:cs="MS PGothic" w:eastAsia="MS PGothic" w:hAnsi="MS PGothic"/>
          <w:sz w:val="16"/>
          <w:szCs w:val="16"/>
          <w:color w:val="auto"/>
        </w:rPr>
      </w:pPr>
    </w:p>
    <w:p>
      <w:pPr>
        <w:ind w:left="980" w:right="500" w:hanging="324"/>
        <w:spacing w:after="0" w:line="381" w:lineRule="auto"/>
        <w:tabs>
          <w:tab w:leader="none" w:pos="980" w:val="left"/>
        </w:tabs>
        <w:numPr>
          <w:ilvl w:val="0"/>
          <w:numId w:val="6"/>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 xml:space="preserve">Provide sophisticated design solutions to our customers. </w:t>
      </w:r>
      <w:r>
        <w:rPr>
          <w:rFonts w:ascii="Arial" w:cs="Arial" w:eastAsia="Arial" w:hAnsi="Arial"/>
          <w:sz w:val="15"/>
          <w:szCs w:val="15"/>
          <w:color w:val="auto"/>
        </w:rPr>
        <w:t>We believe our in-house expertise in both analog and digital optical engineering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enables us to design comprehensive solutions that meet many of the different network architectures and protocols used by our customers.</w:t>
      </w:r>
    </w:p>
    <w:p>
      <w:pPr>
        <w:sectPr>
          <w:pgSz w:w="11900" w:h="16918" w:orient="portrait"/>
          <w:cols w:equalWidth="0" w:num="1">
            <w:col w:w="11420"/>
          </w:cols>
          <w:pgMar w:left="240" w:top="337"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right="960" w:hanging="324"/>
        <w:spacing w:after="0" w:line="277"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 products by leveraging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expertise, including our proprietary MBE and MOCVD laser fabrication process.</w:t>
      </w:r>
    </w:p>
    <w:p>
      <w:pPr>
        <w:spacing w:after="0" w:line="170" w:lineRule="exact"/>
        <w:rPr>
          <w:rFonts w:ascii="MS PGothic" w:cs="MS PGothic" w:eastAsia="MS PGothic" w:hAnsi="MS PGothic"/>
          <w:sz w:val="18"/>
          <w:szCs w:val="18"/>
          <w:color w:val="auto"/>
        </w:rPr>
      </w:pPr>
    </w:p>
    <w:p>
      <w:pPr>
        <w:ind w:left="980" w:right="260" w:hanging="324"/>
        <w:spacing w:after="0" w:line="259"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Innovative light engine design and manufacturing. </w:t>
      </w:r>
      <w:r>
        <w:rPr>
          <w:rFonts w:ascii="Arial" w:cs="Arial" w:eastAsia="Arial" w:hAnsi="Arial"/>
          <w:sz w:val="18"/>
          <w:szCs w:val="18"/>
          <w:color w:val="auto"/>
        </w:rPr>
        <w:t>High-speed data center interconnect transceivers increasingly rely on multiple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optical signals. Our expertise in designing and manufacturing light engines, which combine lasers and photodiodes, and in some cases, driver electronics and/or signal amplifiers, with channel multiplexing and de-multiplexing elements, gives us the ability to quickly develop new products for our data center customers.</w:t>
      </w:r>
    </w:p>
    <w:p>
      <w:pPr>
        <w:spacing w:after="0" w:line="186" w:lineRule="exact"/>
        <w:rPr>
          <w:rFonts w:ascii="MS PGothic" w:cs="MS PGothic" w:eastAsia="MS PGothic" w:hAnsi="MS PGothic"/>
          <w:sz w:val="18"/>
          <w:szCs w:val="18"/>
          <w:color w:val="auto"/>
        </w:rPr>
      </w:pPr>
    </w:p>
    <w:p>
      <w:pPr>
        <w:ind w:left="980" w:right="360" w:hanging="324"/>
        <w:spacing w:after="0" w:line="264"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Proven system design capabilities. </w:t>
      </w:r>
      <w:r>
        <w:rPr>
          <w:rFonts w:ascii="Arial" w:cs="Arial" w:eastAsia="Arial" w:hAnsi="Arial"/>
          <w:sz w:val="18"/>
          <w:szCs w:val="18"/>
          <w:color w:val="auto"/>
        </w:rPr>
        <w:t>We have extensive expertise and proven design capabilities in high-speed optical, mixed-signal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and mechanical engineering, which we believe position us to take advantage of the continuing shift to outsourced design and manufacturing among CATV equipment vendors.</w:t>
      </w:r>
    </w:p>
    <w:p>
      <w:pPr>
        <w:spacing w:after="0" w:line="181" w:lineRule="exact"/>
        <w:rPr>
          <w:rFonts w:ascii="MS PGothic" w:cs="MS PGothic" w:eastAsia="MS PGothic" w:hAnsi="MS PGothic"/>
          <w:sz w:val="18"/>
          <w:szCs w:val="18"/>
          <w:color w:val="auto"/>
        </w:rPr>
      </w:pPr>
    </w:p>
    <w:p>
      <w:pPr>
        <w:ind w:left="980" w:right="280" w:hanging="324"/>
        <w:spacing w:after="0" w:line="312" w:lineRule="auto"/>
        <w:tabs>
          <w:tab w:leader="none" w:pos="98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Industry-leading position in the CATV market. </w:t>
      </w:r>
      <w:r>
        <w:rPr>
          <w:rFonts w:ascii="Arial" w:cs="Arial" w:eastAsia="Arial" w:hAnsi="Arial"/>
          <w:sz w:val="16"/>
          <w:szCs w:val="16"/>
          <w:color w:val="auto"/>
        </w:rPr>
        <w:t>We have continued to be awarded new design and manufacturing opportunities for CATV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46" w:lineRule="exact"/>
        <w:rPr>
          <w:rFonts w:ascii="MS PGothic" w:cs="MS PGothic" w:eastAsia="MS PGothic" w:hAnsi="MS PGothic"/>
          <w:sz w:val="16"/>
          <w:szCs w:val="16"/>
          <w:color w:val="auto"/>
        </w:rPr>
      </w:pPr>
    </w:p>
    <w:p>
      <w:pPr>
        <w:ind w:left="980" w:right="60" w:hanging="324"/>
        <w:spacing w:after="0" w:line="279" w:lineRule="auto"/>
        <w:tabs>
          <w:tab w:leader="none" w:pos="980"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seek to be the leading global provider of optical components, modules and equipment for each of our four target markets: internet data centers,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CATV, telecom and FTTH. Our strategy includes the following key elements:</w:t>
      </w:r>
    </w:p>
    <w:p>
      <w:pPr>
        <w:spacing w:after="0" w:line="211" w:lineRule="exact"/>
        <w:rPr>
          <w:sz w:val="20"/>
          <w:szCs w:val="20"/>
          <w:color w:val="auto"/>
        </w:rPr>
      </w:pPr>
    </w:p>
    <w:p>
      <w:pPr>
        <w:ind w:left="980" w:right="60" w:hanging="324"/>
        <w:spacing w:after="0" w:line="264" w:lineRule="auto"/>
        <w:tabs>
          <w:tab w:leader="none" w:pos="9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penetrate the internet data center market. </w:t>
      </w:r>
      <w:r>
        <w:rPr>
          <w:rFonts w:ascii="Arial" w:cs="Arial" w:eastAsia="Arial" w:hAnsi="Arial"/>
          <w:sz w:val="18"/>
          <w:szCs w:val="18"/>
          <w:color w:val="auto"/>
        </w:rPr>
        <w:t>In the internet data center market, we primarily target internet data center operators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adopted an open system architecture—one in which the optical connectivity solutions can be provided by a different vendor than the vendor which provides their servers and switches.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0" w:hanging="324"/>
        <w:spacing w:after="0" w:line="264"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Extend our leadership in CATV networking. </w:t>
      </w:r>
      <w:r>
        <w:rPr>
          <w:rFonts w:ascii="Arial" w:cs="Arial" w:eastAsia="Arial" w:hAnsi="Arial"/>
          <w:sz w:val="18"/>
          <w:szCs w:val="18"/>
          <w:color w:val="auto"/>
        </w:rPr>
        <w:t>We intend to maintain our position as a leading producer of optical components used in CATV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and to capture an increasing share of the CATV equipment market as the major equipment vendors continue to outsource the design and manufacturing of such products.</w:t>
      </w:r>
    </w:p>
    <w:p>
      <w:pPr>
        <w:spacing w:after="0" w:line="181" w:lineRule="exact"/>
        <w:rPr>
          <w:rFonts w:ascii="MS PGothic" w:cs="MS PGothic" w:eastAsia="MS PGothic" w:hAnsi="MS PGothic"/>
          <w:sz w:val="18"/>
          <w:szCs w:val="18"/>
          <w:color w:val="auto"/>
        </w:rPr>
      </w:pPr>
    </w:p>
    <w:p>
      <w:pPr>
        <w:ind w:left="980" w:right="160" w:hanging="324"/>
        <w:spacing w:after="0" w:line="259"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Develop new products for the Telecom market. </w:t>
      </w:r>
      <w:r>
        <w:rPr>
          <w:rFonts w:ascii="Arial" w:cs="Arial" w:eastAsia="Arial" w:hAnsi="Arial"/>
          <w:sz w:val="18"/>
          <w:szCs w:val="18"/>
          <w:color w:val="auto"/>
        </w:rPr>
        <w:t>Our addressable telecom market has often been limited by our relatively small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this market. In many cases, our telecom product offerings are identical or nearly identical to products that we sell in other markets (for example, CATV or internet data center). As we continue to develop new technological capabilities, we intend to develop products specifically for telecom markets.</w:t>
      </w:r>
    </w:p>
    <w:p>
      <w:pPr>
        <w:spacing w:after="0" w:line="186" w:lineRule="exact"/>
        <w:rPr>
          <w:rFonts w:ascii="MS PGothic" w:cs="MS PGothic" w:eastAsia="MS PGothic" w:hAnsi="MS PGothic"/>
          <w:sz w:val="18"/>
          <w:szCs w:val="18"/>
          <w:color w:val="auto"/>
        </w:rPr>
      </w:pPr>
    </w:p>
    <w:p>
      <w:pPr>
        <w:ind w:left="980" w:hanging="324"/>
        <w:spacing w:after="0" w:line="257"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penetrate the FTTH market. </w:t>
      </w:r>
      <w:r>
        <w:rPr>
          <w:rFonts w:ascii="Arial" w:cs="Arial" w:eastAsia="Arial" w:hAnsi="Arial"/>
          <w:sz w:val="18"/>
          <w:szCs w:val="18"/>
          <w:color w:val="auto"/>
        </w:rPr>
        <w:t>We believe our WDM-PON technology is a cost-effective solution for delivering 1 Gbps bandwidth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 Besides WDM-PON, we also believe that PON networks operating at 10 Gbps or higher will be in demand by certain customers in the future and we intend to develop components for these networks.</w:t>
      </w:r>
    </w:p>
    <w:p>
      <w:pPr>
        <w:spacing w:after="0" w:line="188" w:lineRule="exact"/>
        <w:rPr>
          <w:rFonts w:ascii="MS PGothic" w:cs="MS PGothic" w:eastAsia="MS PGothic" w:hAnsi="MS PGothic"/>
          <w:sz w:val="18"/>
          <w:szCs w:val="18"/>
          <w:color w:val="auto"/>
        </w:rPr>
      </w:pPr>
    </w:p>
    <w:p>
      <w:pPr>
        <w:ind w:left="980" w:right="120" w:hanging="324"/>
        <w:spacing w:after="0" w:line="264"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 technology and our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facilities to maintain and strengthen our competitive position. We engage in an active research and development program to develop new products and enhance existing products.</w:t>
      </w:r>
    </w:p>
    <w:p>
      <w:pPr>
        <w:spacing w:after="0" w:line="181" w:lineRule="exact"/>
        <w:rPr>
          <w:rFonts w:ascii="MS PGothic" w:cs="MS PGothic" w:eastAsia="MS PGothic" w:hAnsi="MS PGothic"/>
          <w:sz w:val="18"/>
          <w:szCs w:val="18"/>
          <w:color w:val="auto"/>
        </w:rPr>
      </w:pPr>
    </w:p>
    <w:p>
      <w:pPr>
        <w:ind w:left="980" w:right="200" w:hanging="324"/>
        <w:spacing w:after="0" w:line="312" w:lineRule="auto"/>
        <w:tabs>
          <w:tab w:leader="none" w:pos="980" w:val="left"/>
        </w:tabs>
        <w:numPr>
          <w:ilvl w:val="0"/>
          <w:numId w:val="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46" w:lineRule="exact"/>
        <w:rPr>
          <w:rFonts w:ascii="MS PGothic" w:cs="MS PGothic" w:eastAsia="MS PGothic" w:hAnsi="MS PGothic"/>
          <w:sz w:val="16"/>
          <w:szCs w:val="16"/>
          <w:color w:val="auto"/>
        </w:rPr>
      </w:pPr>
    </w:p>
    <w:p>
      <w:pPr>
        <w:ind w:left="980" w:right="80" w:hanging="324"/>
        <w:spacing w:after="0" w:line="264"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Pursue complementary acquisition and strategic alliance opportunities. </w:t>
      </w:r>
      <w:r>
        <w:rPr>
          <w:rFonts w:ascii="Arial" w:cs="Arial" w:eastAsia="Arial" w:hAnsi="Arial"/>
          <w:sz w:val="18"/>
          <w:szCs w:val="18"/>
          <w:color w:val="auto"/>
        </w:rPr>
        <w:t>We evaluate and selectively pursue acquisition opportunities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alliances that we believe will enhance or complement our current product offerings, augment our technology roadmap, or diversify our revenue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70" w:lineRule="exact"/>
        <w:rPr>
          <w:sz w:val="20"/>
          <w:szCs w:val="20"/>
          <w:color w:val="auto"/>
        </w:rPr>
      </w:pPr>
    </w:p>
    <w:p>
      <w:pPr>
        <w:ind w:left="980" w:right="40" w:hanging="324"/>
        <w:spacing w:after="0" w:line="297" w:lineRule="auto"/>
        <w:tabs>
          <w:tab w:leader="none" w:pos="980" w:val="left"/>
        </w:tabs>
        <w:numPr>
          <w:ilvl w:val="0"/>
          <w:numId w:val="10"/>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 the fabrication of our lasers.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w:t>
      </w:r>
    </w:p>
    <w:p>
      <w:pPr>
        <w:sectPr>
          <w:pgSz w:w="11900" w:h="16838" w:orient="portrait"/>
          <w:cols w:equalWidth="0" w:num="1">
            <w:col w:w="11420"/>
          </w:cols>
          <w:pgMar w:left="240" w:top="337" w:right="239" w:bottom="0" w:gutter="0" w:footer="0" w:header="0"/>
        </w:sectPr>
      </w:pPr>
    </w:p>
    <w:bookmarkStart w:id="6" w:name="page7"/>
    <w:bookmarkEnd w:id="6"/>
    <w:p>
      <w:pPr>
        <w:spacing w:after="0" w:line="33" w:lineRule="exact"/>
        <w:rPr>
          <w:sz w:val="20"/>
          <w:szCs w:val="20"/>
          <w:color w:val="auto"/>
        </w:rPr>
      </w:pPr>
    </w:p>
    <w:p>
      <w:pPr>
        <w:ind w:left="980" w:right="120"/>
        <w:spacing w:after="0" w:line="271" w:lineRule="auto"/>
        <w:rPr>
          <w:sz w:val="20"/>
          <w:szCs w:val="20"/>
          <w:color w:val="auto"/>
        </w:rPr>
      </w:pPr>
      <w:r>
        <w:rPr>
          <w:rFonts w:ascii="Arial" w:cs="Arial" w:eastAsia="Arial" w:hAnsi="Arial"/>
          <w:sz w:val="17"/>
          <w:szCs w:val="17"/>
          <w:color w:val="auto"/>
        </w:rPr>
        <w:t>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0" w:hanging="324"/>
        <w:spacing w:after="0" w:line="257" w:lineRule="auto"/>
        <w:tabs>
          <w:tab w:leader="none" w:pos="980" w:val="left"/>
        </w:tabs>
        <w:numPr>
          <w:ilvl w:val="0"/>
          <w:numId w:val="1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Laser enhancement technology. </w:t>
      </w:r>
      <w:r>
        <w:rPr>
          <w:rFonts w:ascii="Arial" w:cs="Arial" w:eastAsia="Arial" w:hAnsi="Arial"/>
          <w:sz w:val="18"/>
          <w:szCs w:val="18"/>
          <w:color w:val="auto"/>
        </w:rPr>
        <w:t>Certain properties of the semiconductor lasers predominantly used in traditional communications devices,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88" w:lineRule="exact"/>
        <w:rPr>
          <w:rFonts w:ascii="MS PGothic" w:cs="MS PGothic" w:eastAsia="MS PGothic" w:hAnsi="MS PGothic"/>
          <w:sz w:val="18"/>
          <w:szCs w:val="18"/>
          <w:color w:val="auto"/>
        </w:rPr>
      </w:pPr>
    </w:p>
    <w:p>
      <w:pPr>
        <w:ind w:left="980" w:right="20" w:hanging="324"/>
        <w:spacing w:after="0" w:line="270" w:lineRule="auto"/>
        <w:tabs>
          <w:tab w:leader="none" w:pos="98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Optical hybrid-integration technology. </w:t>
      </w:r>
      <w:r>
        <w:rPr>
          <w:rFonts w:ascii="Arial" w:cs="Arial" w:eastAsia="Arial" w:hAnsi="Arial"/>
          <w:sz w:val="17"/>
          <w:szCs w:val="17"/>
          <w:color w:val="auto"/>
        </w:rPr>
        <w:t>Reducing the size, power consumption and complexity of optical devices is essential for achieving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and performance targets of our customers. Our ability to integrate multiple optical networking functions into a single device and to co-package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81" w:lineRule="exact"/>
        <w:rPr>
          <w:rFonts w:ascii="MS PGothic" w:cs="MS PGothic" w:eastAsia="MS PGothic" w:hAnsi="MS PGothic"/>
          <w:sz w:val="17"/>
          <w:szCs w:val="17"/>
          <w:color w:val="auto"/>
        </w:rPr>
      </w:pPr>
    </w:p>
    <w:p>
      <w:pPr>
        <w:ind w:left="980" w:right="120"/>
        <w:spacing w:after="0" w:line="272" w:lineRule="auto"/>
        <w:rPr>
          <w:rFonts w:ascii="MS PGothic" w:cs="MS PGothic" w:eastAsia="MS PGothic" w:hAnsi="MS PGothic"/>
          <w:sz w:val="17"/>
          <w:szCs w:val="17"/>
          <w:color w:val="auto"/>
        </w:rPr>
      </w:pPr>
      <w:r>
        <w:rPr>
          <w:rFonts w:ascii="Arial" w:cs="Arial" w:eastAsia="Arial" w:hAnsi="Arial"/>
          <w:sz w:val="17"/>
          <w:szCs w:val="17"/>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77" w:lineRule="exact"/>
        <w:rPr>
          <w:rFonts w:ascii="MS PGothic" w:cs="MS PGothic" w:eastAsia="MS PGothic" w:hAnsi="MS PGothic"/>
          <w:sz w:val="17"/>
          <w:szCs w:val="17"/>
          <w:color w:val="auto"/>
        </w:rPr>
      </w:pPr>
    </w:p>
    <w:p>
      <w:pPr>
        <w:ind w:left="980" w:right="100" w:hanging="324"/>
        <w:spacing w:after="0" w:line="270" w:lineRule="auto"/>
        <w:tabs>
          <w:tab w:leader="none" w:pos="98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Mixed-signal design. </w:t>
      </w:r>
      <w:r>
        <w:rPr>
          <w:rFonts w:ascii="Arial" w:cs="Arial" w:eastAsia="Arial" w:hAnsi="Arial"/>
          <w:sz w:val="17"/>
          <w:szCs w:val="17"/>
          <w:color w:val="auto"/>
        </w:rPr>
        <w:t>As CATV providers continue to evolve from primarily broadcast-video content providers to a mixture of HD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w:t>
      </w:r>
    </w:p>
    <w:p>
      <w:pPr>
        <w:sectPr>
          <w:pgSz w:w="11900" w:h="16871" w:orient="portrait"/>
          <w:cols w:equalWidth="0" w:num="1">
            <w:col w:w="11420"/>
          </w:cols>
          <w:pgMar w:left="240" w:top="125" w:right="239" w:bottom="0" w:gutter="0" w:footer="0" w:header="0"/>
        </w:sectPr>
      </w:pPr>
    </w:p>
    <w:bookmarkStart w:id="7" w:name="page8"/>
    <w:bookmarkEnd w:id="7"/>
    <w:p>
      <w:pPr>
        <w:ind w:right="120"/>
        <w:spacing w:after="0" w:line="342" w:lineRule="auto"/>
        <w:rPr>
          <w:sz w:val="20"/>
          <w:szCs w:val="20"/>
          <w:color w:val="auto"/>
        </w:rPr>
      </w:pPr>
      <w:r>
        <w:rPr>
          <w:rFonts w:ascii="Arial" w:cs="Arial" w:eastAsia="Arial" w:hAnsi="Arial"/>
          <w:sz w:val="16"/>
          <w:szCs w:val="16"/>
          <w:color w:val="auto"/>
        </w:rPr>
        <w:t>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December 31, 2019, we owned a total of 149 U.S. issued patents and 142 patents issued in China and Taiwan, plus a number of pending U.S. and foreign/international patent applications. Our issued U.S. and foreign patents will expire between 2020 and 2040. While our patents are an important element of our success, our business as a whole is not dependent on any one patent or group of patents. We do not anticipate any material effect on our business due to any patents expiring in 2020, and we continue to obtain new patents through our ongoing research and development.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4"/>
        <w:spacing w:after="0"/>
        <w:tabs>
          <w:tab w:leader="none" w:pos="980" w:val="left"/>
        </w:tabs>
        <w:numPr>
          <w:ilvl w:val="0"/>
          <w:numId w:val="12"/>
        </w:numPr>
        <w:rPr>
          <w:rFonts w:ascii="MS PGothic" w:cs="MS PGothic" w:eastAsia="MS PGothic" w:hAnsi="MS PGothic"/>
          <w:sz w:val="22"/>
          <w:szCs w:val="22"/>
          <w:color w:val="auto"/>
        </w:rPr>
      </w:pPr>
      <w:r>
        <w:rPr>
          <w:rFonts w:ascii="Arial" w:cs="Arial" w:eastAsia="Arial" w:hAnsi="Arial"/>
          <w:sz w:val="18"/>
          <w:szCs w:val="18"/>
          <w:color w:val="auto"/>
        </w:rPr>
        <w:t>laser structure and design;</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12"/>
        </w:numPr>
        <w:rPr>
          <w:rFonts w:ascii="MS PGothic" w:cs="MS PGothic" w:eastAsia="MS PGothic" w:hAnsi="MS PGothic"/>
          <w:sz w:val="22"/>
          <w:szCs w:val="22"/>
          <w:color w:val="auto"/>
        </w:rPr>
      </w:pPr>
      <w:r>
        <w:rPr>
          <w:rFonts w:ascii="Arial" w:cs="Arial" w:eastAsia="Arial" w:hAnsi="Arial"/>
          <w:sz w:val="18"/>
          <w:szCs w:val="18"/>
          <w:color w:val="auto"/>
        </w:rPr>
        <w:t>optical signal conditioning and laser control;</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laser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photodiode and optical receiver design and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optical device and module designs;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optical device packaging equipment and techniques;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optical network enhancements.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Our research and development expenses were approximately $43.4 million, $49.9 million, and $35.4 million for the years 2019, 2018 and 2017,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2019, we had a total of 306 employees working in the R&amp;D department, including 16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9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w:t>
      </w:r>
    </w:p>
    <w:p>
      <w:pPr>
        <w:sectPr>
          <w:pgSz w:w="11900" w:h="16838" w:orient="portrait"/>
          <w:cols w:equalWidth="0" w:num="1">
            <w:col w:w="11420"/>
          </w:cols>
          <w:pgMar w:left="240" w:top="125" w:right="239" w:bottom="0" w:gutter="0" w:footer="0" w:header="0"/>
        </w:sectPr>
      </w:pPr>
    </w:p>
    <w:bookmarkStart w:id="8" w:name="page9"/>
    <w:bookmarkEnd w:id="8"/>
    <w:p>
      <w:pPr>
        <w:ind w:right="480"/>
        <w:spacing w:after="0" w:line="277" w:lineRule="auto"/>
        <w:rPr>
          <w:sz w:val="20"/>
          <w:szCs w:val="20"/>
          <w:color w:val="auto"/>
        </w:rPr>
      </w:pPr>
      <w:r>
        <w:rPr>
          <w:rFonts w:ascii="Arial" w:cs="Arial" w:eastAsia="Arial" w:hAnsi="Arial"/>
          <w:sz w:val="18"/>
          <w:szCs w:val="18"/>
          <w:color w:val="auto"/>
        </w:rPr>
        <w:t>interruptions in supply, and have implemented a supply-chain management program to maintain quality and lower purchase prices through standardized purchasing efficiencies and design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Our customers are primarily internet data center operators, CATV and telecom equipment manufacturers, and internet service providers. We generally employ a direct sales model in North America and in the rest of the world we use both direct and indirect sales channels. In 2019, 2018 and 2017, we obtained 98.0%, 96.4%, and 97.0%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last three years, we have taken several actions to increase the diversity of our customer base. These actions include hiring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2019, the three customers who contributed most to our data center revenue were Microsoft, Amazon, and Facebook. Our CATV products were used by three large CATV original equipment manufacturers, or OEMs, consisting of Cisco; CommScope (which in 2019 acquired Arris, who had previously acquired the Motorola Home Business in 2013 and Pace Plc in 2016); and a US-based public company who provides CATV equipment. In 2019, revenue from the internet data center market, CATV market, telecom market, FTTH market and other markets provided 75.2%, 19.6%, 4.4%, 0.1% and 0.7% of our revenue, respectively, compared to 74.9%, 19.3%, 4.9%, 0.3% and 0.6% , respectively, in 2018.</w:t>
      </w:r>
    </w:p>
    <w:p>
      <w:pPr>
        <w:spacing w:after="0" w:line="173"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spacing w:after="0" w:line="14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certain financial information regarding our business, see “Item 6.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Foxconn Interconnect Technology Ltd., InnoLight Technology (Suzhou) Ltd., Intel Corporation, Lumentum Holdings, Inc., Mitsubishi, Molex, LLC, Source Photonics, Inc. and Sumitomo Electric Industries, Ltd.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225"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use of internally manufactured components;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product breadth and functionality;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timing and pace of new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breadth of customer base;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technological expertise;</w:t>
      </w:r>
    </w:p>
    <w:p>
      <w:pPr>
        <w:sectPr>
          <w:pgSz w:w="11900" w:h="16838" w:orient="portrait"/>
          <w:cols w:equalWidth="0" w:num="1">
            <w:col w:w="11420"/>
          </w:cols>
          <w:pgMar w:left="240" w:top="125" w:right="239" w:bottom="0" w:gutter="0" w:footer="0" w:header="0"/>
        </w:sectPr>
      </w:pPr>
    </w:p>
    <w:bookmarkStart w:id="9" w:name="page10"/>
    <w:bookmarkEnd w:id="9"/>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reliability of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product pricing;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manufacturing efficiency.</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Operations—Seasonality,” regarding seasonality of certain of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of December 31, 2019, we employed 3,115 full-time employees, of which 42 held Ph.D. degrees in a science or engineering field. Of our employees, 417 are located in the U.S., 920 are located in Taiwan and 1,778 are located in China.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requires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Regulations</w:t>
      </w:r>
    </w:p>
    <w:p>
      <w:pPr>
        <w:sectPr>
          <w:pgSz w:w="11900" w:h="16838" w:orient="portrait"/>
          <w:cols w:equalWidth="0" w:num="1">
            <w:col w:w="11420"/>
          </w:cols>
          <w:pgMar w:left="240" w:top="341" w:right="239" w:bottom="0" w:gutter="0" w:footer="0" w:header="0"/>
        </w:sectPr>
      </w:pPr>
    </w:p>
    <w:bookmarkStart w:id="10" w:name="page11"/>
    <w:bookmarkEnd w:id="10"/>
    <w:p>
      <w:pPr>
        <w:ind w:right="40" w:firstLine="648"/>
        <w:spacing w:after="0" w:line="255" w:lineRule="auto"/>
        <w:rPr>
          <w:sz w:val="20"/>
          <w:szCs w:val="20"/>
          <w:color w:val="auto"/>
        </w:rPr>
      </w:pPr>
      <w:r>
        <w:rPr>
          <w:rFonts w:ascii="Arial" w:cs="Arial" w:eastAsia="Arial" w:hAnsi="Arial"/>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 Our website address is www.ao-inc.com. Information contained on our website is not incorporated by reference into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generate much of our revenue from a limited number of customers. For each year ended 2019, 2018 and 2017, our top ten customers represented 88.1%, 92.9%, and 94.9% of our revenue, respectively. In 2019, Microsoft represented 32.2% of our revenue, Amazon represented 24.0% of our revenue, Facebook represented 10.9% of our revenue, and Cisco represented 10.0%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ectPr>
          <w:pgSz w:w="11900" w:h="16838" w:orient="portrait"/>
          <w:cols w:equalWidth="0" w:num="1">
            <w:col w:w="11420"/>
          </w:cols>
          <w:pgMar w:left="240" w:top="125" w:right="239" w:bottom="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customers do not qualify our products for use on a timely basis, our results of operations may suffer.</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1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modification of product specifications and customer requirements;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unanticipated engineering complexities;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rapidly changing technology or competitive product requirements.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w:t>
      </w:r>
    </w:p>
    <w:p>
      <w:pPr>
        <w:sectPr>
          <w:pgSz w:w="11900" w:h="16945" w:orient="portrait"/>
          <w:cols w:equalWidth="0" w:num="1">
            <w:col w:w="11420"/>
          </w:cols>
          <w:pgMar w:left="240" w:top="341" w:right="239" w:bottom="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tension in U.S.-China trade relations may adversely impact our business and operating results.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U.S. government has made statements and amended its U.S. trade policies, resulting in tariffs that affect imported products manufactured in China, by our Chinese subsidiary. In addition, the Chinese government has imposed reciprocal tariffs that affect products manufactured by our U.S. operations. The additional tariffs have increased our cost of goods sold, however we believe that the negative impact of these tariffs has not been material to our financial results. Although we cannot predict the impact of any future tariffs, we intend to continue to adjust our manufacturing processes, supplier lists, and manufacturing locations in order to minimize the impact of any tariffs on both AOI and our customers.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It is unknown whether and to what extent additional new tariffs (or other new laws or regulations) will be adopted that increase the cost of importing and/or exporting products to or from the United States, or from China to the United States. Furthermore, it is unknown what effect that any such new tariffs or retaliatory actions would have on us or our industry and customers.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Although we conducted extensive testing of our products to demonstrate that any potentially affected units could be nearly eliminated from future shipments, and we subsequently resumed shipments with the customer’s agreement,we did incur additional testing costs and costs to enhance the ongoing monitoring of product quality which adversely affected the results of our operations. It is unclear the extent to which our reputation with this customer, or other customers, may have been affected.</w:t>
      </w:r>
    </w:p>
    <w:p>
      <w:pPr>
        <w:spacing w:after="0" w:line="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Manufacturing problems and any such delays would negatively affect our sales and revenue and could negatively affect our competitive position and reputation. We may also experience delays in production, typically in February, during the Lunar New Year holiday when our facilities in China and Taiwan are closed.</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29845"/>
                    </a:xfrm>
                    <a:prstGeom prst="rect">
                      <a:avLst/>
                    </a:prstGeom>
                    <a:noFill/>
                  </pic:spPr>
                </pic:pic>
              </a:graphicData>
            </a:graphic>
          </wp:anchor>
        </w:drawing>
      </w: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2,719 of our employees as of December 31, 2019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Historically, we have generated much of our revenue from the CATV market. In 2019, 2018 and 2017, the CATV market represented 19.6%, 19.3%, and 15.9%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operating history in the telecom and FTTH markets, and our business could be harmed if these markets do not develop as we expect.</w:t>
      </w:r>
    </w:p>
    <w:p>
      <w:pPr>
        <w:spacing w:after="0" w:line="248"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For 2019 and 2018, respectively, we generated 4.4% and 4.9% of our revenue from the telecom market and 0.1% and 0.3%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w:t>
      </w:r>
    </w:p>
    <w:p>
      <w:pPr>
        <w:ind w:right="40"/>
        <w:spacing w:after="0" w:line="285" w:lineRule="auto"/>
        <w:rPr>
          <w:sz w:val="20"/>
          <w:szCs w:val="20"/>
          <w:color w:val="auto"/>
        </w:rPr>
      </w:pPr>
      <w:r>
        <w:rPr>
          <w:rFonts w:ascii="Arial" w:cs="Arial" w:eastAsia="Arial" w:hAnsi="Arial"/>
          <w:sz w:val="16"/>
          <w:szCs w:val="16"/>
          <w:color w:val="auto"/>
        </w:rPr>
        <w:t>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 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3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the timing, size and mix of sales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63" w:lineRule="exact"/>
        <w:rPr>
          <w:rFonts w:ascii="MS PGothic" w:cs="MS PGothic" w:eastAsia="MS PGothic" w:hAnsi="MS PGothic"/>
          <w:sz w:val="17"/>
          <w:szCs w:val="17"/>
          <w:color w:val="auto"/>
        </w:rPr>
      </w:pPr>
    </w:p>
    <w:p>
      <w:pPr>
        <w:ind w:left="980" w:hanging="324"/>
        <w:spacing w:after="0"/>
        <w:tabs>
          <w:tab w:leader="none" w:pos="98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new product introductions and enhancements by us or our competitors;</w:t>
      </w:r>
    </w:p>
    <w:p>
      <w:pPr>
        <w:sectPr>
          <w:pgSz w:w="11900" w:h="16838" w:orient="portrait"/>
          <w:cols w:equalWidth="0" w:num="1">
            <w:col w:w="11400"/>
          </w:cols>
          <w:pgMar w:left="240" w:top="260" w:right="259" w:bottom="0" w:gutter="0" w:footer="0" w:header="0"/>
        </w:sectPr>
      </w:pPr>
    </w:p>
    <w:bookmarkStart w:id="14" w:name="page15"/>
    <w:bookmarkEnd w:id="14"/>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the gain or loss of key customers;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the rate at which our present and potential customers and end users adopt our technologies;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changes in our pricing and sales policies or the pricing and sales policies of our competitors;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seasonality of certain of our products and manufacturing capabilities;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quality control or yield problems in our manufacturing operations;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supply disruption for certain raw materials and components used in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capacity constraints of our outside contract manufacturers for a portion of the manufacturing process for some of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length and variability of the sales cycles of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unanticipated increases in costs or expenses;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the loss of key employees;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different capital expenditure and budget cycles for our customers, affecting the timing of their spending for our products;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political stability in the areas of the world in which we operate;</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fluctuations in foreign currency exchange rates;</w:t>
            </w:r>
          </w:p>
        </w:tc>
        <w:tc>
          <w:tcPr>
            <w:tcW w:w="0" w:type="dxa"/>
            <w:vAlign w:val="bottom"/>
          </w:tcPr>
          <w:p>
            <w:pPr>
              <w:spacing w:after="0"/>
              <w:rPr>
                <w:sz w:val="1"/>
                <w:szCs w:val="1"/>
                <w:color w:val="auto"/>
              </w:rPr>
            </w:pPr>
          </w:p>
        </w:tc>
      </w:tr>
      <w:tr>
        <w:trPr>
          <w:trHeight w:val="459"/>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rPr>
              <w:t>changes in accounting rules;</w:t>
            </w:r>
          </w:p>
        </w:tc>
        <w:tc>
          <w:tcPr>
            <w:tcW w:w="0" w:type="dxa"/>
            <w:vAlign w:val="bottom"/>
          </w:tcPr>
          <w:p>
            <w:pPr>
              <w:spacing w:after="0"/>
              <w:rPr>
                <w:sz w:val="1"/>
                <w:szCs w:val="1"/>
                <w:color w:val="auto"/>
              </w:rPr>
            </w:pPr>
          </w:p>
        </w:tc>
      </w:tr>
      <w:tr>
        <w:trPr>
          <w:trHeight w:val="445"/>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0420" w:type="dxa"/>
            <w:vAlign w:val="bottom"/>
          </w:tcPr>
          <w:p>
            <w:pPr>
              <w:ind w:left="120"/>
              <w:spacing w:after="0"/>
              <w:rPr>
                <w:sz w:val="20"/>
                <w:szCs w:val="20"/>
                <w:color w:val="auto"/>
              </w:rPr>
            </w:pPr>
            <w:r>
              <w:rPr>
                <w:rFonts w:ascii="Arial" w:cs="Arial" w:eastAsia="Arial" w:hAnsi="Arial"/>
                <w:sz w:val="18"/>
                <w:szCs w:val="18"/>
                <w:color w:val="auto"/>
                <w:w w:val="90"/>
              </w:rPr>
              <w:t>changes in or limitations imposed by trade protection laws or other regulatory orders or requirements in the United States or in other countries,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including tariffs, sanctions, or other costs, restrictions, or requirements which may affect our ability to import or export our products to or from</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various countries;</w:t>
            </w:r>
          </w:p>
        </w:tc>
        <w:tc>
          <w:tcPr>
            <w:tcW w:w="0" w:type="dxa"/>
            <w:vAlign w:val="bottom"/>
          </w:tcPr>
          <w:p>
            <w:pPr>
              <w:spacing w:after="0"/>
              <w:rPr>
                <w:sz w:val="1"/>
                <w:szCs w:val="1"/>
                <w:color w:val="auto"/>
              </w:rPr>
            </w:pPr>
          </w:p>
        </w:tc>
      </w:tr>
      <w:tr>
        <w:trPr>
          <w:trHeight w:val="438"/>
        </w:trPr>
        <w:tc>
          <w:tcPr>
            <w:tcW w:w="20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0420" w:type="dxa"/>
            <w:vAlign w:val="bottom"/>
          </w:tcPr>
          <w:p>
            <w:pPr>
              <w:ind w:left="120"/>
              <w:spacing w:after="0"/>
              <w:rPr>
                <w:sz w:val="20"/>
                <w:szCs w:val="20"/>
                <w:color w:val="auto"/>
              </w:rPr>
            </w:pPr>
            <w:r>
              <w:rPr>
                <w:rFonts w:ascii="Arial" w:cs="Arial" w:eastAsia="Arial" w:hAnsi="Arial"/>
                <w:sz w:val="22"/>
                <w:szCs w:val="22"/>
                <w:color w:val="auto"/>
                <w:w w:val="95"/>
              </w:rPr>
              <w:t>trade-related government actions that impose barriers or restrictions that would impact our ability to sell or ship</w:t>
            </w:r>
          </w:p>
        </w:tc>
        <w:tc>
          <w:tcPr>
            <w:tcW w:w="0" w:type="dxa"/>
            <w:vAlign w:val="bottom"/>
          </w:tcPr>
          <w:p>
            <w:pPr>
              <w:spacing w:after="0"/>
              <w:rPr>
                <w:sz w:val="1"/>
                <w:szCs w:val="1"/>
                <w:color w:val="auto"/>
              </w:rPr>
            </w:pPr>
          </w:p>
        </w:tc>
      </w:tr>
      <w:tr>
        <w:trPr>
          <w:trHeight w:val="153"/>
        </w:trPr>
        <w:tc>
          <w:tcPr>
            <w:tcW w:w="200" w:type="dxa"/>
            <w:vAlign w:val="bottom"/>
            <w:vMerge w:val="continue"/>
          </w:tcPr>
          <w:p>
            <w:pPr>
              <w:spacing w:after="0"/>
              <w:rPr>
                <w:sz w:val="13"/>
                <w:szCs w:val="13"/>
                <w:color w:val="auto"/>
              </w:rPr>
            </w:pPr>
          </w:p>
        </w:tc>
        <w:tc>
          <w:tcPr>
            <w:tcW w:w="10420" w:type="dxa"/>
            <w:vAlign w:val="bottom"/>
            <w:vMerge w:val="restart"/>
          </w:tcPr>
          <w:p>
            <w:pPr>
              <w:ind w:left="120"/>
              <w:spacing w:after="0"/>
              <w:rPr>
                <w:sz w:val="20"/>
                <w:szCs w:val="20"/>
                <w:color w:val="auto"/>
              </w:rPr>
            </w:pPr>
            <w:r>
              <w:rPr>
                <w:rFonts w:ascii="Arial" w:cs="Arial" w:eastAsia="Arial" w:hAnsi="Arial"/>
                <w:sz w:val="22"/>
                <w:szCs w:val="22"/>
                <w:color w:val="auto"/>
              </w:rPr>
              <w:t>products to Huawei or other customers;</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0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4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of December 31, 2019, we had approximately $133.3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79"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Branch Banking and Trust,</w:t>
      </w:r>
    </w:p>
    <w:p>
      <w:pPr>
        <w:sectPr>
          <w:pgSz w:w="11900" w:h="16975" w:orient="portrait"/>
          <w:cols w:equalWidth="0" w:num="1">
            <w:col w:w="11400"/>
          </w:cols>
          <w:pgMar w:left="240" w:top="125" w:right="259" w:bottom="0" w:gutter="0" w:footer="0" w:header="0"/>
        </w:sectPr>
      </w:pPr>
    </w:p>
    <w:bookmarkStart w:id="15" w:name="page16"/>
    <w:bookmarkEnd w:id="15"/>
    <w:p>
      <w:pPr>
        <w:spacing w:after="0" w:line="4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 or cash flows.</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Outbreaks of epidemic, pandemic, or contagious diseases, such as the recent novel coronavirus or, historically, the Ebola virus, Middle East Respiratory Syndrome, Severe Acute Respiratory Syndrome, or the H1N1 virus, could divert medical resources and priorities towards the treatment of that disease.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 For example, as a result of the extension of the Lunar New Year holidays due to the recent outbreak of novel coronavirus originating in Wuhan, China, certain of our product shipments from China have been delayed. Although we are monitoring the situation on a daily basis, it is currently unknown whether the outbreak will continue to disrupt our product shipments or impact manufacturing in the region over a prolonged period. If such disruption were to extend over a prolonged period, it could have a material impact on our revenues and our business. Any disruption resulting from similar events on a larger scale or over a prolonged period could cause significant delays in shipments of our products until we are able to resume such shipments, or shift our manufacturing, assembly, or test from the affected contractor to another third-party vendor, if needed. There can be no assurance that alternative capacity could be obtained on favorable terms, if at all.</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depend on a limited number of suppliers and any supply interruption could have an adverse effect on our business.</w:t>
      </w:r>
    </w:p>
    <w:p>
      <w:pPr>
        <w:spacing w:after="0" w:line="2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For example,</w:t>
      </w:r>
    </w:p>
    <w:p>
      <w:pPr>
        <w:sectPr>
          <w:pgSz w:w="11900" w:h="16887" w:orient="portrait"/>
          <w:cols w:equalWidth="0" w:num="1">
            <w:col w:w="11420"/>
          </w:cols>
          <w:pgMar w:left="240" w:top="125" w:right="239" w:bottom="0" w:gutter="0" w:footer="0" w:header="0"/>
        </w:sectPr>
      </w:pPr>
    </w:p>
    <w:bookmarkStart w:id="16" w:name="page17"/>
    <w:bookmarkEnd w:id="16"/>
    <w:p>
      <w:pPr>
        <w:spacing w:after="0" w:line="9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shipments of certain of our 100 Gbps transceiver products to one of our customers decreased during the three months ended September 30, 2018 due to customer concerns about failures of similar products shipped previously.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We have lending arrangements with several financial institutions, including loan agreements with Branch Banking and Trust (BB&amp;T) Bank in the U.S., credit facilities with Taishin International Bank and Far Eastern International Bank, Co., and equipment finance agreements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w:t>
      </w:r>
    </w:p>
    <w:p>
      <w:pPr>
        <w:spacing w:after="0" w:line="4"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Our credit facilities with Shanghai Pudong Development Bank Co., Ltd. and China Zheshang Bank 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expansion of research and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expansion of manufacturing capabilities;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hiring of additional technical, sales and other personnel;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acquisitions of complementary businesses.</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2020, we may be unable to meet the demands of existing and prospective customers, adversely affecting our sales and market opportunities and consequently our business, financial condition and results of operations.</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7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5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w:t>
      </w:r>
    </w:p>
    <w:p>
      <w:pPr>
        <w:sectPr>
          <w:pgSz w:w="11900" w:h="16932" w:orient="portrait"/>
          <w:cols w:equalWidth="0" w:num="1">
            <w:col w:w="11420"/>
          </w:cols>
          <w:pgMar w:left="240" w:top="125" w:right="239" w:bottom="0" w:gutter="0" w:footer="0" w:header="0"/>
        </w:sectPr>
      </w:pPr>
    </w:p>
    <w:bookmarkStart w:id="17" w:name="page18"/>
    <w:bookmarkEnd w:id="17"/>
    <w:p>
      <w:pPr>
        <w:ind w:right="60"/>
        <w:spacing w:after="0" w:line="255" w:lineRule="auto"/>
        <w:rPr>
          <w:sz w:val="20"/>
          <w:szCs w:val="20"/>
          <w:color w:val="auto"/>
        </w:rPr>
      </w:pPr>
      <w:r>
        <w:rPr>
          <w:rFonts w:ascii="Arial" w:cs="Arial" w:eastAsia="Arial" w:hAnsi="Arial"/>
          <w:sz w:val="18"/>
          <w:szCs w:val="18"/>
          <w:color w:val="auto"/>
        </w:rPr>
        <w:t>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U.S. government has made statements and taken certain actions that have led and may lead to further changes to U.S. and international trade policies, including recently-imposed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Four rounds of U.S. tariffs on imports from China (respectively the "U.S. Tariffs on China Imports") went into effect on July 2018, August 2018, and September 2019. A limited number of our products that have are of Chinese country of origin are currently subject to the U.S. Tariffs on China Imports.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2019, 2018 and 2017, 18.8%, 23.1%, and 22.7% of our revenue was derived from sales that occurred outside of North America, respectively. In addition, a significant portion of our manufacturing operations is based in Ningbo, China and Taipei, Taiwan.</w:t>
      </w:r>
    </w:p>
    <w:p>
      <w:pPr>
        <w:spacing w:after="0" w:line="181"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Trade-related government actions, by China or other countries that impose barriers or restrictions that would impact our ability to sell or ship products to customers or potential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international revenue and operations are subject to a number of material risks, including:</w:t>
      </w:r>
    </w:p>
    <w:p>
      <w:pPr>
        <w:spacing w:after="0" w:line="19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difficulties in staffing, managing and supporting operations in more than one country;</w:t>
      </w:r>
    </w:p>
    <w:p>
      <w:pPr>
        <w:spacing w:after="0" w:line="229" w:lineRule="exact"/>
        <w:rPr>
          <w:sz w:val="20"/>
          <w:szCs w:val="20"/>
          <w:color w:val="auto"/>
        </w:rPr>
      </w:pPr>
    </w:p>
    <w:p>
      <w:pPr>
        <w:ind w:left="980" w:hanging="324"/>
        <w:spacing w:after="0"/>
        <w:tabs>
          <w:tab w:leader="none" w:pos="980" w:val="left"/>
        </w:tabs>
        <w:numPr>
          <w:ilvl w:val="0"/>
          <w:numId w:val="21"/>
        </w:numPr>
        <w:rPr>
          <w:rFonts w:ascii="MS PGothic" w:cs="MS PGothic" w:eastAsia="MS PGothic" w:hAnsi="MS PGothic"/>
          <w:sz w:val="22"/>
          <w:szCs w:val="22"/>
          <w:color w:val="auto"/>
        </w:rPr>
      </w:pPr>
      <w:r>
        <w:rPr>
          <w:rFonts w:ascii="Arial" w:cs="Arial" w:eastAsia="Arial" w:hAnsi="Arial"/>
          <w:sz w:val="18"/>
          <w:szCs w:val="18"/>
          <w:color w:val="auto"/>
        </w:rPr>
        <w:t>difficulties in enforcing agreements and collecting receivables through foreign legal systems;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fewer legal protections for intellectual property in foreign jurisdictions;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foreign and U.S. taxation issues and international trade barriers, including the adoption or expansion of governmental trade tariffs;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fluctuations in foreign economies;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fluctuations in the value of foreign currencies and interest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trade and travel restrictions;</w:t>
      </w:r>
    </w:p>
    <w:p>
      <w:pPr>
        <w:spacing w:after="0" w:line="252" w:lineRule="exact"/>
        <w:rPr>
          <w:rFonts w:ascii="MS PGothic" w:cs="MS PGothic" w:eastAsia="MS PGothic" w:hAnsi="MS PGothic"/>
          <w:sz w:val="18"/>
          <w:szCs w:val="18"/>
          <w:color w:val="auto"/>
        </w:rPr>
      </w:pPr>
    </w:p>
    <w:p>
      <w:pPr>
        <w:ind w:left="980" w:right="60" w:hanging="324"/>
        <w:spacing w:after="0" w:line="277" w:lineRule="auto"/>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MS PGothic" w:cs="MS PGothic" w:eastAsia="MS PGothic" w:hAnsi="MS PGothic"/>
          <w:sz w:val="18"/>
          <w:szCs w:val="18"/>
          <w:color w:val="auto"/>
        </w:rPr>
      </w:pPr>
    </w:p>
    <w:p>
      <w:pPr>
        <w:ind w:left="980" w:hanging="324"/>
        <w:spacing w:after="0"/>
        <w:tabs>
          <w:tab w:leader="none" w:pos="980"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difficulties and increased expenses in complying with a variety of U.S. and foreign laws, regulations and trade standards, including the Foreign</w:t>
      </w:r>
    </w:p>
    <w:p>
      <w:pPr>
        <w:sectPr>
          <w:pgSz w:w="11900" w:h="16838" w:orient="portrait"/>
          <w:cols w:equalWidth="0" w:num="1">
            <w:col w:w="11400"/>
          </w:cols>
          <w:pgMar w:left="240" w:top="125" w:right="259" w:bottom="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color w:val="auto"/>
        </w:rPr>
        <w:t>Corrupt Practices Act; and</w:t>
      </w:r>
    </w:p>
    <w:p>
      <w:pPr>
        <w:spacing w:after="0" w:line="225" w:lineRule="exact"/>
        <w:rPr>
          <w:sz w:val="20"/>
          <w:szCs w:val="20"/>
          <w:color w:val="auto"/>
        </w:rPr>
      </w:pPr>
    </w:p>
    <w:p>
      <w:pPr>
        <w:ind w:left="980" w:hanging="324"/>
        <w:spacing w:after="0"/>
        <w:tabs>
          <w:tab w:leader="none" w:pos="980" w:val="left"/>
        </w:tabs>
        <w:numPr>
          <w:ilvl w:val="0"/>
          <w:numId w:val="23"/>
        </w:numPr>
        <w:rPr>
          <w:rFonts w:ascii="MS PGothic" w:cs="MS PGothic" w:eastAsia="MS PGothic" w:hAnsi="MS PGothic"/>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Tax Act made broad and complex changes to the U.S. tax code, including, but not limited to, (1) reducing the U.S. federal corporate tax rate from 35 percent to 21 percent; (2) requiring companies to pay a one-time transition tax (“Transition Tax”) on certain unrepatriated earnings of foreign subsidiaries; (3) generally eliminating U.S. federal income taxes on dividends from foreign subsidiaries; (4) a new provision designed to tax global intangible low-taxed income (“GILTI”); (5) eliminating the corporate alternative minimum tax (“AMT”) and changing how existing AMT credits can be realized; (6) creating the base erosion anti-abuse tax (“BEAT”), a new minimum tax; (7) creating a new limitation on deductible interest expense; and (8) a limitation of the deduction for net operating losses generated after December 31, 2017 to 80% of current year taxable income and the elimination of net operating loss carrybacks.</w:t>
      </w:r>
    </w:p>
    <w:p>
      <w:pPr>
        <w:spacing w:after="0" w:line="18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a result, the Tax Act significantly changed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amounts that we have recorded that may materially impact our provision for income taxes in the period in which the adjustments are made.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24"/>
        </w:numPr>
        <w:rPr>
          <w:rFonts w:ascii="MS PGothic" w:cs="MS PGothic" w:eastAsia="MS PGothic" w:hAnsi="MS PGothic"/>
          <w:sz w:val="18"/>
          <w:szCs w:val="18"/>
          <w:color w:val="auto"/>
        </w:rPr>
      </w:pPr>
      <w:r>
        <w:rPr>
          <w:rFonts w:ascii="Arial" w:cs="Arial" w:eastAsia="Arial" w:hAnsi="Arial"/>
          <w:sz w:val="18"/>
          <w:szCs w:val="18"/>
          <w:color w:val="auto"/>
        </w:rPr>
        <w:t>difficulties integrating the acquired business;</w:t>
      </w:r>
    </w:p>
    <w:p>
      <w:pPr>
        <w:sectPr>
          <w:pgSz w:w="11900" w:h="16838" w:orient="portrait"/>
          <w:cols w:equalWidth="0" w:num="1">
            <w:col w:w="11420"/>
          </w:cols>
          <w:pgMar w:left="240" w:top="125" w:right="239" w:bottom="0" w:gutter="0" w:footer="0" w:header="0"/>
        </w:sectPr>
      </w:pPr>
    </w:p>
    <w:bookmarkStart w:id="19" w:name="page20"/>
    <w:bookmarkEnd w:id="19"/>
    <w:p>
      <w:pPr>
        <w:ind w:left="980" w:hanging="324"/>
        <w:spacing w:after="0"/>
        <w:tabs>
          <w:tab w:leader="none" w:pos="98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diversion of financial and management resources from our existing business;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5"/>
        </w:numPr>
        <w:rPr>
          <w:rFonts w:ascii="MS PGothic" w:cs="MS PGothic" w:eastAsia="MS PGothic" w:hAnsi="MS PGothic"/>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275" w:lineRule="exact"/>
        <w:rPr>
          <w:rFonts w:ascii="MS PGothic" w:cs="MS PGothic" w:eastAsia="MS PGothic" w:hAnsi="MS PGothic"/>
          <w:sz w:val="16"/>
          <w:szCs w:val="16"/>
          <w:color w:val="auto"/>
        </w:rPr>
      </w:pPr>
    </w:p>
    <w:p>
      <w:pPr>
        <w:ind w:left="980" w:hanging="324"/>
        <w:spacing w:after="0"/>
        <w:tabs>
          <w:tab w:leader="none" w:pos="98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ectPr>
          <w:pgSz w:w="11900" w:h="16838" w:orient="portrait"/>
          <w:cols w:equalWidth="0" w:num="1">
            <w:col w:w="11400"/>
          </w:cols>
          <w:pgMar w:left="240" w:top="125" w:right="25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3.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6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324"/>
        <w:spacing w:after="0"/>
        <w:tabs>
          <w:tab w:leader="none" w:pos="980" w:val="left"/>
        </w:tabs>
        <w:numPr>
          <w:ilvl w:val="0"/>
          <w:numId w:val="26"/>
        </w:numPr>
        <w:rPr>
          <w:rFonts w:ascii="MS PGothic" w:cs="MS PGothic" w:eastAsia="MS PGothic" w:hAnsi="MS PGothic"/>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75" w:lineRule="exact"/>
        <w:rPr>
          <w:rFonts w:ascii="MS PGothic" w:cs="MS PGothic" w:eastAsia="MS PGothic" w:hAnsi="MS PGothic"/>
          <w:sz w:val="16"/>
          <w:szCs w:val="16"/>
          <w:color w:val="auto"/>
        </w:rPr>
      </w:pPr>
    </w:p>
    <w:p>
      <w:pPr>
        <w:ind w:left="980" w:hanging="324"/>
        <w:spacing w:after="0"/>
        <w:tabs>
          <w:tab w:leader="none" w:pos="98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pay substantial monetary damages; or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w:t>
      </w:r>
    </w:p>
    <w:p>
      <w:pPr>
        <w:sectPr>
          <w:pgSz w:w="11900" w:h="16838" w:orient="portrait"/>
          <w:cols w:equalWidth="0" w:num="1">
            <w:col w:w="11420"/>
          </w:cols>
          <w:pgMar w:left="240" w:top="125" w:right="239" w:bottom="0" w:gutter="0" w:footer="0" w:header="0"/>
        </w:sectPr>
      </w:pPr>
    </w:p>
    <w:bookmarkStart w:id="21" w:name="page22"/>
    <w:bookmarkEnd w:id="21"/>
    <w:p>
      <w:pPr>
        <w:spacing w:after="0" w:line="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any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of December 31, 2019, we had U.S. accumulated net operating losses, or NOLs, of approximately $75.9 million, federal and state research and development credits (“R&amp;D credits”) of $8.3 million, interest expense of $0.8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and in the year ended December 31, 2019 had not prevented us from using all NOLs and tax credits accumulated before such ownership changes,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and solid wastes,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natural resource damages, third-party property damages or personal injury claims, administrative, civil or criminal penalties and could result in injunctive relief requiring us to make significant investments to upgrade our facilities, redesign or change our manufacturing processes, redesign our products,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w:t>
      </w:r>
    </w:p>
    <w:p>
      <w:pPr>
        <w:sectPr>
          <w:pgSz w:w="11900" w:h="16867" w:orient="portrait"/>
          <w:cols w:equalWidth="0" w:num="1">
            <w:col w:w="11420"/>
          </w:cols>
          <w:pgMar w:left="240" w:top="125" w:right="239" w:bottom="0" w:gutter="0" w:footer="0" w:header="0"/>
        </w:sectPr>
      </w:pPr>
    </w:p>
    <w:bookmarkStart w:id="22" w:name="page23"/>
    <w:bookmarkEnd w:id="22"/>
    <w:p>
      <w:pPr>
        <w:ind w:right="200"/>
        <w:spacing w:after="0" w:line="276" w:lineRule="auto"/>
        <w:rPr>
          <w:sz w:val="20"/>
          <w:szCs w:val="20"/>
          <w:color w:val="auto"/>
        </w:rPr>
      </w:pPr>
      <w:r>
        <w:rPr>
          <w:rFonts w:ascii="Arial" w:cs="Arial" w:eastAsia="Arial" w:hAnsi="Arial"/>
          <w:sz w:val="17"/>
          <w:szCs w:val="17"/>
          <w:color w:val="auto"/>
        </w:rPr>
        <w:t>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29, 2019. We have previously determined, as part of our compliance efforts, that certain products or components we obtain from our suppliers contain conflict minerals. Based on our Reasonable Country of Origin Inquiry on the source of our conflict minerals for the year ended December 31, 2018,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ectPr>
          <w:pgSz w:w="11900" w:h="16838" w:orient="portrait"/>
          <w:cols w:equalWidth="0" w:num="1">
            <w:col w:w="11420"/>
          </w:cols>
          <w:pgMar w:left="240" w:top="125" w:right="239" w:bottom="0" w:gutter="0" w:footer="0" w:header="0"/>
        </w:sectPr>
      </w:pPr>
    </w:p>
    <w:bookmarkStart w:id="23" w:name="page24"/>
    <w:bookmarkEnd w:id="23"/>
    <w:p>
      <w:pPr>
        <w:ind w:firstLine="648"/>
        <w:spacing w:after="0" w:line="297" w:lineRule="auto"/>
        <w:rPr>
          <w:sz w:val="20"/>
          <w:szCs w:val="20"/>
          <w:color w:val="auto"/>
        </w:rPr>
      </w:pPr>
      <w:r>
        <w:rPr>
          <w:rFonts w:ascii="Arial" w:cs="Arial" w:eastAsia="Arial" w:hAnsi="Arial"/>
          <w:sz w:val="16"/>
          <w:szCs w:val="16"/>
          <w:color w:val="auto"/>
        </w:rPr>
        <w:t>Our business operations conducted in China are critical to our success. A total of $83.3 million, $143.1 million, and $122.3 million or 43.6%, 53.6%, and 32.0% , of our revenue in the years ended December 31, 2019, 2018 and 2017 was attributable to our product manufactured at our plant in China, respectively. Additionally, a substantial portion of our property, plant and equipment, 37.1%, 36.8%, and 29.9% as of December 31, 2019, 2018 and 2017,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2008,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w:t>
      </w:r>
    </w:p>
    <w:p>
      <w:pPr>
        <w:sectPr>
          <w:pgSz w:w="11900" w:h="16838" w:orient="portrait"/>
          <w:cols w:equalWidth="0" w:num="1">
            <w:col w:w="11400"/>
          </w:cols>
          <w:pgMar w:left="240" w:top="125" w:right="259" w:bottom="0" w:gutter="0" w:footer="0" w:header="0"/>
        </w:sectPr>
      </w:pPr>
    </w:p>
    <w:bookmarkStart w:id="24" w:name="page25"/>
    <w:bookmarkEnd w:id="24"/>
    <w:p>
      <w:pPr>
        <w:spacing w:after="0" w:line="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“Item 3.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false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Legal, accounting, administrative and other costs and expenses may increase in the future as we continue to incur both increased external audit fees as well as additional spending to ensure continued regulatory compliance.</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w:t>
      </w:r>
    </w:p>
    <w:p>
      <w:pPr>
        <w:sectPr>
          <w:pgSz w:w="11900" w:h="16894" w:orient="portrait"/>
          <w:cols w:equalWidth="0" w:num="1">
            <w:col w:w="11420"/>
          </w:cols>
          <w:pgMar w:left="240" w:top="125"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shares at a profit. There is no guarantee that the price of our common stock in the market will ever exceed the price that you pay.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27"/>
        </w:numPr>
        <w:rPr>
          <w:rFonts w:ascii="MS PGothic" w:cs="MS PGothic" w:eastAsia="MS PGothic" w:hAnsi="MS PGothic"/>
          <w:sz w:val="22"/>
          <w:szCs w:val="22"/>
          <w:color w:val="auto"/>
        </w:rPr>
      </w:pPr>
      <w:r>
        <w:rPr>
          <w:rFonts w:ascii="Arial" w:cs="Arial" w:eastAsia="Arial" w:hAnsi="Arial"/>
          <w:sz w:val="18"/>
          <w:szCs w:val="18"/>
          <w:color w:val="auto"/>
        </w:rPr>
        <w:t>providing for a classified board of directors with staggered, three-year terms;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7"/>
        </w:numPr>
        <w:rPr>
          <w:rFonts w:ascii="MS PGothic" w:cs="MS PGothic" w:eastAsia="MS PGothic" w:hAnsi="MS PGothic"/>
          <w:sz w:val="22"/>
          <w:szCs w:val="22"/>
          <w:color w:val="auto"/>
        </w:rPr>
      </w:pPr>
      <w:r>
        <w:rPr>
          <w:rFonts w:ascii="Arial" w:cs="Arial" w:eastAsia="Arial" w:hAnsi="Arial"/>
          <w:sz w:val="18"/>
          <w:szCs w:val="18"/>
          <w:color w:val="auto"/>
        </w:rPr>
        <w:t>not providing for cumulative voting in the election of directors;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limiting the persons who may call special meetings of stockholders;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requiring advance notification of stockholder nominations and proposals; and</w:t>
      </w:r>
    </w:p>
    <w:p>
      <w:pPr>
        <w:spacing w:after="0" w:line="252" w:lineRule="exact"/>
        <w:rPr>
          <w:rFonts w:ascii="MS PGothic" w:cs="MS PGothic" w:eastAsia="MS PGothic" w:hAnsi="MS PGothic"/>
          <w:sz w:val="18"/>
          <w:szCs w:val="18"/>
          <w:color w:val="auto"/>
        </w:rPr>
      </w:pPr>
    </w:p>
    <w:p>
      <w:pPr>
        <w:ind w:left="980" w:right="300" w:hanging="324"/>
        <w:spacing w:after="0" w:line="277" w:lineRule="auto"/>
        <w:tabs>
          <w:tab w:leader="none" w:pos="980" w:val="left"/>
        </w:tabs>
        <w:numPr>
          <w:ilvl w:val="0"/>
          <w:numId w:val="27"/>
        </w:numPr>
        <w:rPr>
          <w:rFonts w:ascii="MS PGothic" w:cs="MS PGothic" w:eastAsia="MS PGothic" w:hAnsi="MS PGothic"/>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67" w:lineRule="exact"/>
        <w:rPr>
          <w:sz w:val="20"/>
          <w:szCs w:val="20"/>
          <w:color w:val="auto"/>
        </w:rPr>
      </w:pPr>
    </w:p>
    <w:p>
      <w:pPr>
        <w:jc w:val="center"/>
        <w:ind w:right="8280"/>
        <w:spacing w:after="0"/>
        <w:tabs>
          <w:tab w:leader="none" w:pos="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Owned or Lease</w:t>
            </w: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c>
          <w:tcPr>
            <w:tcW w:w="5700" w:type="dxa"/>
            <w:vAlign w:val="bottom"/>
          </w:tcPr>
          <w:p>
            <w:pPr>
              <w:spacing w:after="0"/>
              <w:rPr>
                <w:sz w:val="18"/>
                <w:szCs w:val="18"/>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Square Footage</w:t>
            </w:r>
          </w:p>
        </w:tc>
        <w:tc>
          <w:tcPr>
            <w:tcW w:w="5700" w:type="dxa"/>
            <w:vAlign w:val="bottom"/>
          </w:tcPr>
          <w:p>
            <w:pPr>
              <w:ind w:left="2720"/>
              <w:spacing w:after="0"/>
              <w:rPr>
                <w:sz w:val="20"/>
                <w:szCs w:val="20"/>
                <w:color w:val="auto"/>
              </w:rPr>
            </w:pPr>
            <w:r>
              <w:rPr>
                <w:rFonts w:ascii="Arial" w:cs="Arial" w:eastAsia="Arial" w:hAnsi="Arial"/>
                <w:sz w:val="18"/>
                <w:szCs w:val="18"/>
                <w:b w:val="1"/>
                <w:bCs w:val="1"/>
                <w:color w:val="auto"/>
              </w:rPr>
              <w:t>Use</w:t>
            </w: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Sugar Land, Texas</w:t>
            </w:r>
          </w:p>
        </w:tc>
        <w:tc>
          <w:tcPr>
            <w:tcW w:w="1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Owned (1)</w:t>
            </w: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139,450</w:t>
            </w:r>
          </w:p>
        </w:tc>
        <w:tc>
          <w:tcPr>
            <w:tcW w:w="100" w:type="dxa"/>
            <w:vAlign w:val="bottom"/>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Duluth, Georgia</w:t>
            </w:r>
          </w:p>
        </w:tc>
        <w:tc>
          <w:tcPr>
            <w:tcW w:w="1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December 31, 2022 (2)</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6,253</w:t>
            </w:r>
          </w:p>
        </w:tc>
        <w:tc>
          <w:tcPr>
            <w:tcW w:w="5700" w:type="dxa"/>
            <w:vAlign w:val="bottom"/>
          </w:tcPr>
          <w:p>
            <w:pPr>
              <w:spacing w:after="0"/>
              <w:rPr>
                <w:sz w:val="20"/>
                <w:szCs w:val="20"/>
                <w:color w:val="auto"/>
              </w:rPr>
            </w:pPr>
            <w:r>
              <w:rPr>
                <w:rFonts w:ascii="Arial" w:cs="Arial" w:eastAsia="Arial" w:hAnsi="Arial"/>
                <w:sz w:val="18"/>
                <w:szCs w:val="18"/>
                <w:color w:val="auto"/>
              </w:rPr>
              <w:t>Research and development</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Ningbo, China</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Owned (3)</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458,849</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Taipei, Taiwan</w:t>
            </w:r>
          </w:p>
        </w:tc>
        <w:tc>
          <w:tcPr>
            <w:tcW w:w="12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May 31, 2029 (4)</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268,797</w:t>
            </w:r>
          </w:p>
        </w:tc>
        <w:tc>
          <w:tcPr>
            <w:tcW w:w="5700" w:type="dxa"/>
            <w:vAlign w:val="bottom"/>
          </w:tcPr>
          <w:p>
            <w:pPr>
              <w:spacing w:after="0"/>
              <w:rPr>
                <w:sz w:val="20"/>
                <w:szCs w:val="20"/>
                <w:color w:val="auto"/>
              </w:rPr>
            </w:pPr>
            <w:r>
              <w:rPr>
                <w:rFonts w:ascii="Arial" w:cs="Arial" w:eastAsia="Arial" w:hAnsi="Arial"/>
                <w:sz w:val="18"/>
                <w:szCs w:val="18"/>
                <w:color w:val="auto"/>
              </w:rPr>
              <w:t>Administration, sales, manufacturing, 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4" w:lineRule="exact"/>
        <w:rPr>
          <w:sz w:val="20"/>
          <w:szCs w:val="20"/>
          <w:color w:val="auto"/>
        </w:rPr>
      </w:pPr>
    </w:p>
    <w:p>
      <w:pPr>
        <w:ind w:left="340" w:hanging="27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manufacture laser chips (utilizing our MBE and MOCVD process), subassemblies and components in our Sugar Land, Texas facility.</w:t>
      </w:r>
    </w:p>
    <w:p>
      <w:pPr>
        <w:spacing w:after="0" w:line="225" w:lineRule="exact"/>
        <w:rPr>
          <w:rFonts w:ascii="Arial" w:cs="Arial" w:eastAsia="Arial" w:hAnsi="Arial"/>
          <w:sz w:val="18"/>
          <w:szCs w:val="18"/>
          <w:color w:val="auto"/>
        </w:rPr>
      </w:pPr>
    </w:p>
    <w:p>
      <w:pPr>
        <w:ind w:left="340" w:hanging="27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lease covering the Georgia office commenced on December 1, 2015 and expires on December 31, 2022.</w:t>
      </w:r>
    </w:p>
    <w:p>
      <w:pPr>
        <w:spacing w:after="0" w:line="225" w:lineRule="exact"/>
        <w:rPr>
          <w:rFonts w:ascii="Arial" w:cs="Arial" w:eastAsia="Arial" w:hAnsi="Arial"/>
          <w:sz w:val="18"/>
          <w:szCs w:val="18"/>
          <w:color w:val="auto"/>
        </w:rPr>
      </w:pPr>
    </w:p>
    <w:p>
      <w:pPr>
        <w:ind w:left="340" w:right="100" w:hanging="278"/>
        <w:spacing w:after="0" w:line="29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our China facility, we manufacture certain more labor intensive components and optical equipment systems, such as optical subassemblies and transceivers for the internet data center market, CATV transmitters (at the headend) and CATV outdoor equipment (at the node).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We have begun construction on a new manufacturing facility on the second real property. The land use rights for the second real property expire on December 28, 2067.</w:t>
      </w:r>
    </w:p>
    <w:p>
      <w:pPr>
        <w:spacing w:after="0" w:line="164" w:lineRule="exact"/>
        <w:rPr>
          <w:rFonts w:ascii="Arial" w:cs="Arial" w:eastAsia="Arial" w:hAnsi="Arial"/>
          <w:sz w:val="16"/>
          <w:szCs w:val="16"/>
          <w:color w:val="auto"/>
        </w:rPr>
      </w:pPr>
    </w:p>
    <w:p>
      <w:pPr>
        <w:ind w:left="340" w:right="200" w:hanging="278"/>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Our Taiwan subsidiary relocated its entire operation to this facility in November 2014. The lease covering the new facility commenced on June 1, 2014 and expires on May 31, 2029.</w:t>
      </w:r>
    </w:p>
    <w:p>
      <w:pPr>
        <w:sectPr>
          <w:pgSz w:w="11900" w:h="16838" w:orient="portrait"/>
          <w:cols w:equalWidth="0" w:num="1">
            <w:col w:w="11420"/>
          </w:cols>
          <w:pgMar w:left="240" w:top="125" w:right="239" w:bottom="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From time to time, we may be subject to legal proceedings and litigation arising in the ordinary course of business, including, but not limited to, inquiries, investigations, audits and other regulatory proceedings, such as described below. Except for the lawsuit described below, we believe that there are no claims or actions pending or threatened against us, the ultimate disposition of which would have a material adverse effect on us.</w:t>
      </w:r>
    </w:p>
    <w:p>
      <w:pPr>
        <w:spacing w:after="0" w:line="16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 Stefan J. Murry, et al.</w:t>
      </w:r>
      <w:r>
        <w:rPr>
          <w:rFonts w:ascii="Arial" w:cs="Arial" w:eastAsia="Arial" w:hAnsi="Arial"/>
          <w:sz w:val="16"/>
          <w:szCs w:val="16"/>
          <w:color w:val="auto"/>
        </w:rPr>
        <w:t>, Case No. 4:17-cv-02399. The complaint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matter seeks class action status on behalf of the 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the Company filed a response in opposition to the motion for class certification, and on August 26, 2019, Plaintiffs filed their Reply Brief. The Court has not yet ruled on the pending motion for class certification. On November 13, 2019, the Magistrate Judge issued a Memorandum and Recommendation recommending that the Plaintiffs’ motion for class certification be granted, to which Defendants filed written objections on November 27, 2019. On December 11, 2019, Plaintiffs filed a response in opposition to Defendants’ objections, and on December 16, 2019, Defendants filed their reply brief. The court entered an order adopting the Magistrate Judge’s Memorandum and Recommendation over Defendants’ objections on December 20, 2019. Thereafter, on January 3, 2020, Defendants filed a petition for permission to appeal the class certification order to the Fifth Circuit Court of Appeals. Plaintiffs filed an answer in opposition to Defendants’ petition on January 13, 2020, and Defendants filed a reply brief in further support of the petition for permission to appeal on January 21, 2020. On January 23, 2020, Defendants filed an unopposed motion in the Fifth Circuit requesting that the court stay further proceedings for 90 days to allow the parties to conduct settlement negotiations. The Fifth Circuit entered an order granting the motion on January 24, 2020. The case is currently in the discovery phase, and fact discovery is scheduled to be completed by June 1, 2020. At this stage, we are not yet able to determine the likelihood of loss, if any, arising from this matter.</w:t>
      </w:r>
    </w:p>
    <w:p>
      <w:pPr>
        <w:spacing w:after="0" w:line="393"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On August 7, 2018, Plaintiff Lei Jin filed a purported derivative action on behalf of nominal defendant Applied Optoelectronics, Inc. in the U.S. District Court for the Southern District of Texas against the Company’s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Arial" w:cs="Arial" w:eastAsia="Arial" w:hAnsi="Arial"/>
          <w:sz w:val="16"/>
          <w:szCs w:val="16"/>
          <w:i w:val="1"/>
          <w:iCs w:val="1"/>
          <w:color w:val="auto"/>
        </w:rPr>
        <w:t xml:space="preserve">Abouzied </w:t>
      </w:r>
      <w:r>
        <w:rPr>
          <w:rFonts w:ascii="Arial" w:cs="Arial" w:eastAsia="Arial" w:hAnsi="Arial"/>
          <w:sz w:val="16"/>
          <w:szCs w:val="16"/>
          <w:color w:val="auto"/>
        </w:rPr>
        <w:t>securities class action and the</w:t>
      </w:r>
      <w:r>
        <w:rPr>
          <w:rFonts w:ascii="Arial" w:cs="Arial" w:eastAsia="Arial" w:hAnsi="Arial"/>
          <w:sz w:val="16"/>
          <w:szCs w:val="16"/>
          <w:i w:val="1"/>
          <w:iCs w:val="1"/>
          <w:color w:val="auto"/>
        </w:rPr>
        <w:t xml:space="preserve"> Taneja </w:t>
      </w:r>
      <w:r>
        <w:rPr>
          <w:rFonts w:ascii="Arial" w:cs="Arial" w:eastAsia="Arial" w:hAnsi="Arial"/>
          <w:sz w:val="16"/>
          <w:szCs w:val="16"/>
          <w:color w:val="auto"/>
        </w:rPr>
        <w:t>securities class action discussed below. The consolidated derivative action is stayed pending a ruling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defendants’ forthcoming motion to dismiss in the </w:t>
      </w:r>
      <w:r>
        <w:rPr>
          <w:rFonts w:ascii="Arial" w:cs="Arial" w:eastAsia="Arial" w:hAnsi="Arial"/>
          <w:sz w:val="16"/>
          <w:szCs w:val="16"/>
          <w:i w:val="1"/>
          <w:iCs w:val="1"/>
          <w:color w:val="auto"/>
        </w:rPr>
        <w:t>Taneja</w:t>
      </w:r>
      <w:r>
        <w:rPr>
          <w:rFonts w:ascii="Arial" w:cs="Arial" w:eastAsia="Arial" w:hAnsi="Arial"/>
          <w:sz w:val="16"/>
          <w:szCs w:val="16"/>
          <w:color w:val="auto"/>
        </w:rPr>
        <w:t xml:space="preserve"> securities class action. We dispute the allegations and intend to vigorously contest the matter.</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October 1, 2018, a lawsuit was filed in the U.S. District Court for the Southern District of Texas against the Company and two of its officers in </w:t>
      </w:r>
      <w:r>
        <w:rPr>
          <w:rFonts w:ascii="Arial" w:cs="Arial" w:eastAsia="Arial" w:hAnsi="Arial"/>
          <w:sz w:val="17"/>
          <w:szCs w:val="17"/>
          <w:i w:val="1"/>
          <w:iCs w:val="1"/>
          <w:color w:val="auto"/>
        </w:rPr>
        <w:t>Gaurav Taneja v. Applied Optoelectronics, Inc., Thompson Lin, and Stefan Murry</w:t>
      </w:r>
      <w:r>
        <w:rPr>
          <w:rFonts w:ascii="Arial" w:cs="Arial" w:eastAsia="Arial" w:hAnsi="Arial"/>
          <w:sz w:val="17"/>
          <w:szCs w:val="17"/>
          <w:color w:val="auto"/>
        </w:rPr>
        <w:t>, Case No. 4:18-cv-03544. The complaint in this matter seeks class action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status on behalf of the Company’s shareholders, alleging violations of Sections 10(b) and 20(a) of the Exchange Act against the Company, its chief executive officer, and its chief financial officer, arising out of its announcement on September 28, 2018 that it was revising its third quarter revenue guidance due to “an issue with a small percentage of 25G lasers within a specific customer environment.” This case was consolidated with two identical cases styled </w:t>
      </w:r>
      <w:r>
        <w:rPr>
          <w:rFonts w:ascii="Arial" w:cs="Arial" w:eastAsia="Arial" w:hAnsi="Arial"/>
          <w:sz w:val="17"/>
          <w:szCs w:val="17"/>
          <w:i w:val="1"/>
          <w:iCs w:val="1"/>
          <w:color w:val="auto"/>
        </w:rPr>
        <w:t>Davin Pokoik</w:t>
      </w:r>
      <w:r>
        <w:rPr>
          <w:rFonts w:ascii="Arial" w:cs="Arial" w:eastAsia="Arial" w:hAnsi="Arial"/>
          <w:sz w:val="17"/>
          <w:szCs w:val="17"/>
          <w:color w:val="auto"/>
        </w:rPr>
        <w:t xml:space="preserve"> </w:t>
      </w:r>
      <w:r>
        <w:rPr>
          <w:rFonts w:ascii="Arial" w:cs="Arial" w:eastAsia="Arial" w:hAnsi="Arial"/>
          <w:sz w:val="17"/>
          <w:szCs w:val="17"/>
          <w:i w:val="1"/>
          <w:iCs w:val="1"/>
          <w:color w:val="auto"/>
        </w:rPr>
        <w:t>v. Applied Optoelectronics, Inc., Chih-Hsiang Lin, and Stefan J. Murry</w:t>
      </w:r>
      <w:r>
        <w:rPr>
          <w:rFonts w:ascii="Arial" w:cs="Arial" w:eastAsia="Arial" w:hAnsi="Arial"/>
          <w:sz w:val="17"/>
          <w:szCs w:val="17"/>
          <w:color w:val="auto"/>
        </w:rPr>
        <w:t>, Case No. 4:18-cv-3722 and</w:t>
      </w:r>
      <w:r>
        <w:rPr>
          <w:rFonts w:ascii="Arial" w:cs="Arial" w:eastAsia="Arial" w:hAnsi="Arial"/>
          <w:sz w:val="17"/>
          <w:szCs w:val="17"/>
          <w:i w:val="1"/>
          <w:iCs w:val="1"/>
          <w:color w:val="auto"/>
        </w:rPr>
        <w:t xml:space="preserve"> Stephen McGrath v. Applied Optoelectronics, Inc., Chih-Hsiang Lin, and Stefan J. Murry</w:t>
      </w:r>
      <w:r>
        <w:rPr>
          <w:rFonts w:ascii="Arial" w:cs="Arial" w:eastAsia="Arial" w:hAnsi="Arial"/>
          <w:sz w:val="17"/>
          <w:szCs w:val="17"/>
          <w:color w:val="auto"/>
        </w:rPr>
        <w:t>. Mark Naglich was appointed as Lead Plaintiff on the consolidated matter on January 4, 2019. Lead Plaintiff filed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consolidated complaint on March 5, 2019, and the Company filed a motion to dismiss the amended consolidated complaint on May 6, 2019. On July 5, 2019, Plaintiff filed a response in opposition to the motion to dismiss, and the Company filed its reply brief in further support of the motion on August 5, 2019. On January 29, 2020, the district court entered an order granting Defendants’ motion to dismiss and dismissing the amended consolidated complaint with prejudice. The court also entered an order denying Lead Plaintiff’s request for leave to further amend the complaint, and entered a final judgment terminating the case. An appeal by Lead Plaintiff, if any, must be filed with the Fifth Circuit by February 28, 2020. We continue to dispute the allegations and intends to vigorously contest the matter should an appeal be filed.</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February 20, 2020 there were 36 holders of record of our common stock (not including beneficial holders of our common stock holding in street name). The following table sets forth, for the periods indicated, the high and low sales prices of our common stock as reported by the NASDAQ Global Market.</w:t>
      </w:r>
    </w:p>
    <w:p>
      <w:pPr>
        <w:spacing w:after="0" w:line="183" w:lineRule="exact"/>
        <w:rPr>
          <w:sz w:val="20"/>
          <w:szCs w:val="20"/>
          <w:color w:val="auto"/>
        </w:rPr>
      </w:pPr>
    </w:p>
    <w:p>
      <w:pPr>
        <w:ind w:left="8080"/>
        <w:spacing w:after="0"/>
        <w:tabs>
          <w:tab w:leader="none" w:pos="9780" w:val="left"/>
        </w:tabs>
        <w:rPr>
          <w:sz w:val="20"/>
          <w:szCs w:val="20"/>
          <w:color w:val="auto"/>
        </w:rPr>
      </w:pPr>
      <w:r>
        <w:rPr>
          <w:rFonts w:ascii="Arial" w:cs="Arial" w:eastAsia="Arial" w:hAnsi="Arial"/>
          <w:sz w:val="18"/>
          <w:szCs w:val="18"/>
          <w:b w:val="1"/>
          <w:bCs w:val="1"/>
          <w:color w:val="auto"/>
        </w:rPr>
        <w:t>Low</w:t>
      </w:r>
      <w:r>
        <w:rPr>
          <w:sz w:val="20"/>
          <w:szCs w:val="20"/>
          <w:color w:val="auto"/>
        </w:rPr>
        <w:tab/>
      </w:r>
      <w:r>
        <w:rPr>
          <w:rFonts w:ascii="Arial" w:cs="Arial" w:eastAsia="Arial" w:hAnsi="Arial"/>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517640" cy="53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5334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2018:</w:t>
            </w:r>
          </w:p>
        </w:tc>
        <w:tc>
          <w:tcPr>
            <w:tcW w:w="3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First Quarter</w:t>
            </w:r>
          </w:p>
        </w:tc>
        <w:tc>
          <w:tcPr>
            <w:tcW w:w="3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23.65</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38.89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Third Quarter</w:t>
            </w:r>
          </w:p>
        </w:tc>
        <w:tc>
          <w:tcPr>
            <w:tcW w:w="3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48.80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r>
      <w:tr>
        <w:trPr>
          <w:trHeight w:val="216"/>
        </w:trPr>
        <w:tc>
          <w:tcPr>
            <w:tcW w:w="4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3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First Quarter</w:t>
            </w:r>
          </w:p>
        </w:tc>
        <w:tc>
          <w:tcPr>
            <w:tcW w:w="3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Third Quarter</w:t>
            </w:r>
          </w:p>
        </w:tc>
        <w:tc>
          <w:tcPr>
            <w:tcW w:w="34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131445</wp:posOffset>
            </wp:positionV>
            <wp:extent cx="4305300" cy="2847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05300"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PERCENT CHANGE</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191"/>
        </w:trPr>
        <w:tc>
          <w:tcPr>
            <w:tcW w:w="2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left="530"/>
              <w:spacing w:after="0" w:line="191" w:lineRule="exact"/>
              <w:rPr>
                <w:sz w:val="20"/>
                <w:szCs w:val="20"/>
                <w:color w:val="auto"/>
              </w:rPr>
            </w:pPr>
            <w:r>
              <w:rPr>
                <w:rFonts w:ascii="Arial" w:cs="Arial" w:eastAsia="Arial" w:hAnsi="Arial"/>
                <w:sz w:val="18"/>
                <w:szCs w:val="18"/>
                <w:b w:val="1"/>
                <w:bCs w:val="1"/>
                <w:color w:val="auto"/>
                <w:w w:val="97"/>
              </w:rPr>
              <w:t>NASDAQ</w:t>
            </w:r>
          </w:p>
        </w:tc>
        <w:tc>
          <w:tcPr>
            <w:tcW w:w="6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NASDAQ</w:t>
            </w:r>
          </w:p>
        </w:tc>
        <w:tc>
          <w:tcPr>
            <w:tcW w:w="160" w:type="dxa"/>
            <w:vAlign w:val="bottom"/>
          </w:tcPr>
          <w:p>
            <w:pPr>
              <w:spacing w:after="0"/>
              <w:rPr>
                <w:sz w:val="16"/>
                <w:szCs w:val="16"/>
                <w:color w:val="auto"/>
              </w:rPr>
            </w:pPr>
          </w:p>
        </w:tc>
      </w:tr>
      <w:tr>
        <w:trPr>
          <w:trHeight w:val="234"/>
        </w:trPr>
        <w:tc>
          <w:tcPr>
            <w:tcW w:w="236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52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AAOI</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7"/>
              </w:rPr>
              <w:t>Telecom</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Composite</w:t>
            </w:r>
          </w:p>
        </w:tc>
        <w:tc>
          <w:tcPr>
            <w:tcW w:w="160" w:type="dxa"/>
            <w:vAlign w:val="bottom"/>
          </w:tcPr>
          <w:p>
            <w:pPr>
              <w:spacing w:after="0"/>
              <w:rPr>
                <w:sz w:val="20"/>
                <w:szCs w:val="20"/>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9/26/2013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12/31/2013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150.70%</w:t>
            </w:r>
          </w:p>
        </w:tc>
        <w:tc>
          <w:tcPr>
            <w:tcW w:w="1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102.48%</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110.28%</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12/31/2014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112.65%</w:t>
            </w:r>
          </w:p>
        </w:tc>
        <w:tc>
          <w:tcPr>
            <w:tcW w:w="1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111.61%</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125.05%</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12/31/2015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172.29%</w:t>
            </w:r>
          </w:p>
        </w:tc>
        <w:tc>
          <w:tcPr>
            <w:tcW w:w="1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103.25%</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132.21%</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12/31/2016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235.34%</w:t>
            </w:r>
          </w:p>
        </w:tc>
        <w:tc>
          <w:tcPr>
            <w:tcW w:w="1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118.59%</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142.13%</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12/29/2017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379.72%</w:t>
            </w:r>
          </w:p>
        </w:tc>
        <w:tc>
          <w:tcPr>
            <w:tcW w:w="1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139.28%</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182.27%</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12/31/2018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251.61%</w:t>
            </w:r>
          </w:p>
        </w:tc>
        <w:tc>
          <w:tcPr>
            <w:tcW w:w="1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146.03%</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186.50%</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12/31/2019</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119.28%</w:t>
            </w:r>
          </w:p>
        </w:tc>
        <w:tc>
          <w:tcPr>
            <w:tcW w:w="15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159.83%</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236.90%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ectPr>
          <w:pgSz w:w="11900" w:h="16838" w:orient="portrait"/>
          <w:cols w:equalWidth="0" w:num="1">
            <w:col w:w="11400"/>
          </w:cols>
          <w:pgMar w:left="240" w:top="140" w:right="259" w:bottom="0" w:gutter="0" w:footer="0" w:header="0"/>
        </w:sectPr>
      </w:pPr>
    </w:p>
    <w:bookmarkStart w:id="28" w:name="page29"/>
    <w:bookmarkEnd w:id="28"/>
    <w:p>
      <w:pPr>
        <w:ind w:firstLine="648"/>
        <w:spacing w:after="0" w:line="290" w:lineRule="auto"/>
        <w:rPr>
          <w:sz w:val="20"/>
          <w:szCs w:val="20"/>
          <w:color w:val="auto"/>
        </w:rPr>
      </w:pPr>
      <w:r>
        <w:rPr>
          <w:rFonts w:ascii="Arial" w:cs="Arial" w:eastAsia="Arial" w:hAnsi="Arial"/>
          <w:sz w:val="16"/>
          <w:szCs w:val="16"/>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Form 10-K. We derived the consolidated statements of operations data for the years ended December 31, 2019, 2018 and 2017 and the consolidated balance sheet data as of December 31, 2019 and 2018 from our consolidated financial statements appearing elsewhere in this Form 10-K. The consolidated statement of operations data for the years ended December 31, 2016 and 2015 and the consolidated balance sheet data as of December 31, 2017, 2016 and 2015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our consolidated results of operations for the periods presented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0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rPr>
              <w:t>Years ended December 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190,872</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267,465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382,329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260,713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173,759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87,773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86,954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Research and development (1)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49,903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and marketing (1)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General and administrative (1)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25,527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86,951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 and other income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84,526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21,003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(66,049)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(2,146)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73,951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31,234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Net income (loss) per share attributable to common stockholders: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(3.31)</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3.76</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1.76</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2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0"/>
              </w:rPr>
              <w:t>Weighted average shares used to compute net income (loss) per share</w:t>
            </w: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attributable to common stockholders: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19,982,363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19,646,646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19,097,355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17,201,731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15,626,753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19,982,363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19,646,646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5"/>
              </w:rPr>
              <w:t>20,139,105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w w:val="93"/>
              </w:rPr>
              <w:t>17,712,928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5"/>
              </w:rPr>
              <w:t>16,532,850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4" w:lineRule="exact"/>
        <w:rPr>
          <w:sz w:val="20"/>
          <w:szCs w:val="20"/>
          <w:color w:val="auto"/>
        </w:rPr>
      </w:pPr>
    </w:p>
    <w:p>
      <w:pPr>
        <w:ind w:left="340" w:right="26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expenses include share-based compensation expense. Share-based compensation expense is accounted for at fair value, using the Black-Scholes option-pricing model for stock options and at the fair market value based on quoted market prices of the Company’s stock as of the grant date for restricted stock units and restricted stock awards. Share-based compensation expense is recognized over the vesting period of the awards and was included in cost of goods sold and operating expenses as follows: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share-based compensation expense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8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rPr>
              <w:t>Years ended December 31,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7,405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5,357</w:t>
            </w:r>
          </w:p>
        </w:tc>
      </w:tr>
      <w:tr>
        <w:trPr>
          <w:trHeight w:val="20"/>
        </w:trPr>
        <w:tc>
          <w:tcPr>
            <w:tcW w:w="6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11,804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selected balance sheet data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w w:val="93"/>
              </w:rPr>
              <w:t>Total cash, restricted cash, cash equivalents and short-term</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investments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67,028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58,004</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83,984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52,008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40,679</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101,449</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116,857</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158,953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97,579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79,848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466,825</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466,840</w:t>
            </w:r>
          </w:p>
        </w:tc>
        <w:tc>
          <w:tcPr>
            <w:tcW w:w="4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452,948</w:t>
            </w: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322,318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273,475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Short-term obligations (2)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40,663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Long-term obligations (3)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101,676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60,328</w:t>
            </w:r>
          </w:p>
        </w:tc>
        <w:tc>
          <w:tcPr>
            <w:tcW w:w="4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48,964</w:t>
            </w: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34,961</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33,997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additional paid-in-capital</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303,421</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285,395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265,282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233,353</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Total retained earnings (deficit)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(30,057)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35,992</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38,138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(37,013)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 Working capital is defined as total current assets less total current liabilities.</w:t>
      </w:r>
    </w:p>
    <w:p>
      <w:pPr>
        <w:sectPr>
          <w:pgSz w:w="11900" w:h="16838" w:orient="portrait"/>
          <w:cols w:equalWidth="0" w:num="1">
            <w:col w:w="11420"/>
          </w:cols>
          <w:pgMar w:left="240" w:top="341" w:right="239" w:bottom="0" w:gutter="0" w:footer="0" w:header="0"/>
        </w:sectPr>
      </w:pPr>
    </w:p>
    <w:bookmarkStart w:id="29" w:name="page30"/>
    <w:bookmarkEnd w:id="29"/>
    <w:p>
      <w:pPr>
        <w:spacing w:after="0" w:line="5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Short-term obligations are defined as short-term loans, operating and financing leases, notes payable and bank acceptance payable.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obligations are defined as long-term loans, operating and financing leases, notes payable and convertible senior notes.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Form 10-K. This discussion and other parts of this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6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2019, 2018 and 2017, our revenue was $190.9 million, $267.5 million, and $382.3 million and our gross margin was 24.2%, 32.8%, and 43.5%. We have grown our annual revenue at a compound annual growth rate, or CAGR, of 18.8% between 2010 and 2019. In the years ended December 31, 2019, 2018 and 2017, we had net income (loss) of $(66.0) million, $(2.1) million, and $74.0 million, respectively. At December 31, 2019 and 2018, our retained earnings (accumulated deficit) was $(30.1) million and $36.0 million, respectively. In 2019, we earned 75.2% of our total revenue from the internet data center market, and 19.6% of our total revenue from the CATV market.</w:t>
      </w:r>
    </w:p>
    <w:p>
      <w:pPr>
        <w:spacing w:after="0" w:line="18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sell our products to leading OEMs in the CATV, telecom, and FTTH markets as well as internet data center operators. In 2019, revenue from the internet data center market, CATV market, telecom market and FTTH markets provided 75.2%, 19.6%, 4.4%, and 0.1% of our revenue, respectively, compared to 74.9%, 19.3%. 4.9%, and 0.3% of our 2018 revenue, respectively. In 2019, our key customers in the data center market included, Microsoft Corp (Microsoft), Amazon.com (Amazon) and Facebook, Inc. (Facebook). In 2019, 2018, and 2017, Microsoft accounted for 32.2%, 22.1%, and 13.8% of our revenue, Amazon accounted for 24.0%, 12.1%, and 35.4% of our revenue, and Facebook accounted for 10.9%, 38.3%, and 28.6% of our revenue, respectively. In 2019, our key customers in the CATV market included Cisco Systems, Inc. (Cisco), CommScope, and a US-based public company who provides CATV equipment. In 2019, 2018 and 2017, Cisco accounted for 10.0%, 9.9%, and 4.8% of our revenue, respectively; CommScope accounted for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3.7%, 2.1%, and 3.2% of our revenue, respectively; and the US-based public company who provides CATV equipment accounted for 1.6%, 0.8% and 0.8% of our revenue,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2019, our revenue decrease of 28.6% over the prior-year was driven primarily by decreased demand for our 40 Gbps and 100 Gbps transceivers. The decrease in 100 Gbps demand was mostly from one major customer, this decrease was partially offset by growth in 100 Gbps transceivers from another of our major customers. We believe that the decrease in 40 Gbps transceiver sales is related to a broad industry trend of reducing 40 Gbps infrastructure in favor of 100 Gbps infrastructure. The decrease in revenue in the CATV market for the year was mainly a result of reduced overall market demand for CATV outside plant products, which we attribute to reduced desire on the part of cable TV MSOs to deploy capex to increase their network capacity.. The decrease in revenue in our telecom market was primarily attributable to decreased demand for certain of our legacy telecom products by our customers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continued sales of our 40 Gbps and 100 Gbps products in 2020, and we expect that sales of 100 Gbps products will likely grow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exceed sales of 40 Gbps products. However, quarter-to-quarter results may show considerable variability as is usual in a period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transition. Similar to revenue, our gross margins can fluctuate materially depending on a variety of factors including average selling price changes,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mix, raw material cost reduction or increase, manufacturing utilization rate and changes in manufacturing efficiency. Furthermore, we are continuing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monitor and assess the effects of the coronavirus outbreak on our commercial and manufacturing operations, including any impact on our revenue in 2020.</w:t>
      </w:r>
    </w:p>
    <w:p>
      <w:pPr>
        <w:spacing w:after="0" w:line="23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93"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w:t>
      </w:r>
    </w:p>
    <w:p>
      <w:pPr>
        <w:sectPr>
          <w:pgSz w:w="11900" w:h="16894" w:orient="portrait"/>
          <w:cols w:equalWidth="0" w:num="1">
            <w:col w:w="11420"/>
          </w:cols>
          <w:pgMar w:left="240" w:top="125" w:right="239" w:bottom="0" w:gutter="0" w:footer="0" w:header="0"/>
        </w:sectPr>
      </w:pPr>
    </w:p>
    <w:bookmarkStart w:id="30" w:name="page31"/>
    <w:bookmarkEnd w:id="30"/>
    <w:p>
      <w:pPr>
        <w:ind w:right="60"/>
        <w:spacing w:after="0" w:line="257" w:lineRule="auto"/>
        <w:rPr>
          <w:sz w:val="20"/>
          <w:szCs w:val="20"/>
          <w:color w:val="auto"/>
        </w:rPr>
      </w:pPr>
      <w:r>
        <w:rPr>
          <w:rFonts w:ascii="Arial" w:cs="Arial" w:eastAsia="Arial" w:hAnsi="Arial"/>
          <w:sz w:val="18"/>
          <w:szCs w:val="18"/>
          <w:color w:val="auto"/>
        </w:rPr>
        <w:t>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2019, 2018 and 2017, we had 31, 26, and 19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Pricing, Product Cost and Margins. </w:t>
      </w:r>
      <w:r>
        <w:rPr>
          <w:rFonts w:ascii="Arial" w:cs="Arial" w:eastAsia="Arial" w:hAnsi="Arial"/>
          <w:sz w:val="18"/>
          <w:szCs w:val="18"/>
          <w:color w:val="auto"/>
        </w:rPr>
        <w:t>Our products are sold in a highly competitive marketplace, and in many cases our products are only minimally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81" w:lineRule="exact"/>
        <w:rPr>
          <w:sz w:val="20"/>
          <w:szCs w:val="20"/>
          <w:color w:val="auto"/>
        </w:rPr>
      </w:pPr>
    </w:p>
    <w:p>
      <w:pPr>
        <w:jc w:val="both"/>
        <w:ind w:left="1300" w:right="140" w:hanging="320"/>
        <w:spacing w:after="0" w:line="264" w:lineRule="auto"/>
        <w:tabs>
          <w:tab w:leader="none" w:pos="130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p>
      <w:pPr>
        <w:spacing w:after="0" w:line="181" w:lineRule="exact"/>
        <w:rPr>
          <w:rFonts w:ascii="MS PGothic" w:cs="MS PGothic" w:eastAsia="MS PGothic" w:hAnsi="MS PGothic"/>
          <w:sz w:val="18"/>
          <w:szCs w:val="18"/>
          <w:color w:val="auto"/>
        </w:rPr>
      </w:pPr>
    </w:p>
    <w:p>
      <w:pPr>
        <w:ind w:left="1300" w:right="100" w:hanging="320"/>
        <w:spacing w:after="0" w:line="259" w:lineRule="auto"/>
        <w:tabs>
          <w:tab w:leader="none" w:pos="130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p>
      <w:pPr>
        <w:spacing w:after="0" w:line="186" w:lineRule="exact"/>
        <w:rPr>
          <w:rFonts w:ascii="MS PGothic" w:cs="MS PGothic" w:eastAsia="MS PGothic" w:hAnsi="MS PGothic"/>
          <w:sz w:val="18"/>
          <w:szCs w:val="18"/>
          <w:color w:val="auto"/>
        </w:rPr>
      </w:pPr>
    </w:p>
    <w:p>
      <w:pPr>
        <w:ind w:left="1300" w:right="200" w:hanging="320"/>
        <w:spacing w:after="0" w:line="257" w:lineRule="auto"/>
        <w:tabs>
          <w:tab w:leader="none" w:pos="1300" w:val="left"/>
        </w:tabs>
        <w:numPr>
          <w:ilvl w:val="0"/>
          <w:numId w:val="31"/>
        </w:numPr>
        <w:rPr>
          <w:rFonts w:ascii="MS PGothic" w:cs="MS PGothic" w:eastAsia="MS PGothic" w:hAnsi="MS PGothic"/>
          <w:sz w:val="18"/>
          <w:szCs w:val="18"/>
          <w:color w:val="auto"/>
        </w:rPr>
      </w:pPr>
      <w:r>
        <w:rPr>
          <w:rFonts w:ascii="Arial" w:cs="Arial" w:eastAsia="Arial" w:hAnsi="Arial"/>
          <w:sz w:val="18"/>
          <w:szCs w:val="18"/>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Customer Concentration within End Markets. </w:t>
      </w:r>
      <w:r>
        <w:rPr>
          <w:rFonts w:ascii="Arial" w:cs="Arial" w:eastAsia="Arial" w:hAnsi="Arial"/>
          <w:sz w:val="17"/>
          <w:szCs w:val="17"/>
          <w:color w:val="auto"/>
        </w:rPr>
        <w:t>Historically, our revenue has been significantly concentrated, first within the CATV market and in</w:t>
      </w:r>
      <w:r>
        <w:rPr>
          <w:rFonts w:ascii="Arial" w:cs="Arial" w:eastAsia="Arial" w:hAnsi="Arial"/>
          <w:sz w:val="17"/>
          <w:szCs w:val="17"/>
          <w:i w:val="1"/>
          <w:iCs w:val="1"/>
          <w:color w:val="auto"/>
        </w:rPr>
        <w:t xml:space="preserve"> </w:t>
      </w:r>
      <w:r>
        <w:rPr>
          <w:rFonts w:ascii="Arial" w:cs="Arial" w:eastAsia="Arial" w:hAnsi="Arial"/>
          <w:sz w:val="17"/>
          <w:szCs w:val="17"/>
          <w:color w:val="auto"/>
        </w:rPr>
        <w:t>2016-2019 within the internet data center market. Moreover, within these markets, revenue tends to be concentrated among a small number of customers. In the last three years,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four and three customers that each accounted for more than 10% of our revenue in 2019 and 2018, respectively.</w:t>
      </w:r>
    </w:p>
    <w:p>
      <w:pPr>
        <w:spacing w:after="0" w:line="178"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w:t>
      </w:r>
    </w:p>
    <w:p>
      <w:pPr>
        <w:sectPr>
          <w:pgSz w:w="11900" w:h="16838" w:orient="portrait"/>
          <w:cols w:equalWidth="0" w:num="1">
            <w:col w:w="11420"/>
          </w:cols>
          <w:pgMar w:left="240" w:top="125" w:right="239" w:bottom="0" w:gutter="0" w:footer="0" w:header="0"/>
        </w:sectPr>
      </w:pPr>
    </w:p>
    <w:bookmarkStart w:id="31" w:name="page32"/>
    <w:bookmarkEnd w:id="31"/>
    <w:p>
      <w:pPr>
        <w:spacing w:after="0" w:line="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following chart provides the revenue contribution from each of the markets we serve for the years 2019, 2018 and 2017, as well as the corresponding percentage of our total revenue for each period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rPr>
              <w:t>Years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Market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306,712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CATV</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51,699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60,756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FTTH</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r>
      <w:tr>
        <w:trPr>
          <w:trHeight w:val="20"/>
        </w:trPr>
        <w:tc>
          <w:tcPr>
            <w:tcW w:w="64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190,872</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267,465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382,329</w:t>
            </w:r>
          </w:p>
        </w:tc>
      </w:tr>
      <w:tr>
        <w:trPr>
          <w:trHeight w:val="20"/>
        </w:trPr>
        <w:tc>
          <w:tcPr>
            <w:tcW w:w="6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3"/>
              </w:rPr>
              <w:t>Percentage of Revenue</w:t>
            </w:r>
          </w:p>
        </w:tc>
        <w:tc>
          <w:tcPr>
            <w:tcW w:w="1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CATV</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19.6%</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FTTH</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0"/>
        </w:trPr>
        <w:tc>
          <w:tcPr>
            <w:tcW w:w="63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4"/>
        </w:trPr>
        <w:tc>
          <w:tcPr>
            <w:tcW w:w="63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2019, 2018 and 2017, our top ten customers represented 88.1%, 92.9%, and 94.9% of our revenue, respectively.</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2019, 43.6% of our total revenue was manufactured at our China-based subsidiary, with $6.05 million denominated in RMB and 51.2% of our total revenue was from products manufactured at our Taiwan-based facility with no revenue denominated in NT dollars. We expect a similar portion of our sales to be denominated in foreign currencies in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manufacture products in three of our four facilities located in the U.S., Taiwan and China. Generally, laser chips and optical components are manufactured in our Sugar Land facility, optical components and subassemblies are manufactured in our Taiwan facility, and optical components, subassemblies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24.2% and 43.5%,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or R&amp;D, expense consists primarily of personnel costs, including share-based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sectPr>
          <w:pgSz w:w="11900" w:h="16921" w:orient="portrait"/>
          <w:cols w:equalWidth="0" w:num="1">
            <w:col w:w="11420"/>
          </w:cols>
          <w:pgMar w:left="240" w:top="125" w:right="239" w:bottom="0" w:gutter="0" w:footer="0" w:header="0"/>
        </w:sectPr>
      </w:pPr>
    </w:p>
    <w:bookmarkStart w:id="32" w:name="page33"/>
    <w:bookmarkEnd w:id="32"/>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primarily of personnel costs, including share-based compensation for our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2019, 2018 and 2017. Additionally, we pay commissions to third parties on certain product lines and identified customers, which also amounted to less than one percent of our revenue in 2019, 2018 and 2017.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6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share-based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Interest income consists of income earned on our cash, cash equivalents and short-term investments. Interest expense consists of amounts paid for interest on our short-term and long-term debt borrowings, and convertible senior notes.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2019 our effective tax rate was (28.5%). In 2018 and 2017, our effective tax rate was 78.1% and 12.5%, respectively. Our effective U.S. federal income tax rate was 0% prior to 2016 as we incurred operating losses and had recorded a full valuation allowance against those losses, which was released in July 2016.</w:t>
      </w:r>
    </w:p>
    <w:p>
      <w:pPr>
        <w:spacing w:after="0" w:line="193"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 year period from November 2008 to November 2011. In 2011 and 2014 Global renewed its national high-tech enterprise certificate and therefore extended its three year tax preferential status through September 2017. In November 2017, Global again renewed its national high-tech enterprise certificate and therefore extended its three year tax preferential status from November 2017 until November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2019 and 2018, we had $0.2 million and $0.2 million, respectively, of unrecognized tax benefits related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benefits recognized for which we do not meet the more likely than not threshold.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believe that the demand for our CATV products is seasonal. Historically, revenue derived from our CATV products has usually been highest in the second or third quarter and lowest in the first quarter of each year. The first quarter of the year has historically been negatively affected by reduced economic activity due to the Lunar New Year holiday and the lower level of deployment of outdoor CATV equipment in cold weather environments.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uncertain whether the demand for our internet data center, telecom and FTTH products is seasonal, as our sales data does not indicate a significant trend with respect to these products. In 2017, we began to manufacture a meaningful quantity of internet data center products in our Ningbo, China factory.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2019, 2018, and 2017, the percentage of employees in our China factory who resigned or were terminated during Q1, relative to the average number of employees during the quarter was 122%, 90%, and 42%, respectively. As a result of this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Q1.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ectPr>
          <w:pgSz w:w="11900" w:h="16838" w:orient="portrait"/>
          <w:cols w:equalWidth="0" w:num="1">
            <w:col w:w="11400"/>
          </w:cols>
          <w:pgMar w:left="240" w:top="341" w:right="259" w:bottom="0" w:gutter="0" w:footer="0" w:header="0"/>
        </w:sectPr>
      </w:pPr>
    </w:p>
    <w:bookmarkStart w:id="33" w:name="page34"/>
    <w:bookmarkEnd w:id="33"/>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66"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gridSpan w:val="2"/>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75.8%</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36.8%</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9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2019 and 2018 (in thousands, except percentages):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200,236</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(56,674)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37,329</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51,699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(14,370)</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1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170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190,872</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267,465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(76,593)</w:t>
            </w:r>
          </w:p>
        </w:tc>
        <w:tc>
          <w:tcPr>
            <w:tcW w:w="3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decrease in revenue for the year was driven primarily by decreased demand for our 40 Gbps and 100 Gbps transceivers. The decrease in 100 Gbps demand was mostly from one major customer, while this decrease was partially offset by growth in 100 Gbps transceivers from another of our major customers. We believe that the decrease in 40 Gbps transceiver sales is related to a broad industry trend of reducing 40 Gbps infrastructure in favor of 100 Gbps infrastructure. The decrease in revenue in our CATV market for the year was mainly a result of reduced overall market demand for CATV outside plant products, which we attribute to reduced desire on the part of CATV MSOs to deploy capex to increase their network capacity. The decrease in revenue in our telecom market was primarily attributable to decreased demand for certain of our legacy telecom products by our customers, partially offset by sales of newer-generation products such as those designed for 5G mobile networks.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years ended December 31, 2019 and 2018, our top ten customers represented 88.1%, and 92.9% of our revenue,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w w:val="91"/>
              </w:rPr>
              <w:t>Years ended December 31,</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179,692</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67.20%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46,201</w:t>
            </w: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87,773</w:t>
            </w:r>
          </w:p>
        </w:tc>
        <w:tc>
          <w:tcPr>
            <w:tcW w:w="140" w:type="dxa"/>
            <w:vAlign w:val="bottom"/>
          </w:tcPr>
          <w:p>
            <w:pPr>
              <w:spacing w:after="0"/>
              <w:rPr>
                <w:sz w:val="20"/>
                <w:szCs w:val="20"/>
                <w:color w:val="auto"/>
              </w:rPr>
            </w:pPr>
          </w:p>
        </w:tc>
        <w:tc>
          <w:tcPr>
            <w:tcW w:w="1260" w:type="dxa"/>
            <w:vAlign w:val="bottom"/>
            <w:gridSpan w:val="2"/>
          </w:tcPr>
          <w:p>
            <w:pPr>
              <w:ind w:left="580"/>
              <w:spacing w:after="0"/>
              <w:rPr>
                <w:sz w:val="20"/>
                <w:szCs w:val="20"/>
                <w:color w:val="auto"/>
              </w:rPr>
            </w:pPr>
            <w:r>
              <w:rPr>
                <w:rFonts w:ascii="Arial" w:cs="Arial" w:eastAsia="Arial" w:hAnsi="Arial"/>
                <w:sz w:val="18"/>
                <w:szCs w:val="18"/>
                <w:color w:val="auto"/>
              </w:rPr>
              <w:t>32.80%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Cost of goods sold decreased by $35.0 million, or 19.5%, from 2018 to 2019, primarily due to a 28.6% decrease in sales over the prior year. The decrease in gross margin for the year ended December 31, 2019 compared to the same period ended December 31, 2018 was primarily the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quality and testing costs that we incurred in the first part of the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3240" w:type="dxa"/>
        <w:tblCellMar>
          <w:top w:w="0" w:type="dxa"/>
          <w:left w:w="0" w:type="dxa"/>
          <w:bottom w:w="0" w:type="dxa"/>
          <w:right w:w="0" w:type="dxa"/>
        </w:tblCellMar>
      </w:tblPr>
      <w:tr>
        <w:trPr>
          <w:trHeight w:val="210"/>
        </w:trPr>
        <w:tc>
          <w:tcPr>
            <w:tcW w:w="246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2019</w:t>
            </w:r>
          </w:p>
        </w:tc>
        <w:tc>
          <w:tcPr>
            <w:tcW w:w="18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ind w:left="940"/>
              <w:spacing w:after="0"/>
              <w:rPr>
                <w:sz w:val="20"/>
                <w:szCs w:val="20"/>
                <w:color w:val="auto"/>
              </w:rPr>
            </w:pPr>
            <w:r>
              <w:rPr>
                <w:rFonts w:ascii="Arial" w:cs="Arial" w:eastAsia="Arial" w:hAnsi="Arial"/>
                <w:sz w:val="18"/>
                <w:szCs w:val="18"/>
                <w:b w:val="1"/>
                <w:bCs w:val="1"/>
                <w:color w:val="auto"/>
              </w:rPr>
              <w:t>Change</w:t>
            </w:r>
          </w:p>
        </w:tc>
      </w:tr>
      <w:tr>
        <w:trPr>
          <w:trHeight w:val="228"/>
        </w:trPr>
        <w:tc>
          <w:tcPr>
            <w:tcW w:w="2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9"/>
                <w:szCs w:val="19"/>
                <w:color w:val="auto"/>
              </w:rPr>
            </w:pPr>
          </w:p>
        </w:tc>
        <w:tc>
          <w:tcPr>
            <w:tcW w:w="2480" w:type="dxa"/>
            <w:vAlign w:val="bottom"/>
            <w:tcBorders>
              <w:top w:val="single" w:sz="8" w:color="auto"/>
            </w:tcBorders>
          </w:tcPr>
          <w:p>
            <w:pPr>
              <w:spacing w:after="0"/>
              <w:rPr>
                <w:sz w:val="19"/>
                <w:szCs w:val="19"/>
                <w:color w:val="auto"/>
              </w:rPr>
            </w:pPr>
          </w:p>
        </w:tc>
      </w:tr>
    </w:tbl>
    <w:p>
      <w:pPr>
        <w:sectPr>
          <w:pgSz w:w="11900" w:h="16875" w:orient="portrait"/>
          <w:cols w:equalWidth="0" w:num="1">
            <w:col w:w="11420"/>
          </w:cols>
          <w:pgMar w:left="240" w:top="121"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75"/>
              </w:rPr>
              <w:t>except percentages)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49,903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9,141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39,497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0"/>
        </w:trPr>
        <w:tc>
          <w:tcPr>
            <w:tcW w:w="3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94,948</w:t>
            </w: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98,541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Research and development expense decreased by $6.5 million, or 13.0%, from 2018 to 2019.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w:t>
      </w:r>
    </w:p>
    <w:p>
      <w:pPr>
        <w:ind w:right="60"/>
        <w:spacing w:after="0" w:line="290" w:lineRule="auto"/>
        <w:rPr>
          <w:sz w:val="20"/>
          <w:szCs w:val="20"/>
          <w:color w:val="auto"/>
        </w:rPr>
      </w:pPr>
      <w:r>
        <w:rPr>
          <w:rFonts w:ascii="Arial" w:cs="Arial" w:eastAsia="Arial" w:hAnsi="Arial"/>
          <w:sz w:val="17"/>
          <w:szCs w:val="17"/>
          <w:color w:val="auto"/>
        </w:rPr>
        <w:t>Research and development costs decreased from 2018 to 2019 due mainly to decreases in costs from R&amp;D work orders, depreciation expense related to R&amp;D equipment, and materials and supplies used in R&amp;D activities. These decreases were offset by increases in personnel related costs.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Sales and marketing expense increased by $0.9 million, or 10.1%, from 2018 to 2019. This increase was due to increases in personnel costs, share-based compensation expenses, duties and freight, and trade show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General and administrative expense increased by $2.0 million, or 5.0%, from 2018 to 2019. These increases were primarily due to an increase in share-based compensation expenses, depreciation expenses, insurance expenses and professional service fees, including legal expenses. These increases were partially offset by a decrease in personnel related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(5,405)</w:t>
            </w: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(4,299)</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(3,630)</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income increased by $0.6 million, or 228.0% from 2018 to 2019 due to higher interest rates and larger cash balances during the year.</w:t>
      </w:r>
    </w:p>
    <w:p>
      <w:pPr>
        <w:spacing w:after="0" w:line="2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expense increased by $4.3 million, or 388.7% from 2018 to 2019 due to higher debt balances, including convertible senior notes and higher interest rates during the year.</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income increased slightly from 2018 to 2019.This increases was primarily due to the receipt of government subsidies associated with our investments in new product development and for qualifying as a high-tech enterprise in China. These increases were partially offset by the decrease in foreign currency transaction gains.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w w:val="90"/>
              </w:rPr>
              <w:t>Years ended December 31,</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4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2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80"/>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2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(22,294)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(292.1)%</w:t>
            </w:r>
          </w:p>
        </w:tc>
      </w:tr>
    </w:tbl>
    <w:p>
      <w:pPr>
        <w:spacing w:after="0" w:line="20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Our income tax benefit (provision) consists of U.S. income tax, state taxes, and Taiwan and China income tax recorded during the periods. Our effective tax rate is affected by recurring items, such as tax rates in state and foreign jurisdictions and the relative amounts of income we earn in those jurisdictions.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recorded a tax expense of $14.7 million for the year ended December 31, 2019 as compared to the tax benefit of $ 7.6 million for the year ended December 31, 2018. The income tax expense in the year ended December 31, 2019 was primarily related to the recognition of research and development credits, offset by the recognition a valuation allowance on our US and state deferred tax assets, and due to excess tax benefits attributable to share-based compensation, and as well as the tax rates in foreign jurisdictions. The income tax benefit recorded in the year ended December 31, 2018 was primarily related to the impact of changes to tax law, offset by the recognition of excess tax benefits attributable to share-based compensation as well as the recognition of research and development credits.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2018 and 2017</w:t>
      </w:r>
    </w:p>
    <w:p>
      <w:pPr>
        <w:sectPr>
          <w:pgSz w:w="11900" w:h="16838" w:orient="portrait"/>
          <w:cols w:equalWidth="0" w:num="1">
            <w:col w:w="11420"/>
          </w:cols>
          <w:pgMar w:left="240" w:top="121"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telecom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2018 and 2017 (in thousands, except percentages):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200,236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306,712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(106,476)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51,699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60,756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(9,057)</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66.9%</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2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40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267,465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382,329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-114,864</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46.6%</w:t>
            </w:r>
          </w:p>
        </w:tc>
      </w:tr>
      <w:tr>
        <w:trPr>
          <w:trHeight w:val="20"/>
        </w:trPr>
        <w:tc>
          <w:tcPr>
            <w:tcW w:w="2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decrease in revenue for the year was driven primarily by decreased demand for our 40 Gbps and 100 Gbps transceivers as one of our customers reduced its demand for optical transceivers due to changes in the way they architect their network. Additionally, in the third and fourth quarters of 2018, we experienced decreased shipments of our 100 Gbps transceiver products to one of our customers due to their concerns about failures of similar products shipped previously. We conducted extensive testing of our products to demonstrate that any potentially affected units could be nearly eliminated in future shipments. During the time that this issue was being investigated, production activity was reduced as resources were redirected to efforts to identify the root cause of any failures observed, and in order to avoid manufacturing product that could not be proven to meet acceptable quality standards. These decreases were partially offset by an increase in demand for 100 Gbps transceivers from other customers. The decrease in revenue in the CATV market for the year was partially a result of decreased available production capacity in our China factory associated with staff turnover related to the Lunar New Year, combined with reduced demand from one of our CATV customers in the second and third quarters associated with excess inventory the customer had previously purchased from us. The increase in revenue in our telecom market was primarily attributable to increased demand for telecom products by our customers as they supply new deployments of telecom infrastructure. The increase in revenue in our FTTH market was due to the fluctuation in demand for certain older legacy products and this demand is expected to continue to fluctuate.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years ended December 31, 2018 and 2017, our top ten customers represented 92.9% and 94.9% of our revenue,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w w:val="91"/>
              </w:rPr>
              <w:t>Years ended December 31,</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216,049</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56.5%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(36,357)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87,773</w:t>
            </w:r>
          </w:p>
        </w:tc>
        <w:tc>
          <w:tcPr>
            <w:tcW w:w="1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166,280</w:t>
            </w:r>
          </w:p>
        </w:tc>
        <w:tc>
          <w:tcPr>
            <w:tcW w:w="14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Cost of goods sold decreased by $36.4 million, or 16.8%, from 2017 to 2018, primarily due to a 30.0% decrease in sales over the prior year. The decrease in gross margin for the year ended December 31, 2018 compared to the same period ended December 31, 2017 was primarily the result of lower capacity utilization, resulting in higher fixed cost absorption for 100 Gps products produced and shipped in the period. In addition, additional costs were incurred for more extensive quality and reliability testing. As noted in the revenue discussion above, production was reduced while we investigated customer reports of failures of similar products shipped previously. This decreased production quantity resulted in higher fixed-cost absorption, and eliminating potentially defective units from our production process temporarily reduced product yields in the third and fourth quarters of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8"/>
                <w:szCs w:val="18"/>
                <w:b w:val="1"/>
                <w:bCs w:val="1"/>
                <w:color w:val="auto"/>
                <w:w w:val="91"/>
              </w:rPr>
              <w:t>Years ended December 31,</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35,365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14,538</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9,141</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8,702</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35,262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98,541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79,329</w:t>
            </w: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19,212</w:t>
            </w: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Research and development expense increased by $14.5 million, or 41.1%, from 2017 to 2018.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w:t>
      </w:r>
    </w:p>
    <w:p>
      <w:pPr>
        <w:ind w:right="160"/>
        <w:spacing w:after="0" w:line="323" w:lineRule="auto"/>
        <w:rPr>
          <w:sz w:val="20"/>
          <w:szCs w:val="20"/>
          <w:color w:val="auto"/>
        </w:rPr>
      </w:pPr>
      <w:r>
        <w:rPr>
          <w:rFonts w:ascii="Arial" w:cs="Arial" w:eastAsia="Arial" w:hAnsi="Arial"/>
          <w:sz w:val="16"/>
          <w:szCs w:val="16"/>
          <w:color w:val="auto"/>
        </w:rPr>
        <w:t>Research and development costs increased from 2017 to 2018 due mainly to increases in personnel-related costs, depreciation expenses associated with new R&amp;D equipment purchased or transferred during the year, materials and supplies used in R&amp;D activities and an increase in costs from R&amp;D work orders.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Sales and marketing expense</w:t>
      </w:r>
    </w:p>
    <w:p>
      <w:pPr>
        <w:sectPr>
          <w:pgSz w:w="11900" w:h="16838" w:orient="portrait"/>
          <w:cols w:equalWidth="0" w:num="1">
            <w:col w:w="11420"/>
          </w:cols>
          <w:pgMar w:left="240" w:top="125" w:right="239" w:bottom="0" w:gutter="0" w:footer="0" w:header="0"/>
        </w:sectPr>
      </w:pPr>
    </w:p>
    <w:bookmarkStart w:id="36" w:name="page37"/>
    <w:bookmarkEnd w:id="36"/>
    <w:p>
      <w:pPr>
        <w:ind w:right="300" w:firstLine="648"/>
        <w:spacing w:after="0" w:line="277" w:lineRule="auto"/>
        <w:rPr>
          <w:sz w:val="20"/>
          <w:szCs w:val="20"/>
          <w:color w:val="auto"/>
        </w:rPr>
      </w:pPr>
      <w:r>
        <w:rPr>
          <w:rFonts w:ascii="Arial" w:cs="Arial" w:eastAsia="Arial" w:hAnsi="Arial"/>
          <w:sz w:val="18"/>
          <w:szCs w:val="18"/>
          <w:color w:val="auto"/>
        </w:rPr>
        <w:t>Sales and marketing expense increased by $0.4 million, or 5.0%, from 2017 to 2018. This increase was due to increases in personnel costs, duties and freight and trade show expenses, offset by decreased commissions, customs taxes and professional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General and administrative expense increased by $4.2 million, or 12.0%, from 2017 to 2018. These increases were primarily due to an increase in personnel-related costs, share-based compensation expenses, depreciation expenses, insurance expenses and professional service fees.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75"/>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tcPr>
          <w:p>
            <w:pPr>
              <w:ind w:left="180"/>
              <w:spacing w:after="0"/>
              <w:rPr>
                <w:sz w:val="20"/>
                <w:szCs w:val="20"/>
                <w:color w:val="auto"/>
              </w:rPr>
            </w:pPr>
            <w:r>
              <w:rPr>
                <w:rFonts w:ascii="Arial" w:cs="Arial" w:eastAsia="Arial" w:hAnsi="Arial"/>
                <w:sz w:val="18"/>
                <w:szCs w:val="18"/>
                <w:color w:val="auto"/>
              </w:rPr>
              <w:t>Total other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(2,425)</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3,415</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over the same prior year periods due to larger cash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increased by 28.9% from 2017 to 2018 due to higher debt balances along with higher interest rates in 2018.</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Other income (expense) for 2018 was income of $1.8 million, a $3.6 million favorable increase as compared to 2017. These increases were due to the increase of foreign exchange gains resulting from the favorable fluctuation of certain Asian currencies against the U.S. dollar and higher subsidies during the current year from the Chinese government related to our qualification as a high-tech enterprise.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4320" w:type="dxa"/>
            <w:vAlign w:val="bottom"/>
            <w:gridSpan w:val="2"/>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w w:val="90"/>
              </w:rPr>
              <w:t>Years ended December 31,</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2"/>
              </w:rPr>
              <w:t>(in thousands,</w:t>
            </w:r>
          </w:p>
        </w:tc>
        <w:tc>
          <w:tcPr>
            <w:tcW w:w="2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80"/>
              </w:rPr>
              <w:t>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(10,575)</w:t>
            </w:r>
          </w:p>
        </w:tc>
        <w:tc>
          <w:tcPr>
            <w:tcW w:w="1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18,207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w:t>
            </w: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income tax expense (benefit) consisted of U.S. income tax, state taxes, Taiwan and China income tax recorded during the periods. Our effective tax rate was affected by recurring items, such as tax rates in state and foreign jurisdictions and the relative amounts of income we earned in those jurisdictions.</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recorded a tax benefit of $7.6 million for the year ended December 31, 2018 as compared to the tax expense of $10.6 million for the year ended December 31, 2017. The income tax benefit in the year ended December 31, 2018 was primarily related to the impact of changes to tax law, offset by the recognition of excess tax benefits attributable to share-based compensation as well as the recognition of research and development credits. The income tax expense recorded in the year ended December 31, 2017 was primarily related to the impact of changes to tax law, offset by the recognition of excess tax benefits attributable to share-based compensation as well as the recognition of research and development credits.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December 31, 2019, we had $48.8 million of unused borrowing capacity from all of our loan agreements. As of December 31, 2019, our cash, cash equivalents, restricted cash and short-term investments totaled $67.0 million. Cash and cash equivalents are held for working capital purposes and are invested primarily in money market or time deposit funds. We do not enter into investments for trading or speculative purposes. 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 No shares of common stock have been sold pursuant to this Registration Statement on Form S-3.</w:t>
      </w:r>
    </w:p>
    <w:p>
      <w:pPr>
        <w:spacing w:after="0" w:line="17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L “Convertible Senior Notes” to the consolidated financial statements for further discussion of the Notes.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rPr>
              <w:t>Years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(32,116)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(76,514)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(70,159)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42,596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r>
      <w:tr>
        <w:trPr>
          <w:trHeight w:val="20"/>
        </w:trPr>
        <w:tc>
          <w:tcPr>
            <w:tcW w:w="6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(25,944)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31,984</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ectPr>
          <w:pgSz w:w="11900" w:h="16838" w:orient="portrait"/>
          <w:cols w:equalWidth="0" w:num="1">
            <w:col w:w="11420"/>
          </w:cols>
          <w:pgMar w:left="240" w:top="125" w:right="239" w:bottom="46" w:gutter="0" w:footer="0" w:header="0"/>
        </w:sectPr>
      </w:pPr>
    </w:p>
    <w:bookmarkStart w:id="37" w:name="page38"/>
    <w:bookmarkEnd w:id="37"/>
    <w:p>
      <w:pPr>
        <w:ind w:firstLine="648"/>
        <w:spacing w:after="0" w:line="259" w:lineRule="auto"/>
        <w:rPr>
          <w:sz w:val="20"/>
          <w:szCs w:val="20"/>
          <w:color w:val="auto"/>
        </w:rPr>
      </w:pPr>
      <w:r>
        <w:rPr>
          <w:rFonts w:ascii="Arial" w:cs="Arial" w:eastAsia="Arial" w:hAnsi="Arial"/>
          <w:sz w:val="18"/>
          <w:szCs w:val="18"/>
          <w:color w:val="auto"/>
        </w:rPr>
        <w:t>In 2019, net cash used in operating activities was $1.8 million. Net cash used in operating activities consisted of our net loss of $66.0 million, after the exclusion of non-cash items of $57.8 million, an increase in accounts receivable from our customers of $4.3 million and a decrease in accrued liabilities of $0.3 million. These cash decreases were offset by a decrease in inventory of $1.6 million, an increase in accounts payable to our vendors of $3.2 million, a decrease in prepaid tax of $1.0 million and a decrease in other current assets of $5.5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2018, net cash provided by operating activities was $14.0 million. Net cash provided by operating activities consisted of our net loss of $2.1 million, after the exclusion of non-cash items of $38.5 million, an increase in accounts receivable from our customers of $29.3 million and an increase in accrued liabilities of $0.6 million. These cash increase were offset by an increase in inventory of $28.4 million, a decrease in account payable to our vendors of $13.7 million, a decrease in accrued income tax of $7.4 million and an increase in other current assets of $3.0 million.</w:t>
      </w:r>
    </w:p>
    <w:p>
      <w:pPr>
        <w:spacing w:after="0" w:line="17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2017, net cash provided by operating activities was $84.3 million. Net cash provided by operating activities consisted of our net income of $74.0 million, after the exclusion of non-cash items of $30.4 million, increase in accounts payable to our vendors of $7.2 million, an increase in accrued liabilities of $4.1 million and an increase in accrued income tax of $6.2 million. These cash increases were offset by an increase in accounts receivable from our customers of $10.1 million, an increase in inventory of $21.9 million and an increase in other current assets of $5.6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2019, net cash used in investing activities was $32.1 million. The net cash used consisted of spending on China factory construction, purchase and prepaid of additional property, plant and equipment of $31.5 million.</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2018, net cash used in investing activities was $76.5 million. The net cash used consisted of spending on property, plant and equipment and land use rights of $77.4 million offset by sales proceeds from equipment of $0.7 million.</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In 2017, net cash used in investing activities was $70.2 million. The net cash used consisted of spending on property, plant and equipment of $67.0 million and an increase of $2.9 million in deferred charges associated with the purchase of new machinery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2019, our financing activities provided $42.6 million in cash. We received $76.4 million proceeds from the issuance of convertible senior notes offset by net bank loan and bank acceptance notes repayments of $32.9 million. These activities were offset by $0.9 million related to tax withholding associated with employee share-based compensation.</w:t>
      </w:r>
    </w:p>
    <w:p>
      <w:pPr>
        <w:spacing w:after="0" w:line="18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 2018, our financing activities provided $34.8 million in cash. We received $38.8 million in net borrowings associated with our bank loans and bank acceptance notes. These activities were offset by $4.1 million related to tax withholding associated with employee share-based compensation.</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2017, our financing activities provided $18.2 million in cash. We received $21.6 million in net proceeds from the sale of our common stock pursuant to an at-the-market offering and $6.2 million in net borrowings associated with our bank loans. These activities were offset by $10.7 million related to tax withholding associated with employee share-based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with Branch Banking and Trust ("BB&amp;T") Bank in the U.S. This loan contains financial covenants that may limit the amount and types of debt that we may incur. As of December 31, 2019, we were in compliance with these covenants.</w:t>
      </w:r>
    </w:p>
    <w:p>
      <w:pPr>
        <w:spacing w:after="0" w:line="181"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In Taiwan, we have a revolving credit facility with Taishin International Bank, a revolving credit facility with Far Eastern International Bank Co., Ltd. and an equipment finance agreement with Chailease Finance Co., Ltd. for Prime World’s Taiwan Branch. In China, we have a revolving line of credit with China Merchants Bank Co., Ltd. and Shanghai Pudong Development Bank Co., Ltd and a credit facility with China Zheshang Bank Co., Ltd. for our China subsidiary, Global.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had $48.8 million of unused borrowing capacity.</w:t>
      </w:r>
    </w:p>
    <w:p>
      <w:pPr>
        <w:spacing w:after="0" w:line="225"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On March 5, 2019, the Company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K “Notes Payable and Long-term Debt” and Note L “Convertible Senior Notes” of our Consolidated Financial Statements for a description of our notes payable and long-term debt and convertible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w:t>
      </w:r>
    </w:p>
    <w:p>
      <w:pPr>
        <w:sectPr>
          <w:pgSz w:w="11900" w:h="16838" w:orient="portrait"/>
          <w:cols w:equalWidth="0" w:num="1">
            <w:col w:w="11400"/>
          </w:cols>
          <w:pgMar w:left="240" w:top="125" w:right="259" w:bottom="0" w:gutter="0" w:footer="0" w:header="0"/>
        </w:sectPr>
      </w:pPr>
    </w:p>
    <w:bookmarkStart w:id="38" w:name="page39"/>
    <w:bookmarkEnd w:id="38"/>
    <w:p>
      <w:pPr>
        <w:ind w:right="480"/>
        <w:spacing w:after="0" w:line="277" w:lineRule="auto"/>
        <w:rPr>
          <w:sz w:val="20"/>
          <w:szCs w:val="20"/>
          <w:color w:val="auto"/>
        </w:rPr>
      </w:pPr>
      <w:r>
        <w:rPr>
          <w:rFonts w:ascii="Arial" w:cs="Arial" w:eastAsia="Arial" w:hAnsi="Arial"/>
          <w:sz w:val="18"/>
          <w:szCs w:val="18"/>
          <w:color w:val="auto"/>
        </w:rPr>
        <w:t>million. As of December 31, 2019, approximately $23.8 million of this total cost has been incurred, with the remaining portion due as the construction progresses. Construction under this contract is expected to be completed in mid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2019 (in thousands):</w:t>
      </w:r>
    </w:p>
    <w:p>
      <w:pPr>
        <w:sectPr>
          <w:pgSz w:w="11900" w:h="16838" w:orient="portrait"/>
          <w:cols w:equalWidth="0" w:num="1">
            <w:col w:w="11380"/>
          </w:cols>
          <w:pgMar w:left="240" w:top="125" w:right="279"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Notes payable and long-term debt(1)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 notes(2)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leases(3)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5"/>
              </w:rPr>
              <w:t>More than</w:t>
            </w:r>
          </w:p>
        </w:tc>
        <w:tc>
          <w:tcPr>
            <w:tcW w:w="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5 Years</w:t>
            </w:r>
          </w:p>
        </w:tc>
      </w:tr>
      <w:tr>
        <w:trPr>
          <w:trHeight w:val="195"/>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56,233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39,681</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16,552</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98,501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8,050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86,426</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10,712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5,040</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165,577</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-719455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-445135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-162560</wp:posOffset>
            </wp:positionV>
            <wp:extent cx="72466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55880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680"/>
          </w:cols>
          <w:pgMar w:left="240" w:top="125" w:right="279" w:bottom="162" w:gutter="0" w:footer="0" w:header="0"/>
          <w:type w:val="continuous"/>
        </w:sectPr>
      </w:pPr>
    </w:p>
    <w:p>
      <w:pPr>
        <w:spacing w:after="0" w:line="29" w:lineRule="exact"/>
        <w:rPr>
          <w:sz w:val="20"/>
          <w:szCs w:val="20"/>
          <w:color w:val="auto"/>
        </w:rPr>
      </w:pPr>
    </w:p>
    <w:p>
      <w:pPr>
        <w:ind w:left="980" w:right="20" w:hanging="324"/>
        <w:spacing w:after="0" w:line="25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ind w:left="980" w:right="14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presented in the table represents the principal portion and estimated interest expense for the obligation.</w:t>
      </w: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 in Taiwan and in the U.S.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2019, 2018 and 2017, we did not have any off-balance sheet arrangements that we believe have or are reasonably likely to have a current or future effect on our financial condition, changes in financial condition, revenues or expenses, results of operations, liquidity, capital expenditures or capital resources that would be material to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honor the same terms and conditions as do our direct sales customers. Revenue is recognized when obligations under the terms of a contract with our customer are satisfied; generally this occurs with the transfer of control of products or services. Contracts or customer purchase orders are used to determine the existence of an obligation. Shipping documents are used to verify delivery. Revenue is measured as the amount of consideration we expect to receive in exchange for transferring products or providing services. Certain customers may receive cash and/or non-cash incentives, which are accounted for as variable consideration. We assess collectability based primarily on the creditworthiness of the customer as determined by credit checks and the customer’s payment history. Customers are generally extended net 30 credit terms from the date of shipment, with some extensions for more creditworthy customers.</w:t>
      </w:r>
    </w:p>
    <w:p>
      <w:pPr>
        <w:sectPr>
          <w:pgSz w:w="11900" w:h="16838" w:orient="portrait"/>
          <w:cols w:equalWidth="0" w:num="1">
            <w:col w:w="11380"/>
          </w:cols>
          <w:pgMar w:left="240" w:top="125" w:right="279" w:bottom="162" w:gutter="0" w:footer="0" w:header="0"/>
          <w:type w:val="continuous"/>
        </w:sectPr>
      </w:pPr>
    </w:p>
    <w:bookmarkStart w:id="39" w:name="page40"/>
    <w:bookmarkEnd w:id="39"/>
    <w:p>
      <w:pPr>
        <w:ind w:firstLine="648"/>
        <w:spacing w:after="0" w:line="291" w:lineRule="auto"/>
        <w:rPr>
          <w:sz w:val="20"/>
          <w:szCs w:val="20"/>
          <w:color w:val="auto"/>
        </w:rPr>
      </w:pPr>
      <w:r>
        <w:rPr>
          <w:rFonts w:ascii="Arial" w:cs="Arial" w:eastAsia="Arial" w:hAnsi="Arial"/>
          <w:sz w:val="16"/>
          <w:szCs w:val="16"/>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 We present revenue net of sales returns and allowances, sales taxes and any similar assessments. We provide a limited warranty as part of our standard terms and conditions of sale. This warranty provides for the repair or replacement of our products, at our discretion, that we determine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6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During our ordinary course of business, we may enter into new product development agreements to design, customize and develop new products for our customers. Such new product development agreements often involve material cost and engineering hours and therefore non-recurring engineering service (NRE) charges are agreed upon for the customer to reimburse our related costs. We adopt the milestone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 xml:space="preserve">We account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estimated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When we become aware of such changes, we review the anticipated useful life of the affected assets and make any necessary revisions. In those cases where we determine that the useful life of an asset should be revised, we depreciate the remaining net book value over the new estimated useful life. In December, 2019, our production management undertook a review of the estimated useful life of many of our production-related assets. Based on the results of this review, we believe that it is reasonably likely that estimated asset useful lives may be changed in the near term. If useful lives are revised, we generally expect these revisions to result in longer than current useful lives, and thus lower annual depreciation expense for this equipment.</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2019 or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2019, 2018 and 2017, we recorded excess and obsolete inventory reserve charges of $6.8 million, $7.2 million, and $1.9 million, respectively. For the years December 2019, 2018 and 2017, the direct inventory write-offs related to scrap, discontinued products and damaged inventories were $13.4 million, $12.3 million, and $6.8 million, respectively.</w:t>
      </w:r>
    </w:p>
    <w:p>
      <w:pPr>
        <w:spacing w:after="0" w:line="15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have an accounting policy to write down the value of obsolete inventory.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We account for income taxes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ectPr>
          <w:pgSz w:w="11900" w:h="16838" w:orient="portrait"/>
          <w:cols w:equalWidth="0" w:num="1">
            <w:col w:w="11420"/>
          </w:cols>
          <w:pgMar w:left="240" w:top="125" w:right="239" w:bottom="0" w:gutter="0" w:footer="0" w:header="0"/>
        </w:sectPr>
      </w:pPr>
    </w:p>
    <w:bookmarkStart w:id="40" w:name="page41"/>
    <w:bookmarkEnd w:id="40"/>
    <w:p>
      <w:pPr>
        <w:ind w:right="40" w:firstLine="648"/>
        <w:spacing w:after="0" w:line="257" w:lineRule="auto"/>
        <w:rPr>
          <w:sz w:val="20"/>
          <w:szCs w:val="20"/>
          <w:color w:val="auto"/>
        </w:rPr>
      </w:pPr>
      <w:r>
        <w:rPr>
          <w:rFonts w:ascii="Arial" w:cs="Arial" w:eastAsia="Arial" w:hAnsi="Arial"/>
          <w:sz w:val="18"/>
          <w:szCs w:val="18"/>
          <w:color w:val="auto"/>
        </w:rPr>
        <w:t>On the basis of this evaluation, as of December 31, 2019, a valuation allowance of $25.7 million has been recorded related to our US and state deferred tax assets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O of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B of our Consolidated Financial Statements for a description of 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December 31, 2019, our U.S. debt bears a variable rate of interest that is based on LIBOR. The debt subject to variable rates is subject to fluctuation in the LIBOR. As of December 31, 2019, we had not hedged our interest rate risk.</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December 31, 2019, an increase of 1.0% in each of our interest rates would have resulted in an increase of $1.3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year ended December 31, 2019, we recognized less than $0.1 million of exchange gains arising from foreign currency transactions and re-measurement of monetary assets and liabilities dominated in non-functional currency on the balance sheet date.</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year ended December 31, 2019, 3.2% of our revenue was denominated in RMB and none of our revenue was denominated in NT dollars. In the year ended December 31, 2019, 21.9% of our operating expenses were denominated in RMB and 28.2% of our operating expenses were denominated in NT dollars. Accordingly, fluctuations in exchange rates directly affect our cost of goods sold and net income, and have a significant impact on our operating margins. If exchange rates of RMB and NT dollars for U.S. dollars were 1% higher during the year ended December 31, 2019, our operating expenses would have had been higher by $0.5 million.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As of December 31, 2019, we held the U.S. dollar denominated assets net of liabilities of approximately $8.9 million in our China subsidiary and $6.34 million in our Taiwan branch. With respect to these U.S. dollar denominated net assets as of December 31, 2019, if exchange rates of RMB and NT dollars for U.S. dollars were 1% higher during the year ended December 31, 2019, our other operating expenses would have been increase by $0.2 million.</w:t>
      </w:r>
    </w:p>
    <w:p>
      <w:pPr>
        <w:sectPr>
          <w:pgSz w:w="11900" w:h="16838" w:orient="portrait"/>
          <w:cols w:equalWidth="0" w:num="1">
            <w:col w:w="11420"/>
          </w:cols>
          <w:pgMar w:left="240" w:top="125" w:right="239" w:bottom="0" w:gutter="0" w:footer="0" w:header="0"/>
        </w:sectPr>
      </w:pPr>
    </w:p>
    <w:bookmarkStart w:id="41" w:name="page42"/>
    <w:bookmarkEnd w:id="41"/>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Any significant revaluation of the RMB and NT dollars may materially and adversely affect the cash flows, revenues, and net income as reported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F-1 through F-30 of this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2019. Based upon that evaluation, our Chief Executive Officer and Chief Financial Officer concluded that, as of the end of the period covered in this report, our disclosure controls and procedures were effective.</w:t>
      </w:r>
    </w:p>
    <w:p>
      <w:pPr>
        <w:spacing w:after="0" w:line="18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5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right="100" w:firstLine="8"/>
        <w:spacing w:after="0" w:line="273" w:lineRule="auto"/>
        <w:tabs>
          <w:tab w:leader="none" w:pos="3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of the Treadway Commission. Based on this evaluation, management concluded that our internal control over financial reporting was effective as of December 31, 2019.</w:t>
      </w:r>
    </w:p>
    <w:p>
      <w:pPr>
        <w:spacing w:after="0" w:line="18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included in this Form 10-K, has issued a report, included below, on the effectiveness of our internal control over financial reporting as of December 31, 2019.</w:t>
      </w:r>
    </w:p>
    <w:p>
      <w:pPr>
        <w:spacing w:after="0" w:line="14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 xml:space="preserve">We have audited the internal control over financial reporting of Applied Optoelectronics, Inc. (a Delaware corporation) and subsidiaries (the “Company”)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w:t>
      </w:r>
    </w:p>
    <w:p>
      <w:pPr>
        <w:sectPr>
          <w:pgSz w:w="11900" w:h="16938" w:orient="portrait"/>
          <w:cols w:equalWidth="0" w:num="1">
            <w:col w:w="11420"/>
          </w:cols>
          <w:pgMar w:left="240" w:top="125" w:right="239" w:bottom="0" w:gutter="0" w:footer="0" w:header="0"/>
        </w:sectPr>
      </w:pPr>
    </w:p>
    <w:bookmarkStart w:id="42" w:name="page43"/>
    <w:bookmarkEnd w:id="42"/>
    <w:p>
      <w:pPr>
        <w:jc w:val="both"/>
        <w:spacing w:after="0" w:line="308" w:lineRule="auto"/>
        <w:rPr>
          <w:sz w:val="20"/>
          <w:szCs w:val="20"/>
          <w:color w:val="auto"/>
        </w:rPr>
      </w:pPr>
      <w:r>
        <w:rPr>
          <w:rFonts w:ascii="Arial" w:cs="Arial" w:eastAsia="Arial" w:hAnsi="Arial"/>
          <w:sz w:val="17"/>
          <w:szCs w:val="17"/>
          <w:color w:val="auto"/>
        </w:rPr>
        <w:t xml:space="preserve">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28,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2020 Annual Meeting of Stockholders (our “Proxy Statement”), a copy of which will be filed with the Securities and Exchange Commission within 120 days after the end of our fiscal year ended December 31, 2019.</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Code of Ethics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ectPr>
          <w:pgSz w:w="11900" w:h="16838" w:orient="portrait"/>
          <w:cols w:equalWidth="0" w:num="1">
            <w:col w:w="11420"/>
          </w:cols>
          <w:pgMar w:left="240" w:top="125" w:right="239" w:bottom="69" w:gutter="0" w:footer="0" w:header="0"/>
        </w:sectPr>
      </w:pPr>
    </w:p>
    <w:bookmarkStart w:id="43" w:name="page44"/>
    <w:bookmarkEnd w:id="43"/>
    <w:p>
      <w:pPr>
        <w:ind w:right="20" w:firstLine="648"/>
        <w:spacing w:after="0" w:line="259" w:lineRule="auto"/>
        <w:rPr>
          <w:sz w:val="20"/>
          <w:szCs w:val="20"/>
          <w:color w:val="auto"/>
        </w:rPr>
      </w:pPr>
      <w:r>
        <w:rPr>
          <w:rFonts w:ascii="Arial" w:cs="Arial" w:eastAsia="Arial" w:hAnsi="Arial"/>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2019.</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“Summary Compensation Table,” “Director Compensation,” and “Compensation Committee Report” in our Proxy Statement.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“Equity Compensation Plan Information” in our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regarding related transactions is incorporated herein by reference from the information contained in our Proxy Statement.</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(a)(1) The consolidated financial statements are listed on the Index to Consolidated Financial Statements to this report beginning on page F-1.</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(a)(2) Financial Statement Schedules. Financial statement schedules have been omitted, as the information required to be set forth therein is included in the Consolidated Financial Statements or Notes thereto appearing in this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(a)(3) Exhibits. See the Exhibit immediately following Item 16. Form 10-K Summary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Table of Contents</w:t>
              </w:r>
            </w:hyperlink>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 INDEX</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60" w:type="dxa"/>
            <w:vAlign w:val="bottom"/>
            <w:gridSpan w:val="3"/>
          </w:tcPr>
          <w:p>
            <w:pPr>
              <w:ind w:left="760"/>
              <w:spacing w:after="0"/>
              <w:rPr>
                <w:sz w:val="20"/>
                <w:szCs w:val="20"/>
                <w:color w:val="auto"/>
              </w:rPr>
            </w:pPr>
            <w:r>
              <w:rPr>
                <w:rFonts w:ascii="Arial" w:cs="Arial" w:eastAsia="Arial" w:hAnsi="Arial"/>
                <w:sz w:val="18"/>
                <w:szCs w:val="18"/>
                <w:b w:val="1"/>
                <w:bCs w:val="1"/>
                <w:color w:val="auto"/>
              </w:rPr>
              <w:t>Incorporated By Reference</w:t>
            </w:r>
          </w:p>
        </w:tc>
      </w:tr>
      <w:tr>
        <w:trPr>
          <w:trHeight w:val="220"/>
        </w:trPr>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0" w:type="dxa"/>
            <w:vAlign w:val="bottom"/>
            <w:gridSpan w:val="12"/>
          </w:tcPr>
          <w:p>
            <w:pPr>
              <w:ind w:left="440"/>
              <w:spacing w:after="0"/>
              <w:rPr>
                <w:sz w:val="20"/>
                <w:szCs w:val="20"/>
                <w:color w:val="auto"/>
              </w:rPr>
            </w:pPr>
            <w:r>
              <w:rPr>
                <w:rFonts w:ascii="Arial" w:cs="Arial" w:eastAsia="Arial" w:hAnsi="Arial"/>
                <w:sz w:val="18"/>
                <w:szCs w:val="18"/>
                <w:b w:val="1"/>
                <w:bCs w:val="1"/>
                <w:color w:val="auto"/>
              </w:rPr>
              <w:t>Exhibit Description</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0" w:type="dxa"/>
            <w:vAlign w:val="bottom"/>
          </w:tcPr>
          <w:p>
            <w:pPr>
              <w:ind w:left="420"/>
              <w:spacing w:after="0"/>
              <w:rPr>
                <w:sz w:val="20"/>
                <w:szCs w:val="20"/>
                <w:color w:val="auto"/>
              </w:rPr>
            </w:pPr>
            <w:r>
              <w:rPr>
                <w:rFonts w:ascii="Arial" w:cs="Arial" w:eastAsia="Arial" w:hAnsi="Arial"/>
                <w:sz w:val="18"/>
                <w:szCs w:val="18"/>
                <w:b w:val="1"/>
                <w:bCs w:val="1"/>
                <w:color w:val="auto"/>
              </w:rPr>
              <w:t>File No.</w:t>
            </w:r>
          </w:p>
        </w:tc>
        <w:tc>
          <w:tcPr>
            <w:tcW w:w="112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74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1280" w:type="dxa"/>
            <w:vAlign w:val="bottom"/>
          </w:tcPr>
          <w:p>
            <w:pPr>
              <w:jc w:val="right"/>
              <w:ind w:right="90"/>
              <w:spacing w:after="0" w:line="190"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4600" w:type="dxa"/>
            <w:vAlign w:val="bottom"/>
            <w:gridSpan w:val="14"/>
          </w:tcPr>
          <w:p>
            <w:pPr>
              <w:spacing w:after="0" w:line="190" w:lineRule="exact"/>
              <w:rPr>
                <w:rFonts w:ascii="Arial" w:cs="Arial" w:eastAsia="Arial" w:hAnsi="Arial"/>
                <w:sz w:val="18"/>
                <w:szCs w:val="18"/>
                <w:color w:val="0000EE"/>
              </w:rPr>
            </w:pPr>
            <w:hyperlink r:id="rId87">
              <w:r>
                <w:rPr>
                  <w:rFonts w:ascii="Arial" w:cs="Arial" w:eastAsia="Arial" w:hAnsi="Arial"/>
                  <w:sz w:val="18"/>
                  <w:szCs w:val="18"/>
                  <w:color w:val="0000EE"/>
                </w:rPr>
                <w:t>Amended and Restated Certificate of Incorporation of the</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740" w:type="dxa"/>
            <w:vAlign w:val="bottom"/>
          </w:tcPr>
          <w:p>
            <w:pPr>
              <w:jc w:val="center"/>
              <w:ind w:left="210"/>
              <w:spacing w:after="0" w:line="190" w:lineRule="exact"/>
              <w:rPr>
                <w:sz w:val="20"/>
                <w:szCs w:val="20"/>
                <w:color w:val="auto"/>
              </w:rPr>
            </w:pPr>
            <w:r>
              <w:rPr>
                <w:rFonts w:ascii="Arial" w:cs="Arial" w:eastAsia="Arial" w:hAnsi="Arial"/>
                <w:sz w:val="18"/>
                <w:szCs w:val="18"/>
                <w:color w:val="auto"/>
                <w:w w:val="91"/>
              </w:rPr>
              <w:t>November 14, 2013</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registrant, as currently in effect</w:t>
              </w:r>
            </w:hyperlink>
          </w:p>
        </w:tc>
        <w:tc>
          <w:tcPr>
            <w:tcW w:w="48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Amended and Restated Bylaws of the registrant, as currently</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740" w:type="dxa"/>
            <w:vAlign w:val="bottom"/>
          </w:tcPr>
          <w:p>
            <w:pPr>
              <w:jc w:val="center"/>
              <w:ind w:left="210"/>
              <w:spacing w:after="0"/>
              <w:rPr>
                <w:sz w:val="20"/>
                <w:szCs w:val="20"/>
                <w:color w:val="auto"/>
              </w:rPr>
            </w:pPr>
            <w:r>
              <w:rPr>
                <w:rFonts w:ascii="Arial" w:cs="Arial" w:eastAsia="Arial" w:hAnsi="Arial"/>
                <w:sz w:val="18"/>
                <w:szCs w:val="18"/>
                <w:color w:val="auto"/>
                <w:w w:val="91"/>
              </w:rPr>
              <w:t>November 14, 2013</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in effect</w:t>
              </w:r>
            </w:hyperlink>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860" w:type="dxa"/>
            <w:vAlign w:val="bottom"/>
            <w:tcBorders>
              <w:bottom w:val="single" w:sz="8" w:color="0000EE"/>
            </w:tcBorders>
            <w:gridSpan w:val="3"/>
          </w:tcPr>
          <w:p>
            <w:pPr>
              <w:spacing w:after="0"/>
              <w:rPr>
                <w:rFonts w:ascii="Arial" w:cs="Arial" w:eastAsia="Arial" w:hAnsi="Arial"/>
                <w:sz w:val="18"/>
                <w:szCs w:val="18"/>
                <w:color w:val="0000EE"/>
                <w:w w:val="88"/>
              </w:rPr>
            </w:pPr>
            <w:hyperlink r:id="rId89">
              <w:r>
                <w:rPr>
                  <w:rFonts w:ascii="Arial" w:cs="Arial" w:eastAsia="Arial" w:hAnsi="Arial"/>
                  <w:sz w:val="18"/>
                  <w:szCs w:val="18"/>
                  <w:color w:val="0000EE"/>
                  <w:w w:val="88"/>
                </w:rPr>
                <w:t>Common Stock Specimen</w:t>
              </w:r>
            </w:hyperlink>
          </w:p>
        </w:tc>
        <w:tc>
          <w:tcPr>
            <w:tcW w:w="2740" w:type="dxa"/>
            <w:vAlign w:val="bottom"/>
            <w:gridSpan w:val="11"/>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40" w:type="dxa"/>
            <w:vAlign w:val="bottom"/>
          </w:tcPr>
          <w:p>
            <w:pPr>
              <w:jc w:val="center"/>
              <w:ind w:left="210"/>
              <w:spacing w:after="0"/>
              <w:rPr>
                <w:sz w:val="20"/>
                <w:szCs w:val="20"/>
                <w:color w:val="auto"/>
              </w:rPr>
            </w:pPr>
            <w:r>
              <w:rPr>
                <w:rFonts w:ascii="Arial" w:cs="Arial" w:eastAsia="Arial" w:hAnsi="Arial"/>
                <w:sz w:val="18"/>
                <w:szCs w:val="18"/>
                <w:color w:val="auto"/>
                <w:w w:val="91"/>
              </w:rPr>
              <w:t>November 14, 2016</w:t>
            </w:r>
          </w:p>
        </w:tc>
      </w:tr>
      <w:tr>
        <w:trPr>
          <w:trHeight w:val="412"/>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rPr>
            </w:pPr>
            <w:hyperlink r:id="rId90">
              <w:r>
                <w:rPr>
                  <w:rFonts w:ascii="Arial" w:cs="Arial" w:eastAsia="Arial" w:hAnsi="Arial"/>
                  <w:sz w:val="18"/>
                  <w:szCs w:val="18"/>
                  <w:color w:val="0000EE"/>
                </w:rPr>
                <w:t>Indenture, dated as of March 5, 2019 between Applied</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40" w:type="dxa"/>
            <w:vAlign w:val="bottom"/>
          </w:tcPr>
          <w:p>
            <w:pPr>
              <w:jc w:val="center"/>
              <w:ind w:left="190"/>
              <w:spacing w:after="0"/>
              <w:rPr>
                <w:sz w:val="20"/>
                <w:szCs w:val="20"/>
                <w:color w:val="auto"/>
              </w:rPr>
            </w:pPr>
            <w:r>
              <w:rPr>
                <w:rFonts w:ascii="Arial" w:cs="Arial" w:eastAsia="Arial" w:hAnsi="Arial"/>
                <w:sz w:val="18"/>
                <w:szCs w:val="18"/>
                <w:color w:val="auto"/>
                <w:w w:val="92"/>
              </w:rPr>
              <w:t>March 5, 2019</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Optoelectronics, Inc. and Wells Fargo Bank, National</w:t>
              </w:r>
            </w:hyperlink>
          </w:p>
        </w:tc>
        <w:tc>
          <w:tcPr>
            <w:tcW w:w="60" w:type="dxa"/>
            <w:vAlign w:val="bottom"/>
            <w:tcBorders>
              <w:top w:val="single" w:sz="8" w:color="0000EE"/>
            </w:tcBorders>
          </w:tcPr>
          <w:p>
            <w:pPr>
              <w:spacing w:after="0"/>
              <w:rPr>
                <w:sz w:val="17"/>
                <w:szCs w:val="17"/>
                <w:color w:val="auto"/>
              </w:rPr>
            </w:pPr>
          </w:p>
        </w:tc>
        <w:tc>
          <w:tcPr>
            <w:tcW w:w="700" w:type="dxa"/>
            <w:vAlign w:val="bottom"/>
            <w:gridSpan w:val="6"/>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0" w:type="dxa"/>
            <w:vAlign w:val="bottom"/>
            <w:gridSpan w:val="14"/>
          </w:tcPr>
          <w:p>
            <w:pPr>
              <w:spacing w:after="0" w:line="196"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Association, as trustee, paying agent, and conversion agent</w:t>
              </w:r>
            </w:hyperlink>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35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Form of Note representing the Company’s 5.00%</w:t>
              </w:r>
            </w:hyperlink>
          </w:p>
        </w:tc>
        <w:tc>
          <w:tcPr>
            <w:tcW w:w="680" w:type="dxa"/>
            <w:vAlign w:val="bottom"/>
            <w:tcBorders>
              <w:top w:val="single" w:sz="8" w:color="0000EE"/>
            </w:tcBorders>
            <w:gridSpan w:val="4"/>
          </w:tcPr>
          <w:p>
            <w:pPr>
              <w:spacing w:after="0"/>
              <w:rPr>
                <w:sz w:val="24"/>
                <w:szCs w:val="24"/>
                <w:color w:val="auto"/>
              </w:rPr>
            </w:pPr>
          </w:p>
        </w:tc>
        <w:tc>
          <w:tcPr>
            <w:tcW w:w="38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40" w:type="dxa"/>
            <w:vAlign w:val="bottom"/>
          </w:tcPr>
          <w:p>
            <w:pPr>
              <w:jc w:val="center"/>
              <w:ind w:left="190"/>
              <w:spacing w:after="0"/>
              <w:rPr>
                <w:sz w:val="20"/>
                <w:szCs w:val="20"/>
                <w:color w:val="auto"/>
              </w:rPr>
            </w:pPr>
            <w:r>
              <w:rPr>
                <w:rFonts w:ascii="Arial" w:cs="Arial" w:eastAsia="Arial" w:hAnsi="Arial"/>
                <w:sz w:val="18"/>
                <w:szCs w:val="18"/>
                <w:color w:val="auto"/>
                <w:w w:val="92"/>
              </w:rPr>
              <w:t>March 5, 2019</w:t>
            </w: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Convertible Senior Notes due 2024 (included as Exhibit A to</w:t>
              </w:r>
            </w:hyperlink>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the Indenture)</w:t>
              </w:r>
            </w:hyperlink>
          </w:p>
        </w:tc>
        <w:tc>
          <w:tcPr>
            <w:tcW w:w="360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5960" w:type="dxa"/>
            <w:vAlign w:val="bottom"/>
            <w:gridSpan w:val="16"/>
          </w:tcPr>
          <w:p>
            <w:pPr>
              <w:ind w:left="880"/>
              <w:spacing w:after="0"/>
              <w:rPr>
                <w:rFonts w:ascii="Arial" w:cs="Arial" w:eastAsia="Arial" w:hAnsi="Arial"/>
                <w:sz w:val="18"/>
                <w:szCs w:val="18"/>
                <w:color w:val="auto"/>
              </w:rPr>
            </w:pPr>
            <w:r>
              <w:rPr>
                <w:rFonts w:ascii="Arial" w:cs="Arial" w:eastAsia="Arial" w:hAnsi="Arial"/>
                <w:sz w:val="18"/>
                <w:szCs w:val="18"/>
                <w:color w:val="auto"/>
              </w:rPr>
              <w:t xml:space="preserve">4.4*  </w:t>
            </w:r>
            <w:hyperlink w:anchor="page83">
              <w:r>
                <w:rPr>
                  <w:rFonts w:ascii="Arial" w:cs="Arial" w:eastAsia="Arial" w:hAnsi="Arial"/>
                  <w:sz w:val="18"/>
                  <w:szCs w:val="18"/>
                  <w:color w:val="0000EE"/>
                </w:rPr>
                <w:t>Description of Company’s Common Stock</w:t>
              </w:r>
            </w:hyperlink>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128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4240" w:type="dxa"/>
            <w:vAlign w:val="bottom"/>
            <w:tcBorders>
              <w:bottom w:val="single" w:sz="8" w:color="0000EE"/>
            </w:tcBorders>
            <w:gridSpan w:val="11"/>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Indemnification Agreement between the registrant</w:t>
              </w:r>
            </w:hyperlink>
          </w:p>
        </w:tc>
        <w:tc>
          <w:tcPr>
            <w:tcW w:w="360" w:type="dxa"/>
            <w:vAlign w:val="bottom"/>
            <w:gridSpan w:val="3"/>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40" w:type="dxa"/>
            <w:vAlign w:val="bottom"/>
          </w:tcPr>
          <w:p>
            <w:pPr>
              <w:jc w:val="center"/>
              <w:ind w:left="210"/>
              <w:spacing w:after="0"/>
              <w:rPr>
                <w:sz w:val="20"/>
                <w:szCs w:val="20"/>
                <w:color w:val="auto"/>
              </w:rPr>
            </w:pPr>
            <w:r>
              <w:rPr>
                <w:rFonts w:ascii="Arial" w:cs="Arial" w:eastAsia="Arial" w:hAnsi="Arial"/>
                <w:sz w:val="18"/>
                <w:szCs w:val="18"/>
                <w:color w:val="auto"/>
                <w:w w:val="91"/>
              </w:rPr>
              <w:t>August 13, 2013</w:t>
            </w:r>
          </w:p>
        </w:tc>
      </w:tr>
    </w:tbl>
    <w:p>
      <w:pPr>
        <w:sectPr>
          <w:pgSz w:w="11900" w:h="16838" w:orient="portrait"/>
          <w:cols w:equalWidth="0" w:num="1">
            <w:col w:w="11420"/>
          </w:cols>
          <w:pgMar w:left="240" w:top="125" w:right="239" w:bottom="0" w:gutter="0" w:footer="0" w:header="0"/>
        </w:sectPr>
      </w:pPr>
    </w:p>
    <w:bookmarkStart w:id="44" w:name="page45"/>
    <w:bookmarkEnd w:id="4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4100" w:type="dxa"/>
            <w:vAlign w:val="bottom"/>
            <w:tcBorders>
              <w:bottom w:val="single" w:sz="8" w:color="0000EE"/>
            </w:tcBorders>
            <w:gridSpan w:val="18"/>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each of its Directors and certain of its Executive Officers</w:t>
              </w:r>
            </w:hyperlink>
          </w:p>
        </w:tc>
        <w:tc>
          <w:tcPr>
            <w:tcW w:w="54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2004 Incentive Share Plan</w:t>
              </w:r>
            </w:hyperlink>
          </w:p>
        </w:tc>
        <w:tc>
          <w:tcPr>
            <w:tcW w:w="2740" w:type="dxa"/>
            <w:vAlign w:val="bottom"/>
            <w:gridSpan w:val="20"/>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10.4</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10.2.1†</w:t>
            </w:r>
          </w:p>
        </w:tc>
        <w:tc>
          <w:tcPr>
            <w:tcW w:w="4000" w:type="dxa"/>
            <w:vAlign w:val="bottom"/>
            <w:tcBorders>
              <w:bottom w:val="single" w:sz="8" w:color="0000EE"/>
            </w:tcBorders>
            <w:gridSpan w:val="15"/>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Stock Option Agreement under 2004 Incentive</w:t>
              </w:r>
            </w:hyperlink>
          </w:p>
        </w:tc>
        <w:tc>
          <w:tcPr>
            <w:tcW w:w="640" w:type="dxa"/>
            <w:vAlign w:val="bottom"/>
            <w:gridSpan w:val="10"/>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10.4.1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Share Plan</w:t>
              </w:r>
            </w:hyperlink>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4640" w:type="dxa"/>
            <w:vAlign w:val="bottom"/>
            <w:gridSpan w:val="25"/>
          </w:tcPr>
          <w:p>
            <w:pPr>
              <w:spacing w:after="0"/>
              <w:rPr>
                <w:rFonts w:ascii="Arial" w:cs="Arial" w:eastAsia="Arial" w:hAnsi="Arial"/>
                <w:sz w:val="18"/>
                <w:szCs w:val="18"/>
                <w:color w:val="0000EE"/>
              </w:rPr>
            </w:pPr>
            <w:hyperlink r:id="rId94">
              <w:r>
                <w:rPr>
                  <w:rFonts w:ascii="Arial" w:cs="Arial" w:eastAsia="Arial" w:hAnsi="Arial"/>
                  <w:sz w:val="18"/>
                  <w:szCs w:val="18"/>
                  <w:color w:val="0000EE"/>
                </w:rPr>
                <w:t>2006 Incentive Share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10.3.1†</w:t>
            </w:r>
          </w:p>
        </w:tc>
        <w:tc>
          <w:tcPr>
            <w:tcW w:w="4640" w:type="dxa"/>
            <w:vAlign w:val="bottom"/>
            <w:gridSpan w:val="25"/>
          </w:tcPr>
          <w:p>
            <w:pPr>
              <w:spacing w:after="0"/>
              <w:rPr>
                <w:rFonts w:ascii="Arial" w:cs="Arial" w:eastAsia="Arial" w:hAnsi="Arial"/>
                <w:sz w:val="18"/>
                <w:szCs w:val="18"/>
                <w:color w:val="0000EE"/>
              </w:rPr>
            </w:pPr>
            <w:hyperlink r:id="rId95">
              <w:r>
                <w:rPr>
                  <w:rFonts w:ascii="Arial" w:cs="Arial" w:eastAsia="Arial" w:hAnsi="Arial"/>
                  <w:sz w:val="18"/>
                  <w:szCs w:val="18"/>
                  <w:color w:val="0000EE"/>
                </w:rPr>
                <w:t>First Amendment to 2006 Incentive Share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10.5.1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27, 2013</w:t>
            </w: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10.3.2†</w:t>
            </w:r>
          </w:p>
        </w:tc>
        <w:tc>
          <w:tcPr>
            <w:tcW w:w="4000" w:type="dxa"/>
            <w:vAlign w:val="bottom"/>
            <w:tcBorders>
              <w:bottom w:val="single" w:sz="8" w:color="0000EE"/>
            </w:tcBorders>
            <w:gridSpan w:val="15"/>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Stock Option Agreement under 2006 Incentive</w:t>
              </w:r>
            </w:hyperlink>
          </w:p>
        </w:tc>
        <w:tc>
          <w:tcPr>
            <w:tcW w:w="640" w:type="dxa"/>
            <w:vAlign w:val="bottom"/>
            <w:gridSpan w:val="10"/>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10.5.2</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Share Plan</w:t>
              </w:r>
            </w:hyperlink>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3680" w:type="dxa"/>
            <w:vAlign w:val="bottom"/>
            <w:tcBorders>
              <w:bottom w:val="single" w:sz="8" w:color="0000EE"/>
            </w:tcBorders>
            <w:gridSpan w:val="13"/>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Amended and Restated 2013 Equity Incentive Plan</w:t>
              </w:r>
            </w:hyperlink>
          </w:p>
        </w:tc>
        <w:tc>
          <w:tcPr>
            <w:tcW w:w="960" w:type="dxa"/>
            <w:vAlign w:val="bottom"/>
            <w:gridSpan w:val="1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10.6</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2"/>
              </w:rPr>
              <w:t>March 9, 2017</w:t>
            </w: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10.4.1†</w:t>
            </w:r>
          </w:p>
        </w:tc>
        <w:tc>
          <w:tcPr>
            <w:tcW w:w="4640" w:type="dxa"/>
            <w:vAlign w:val="bottom"/>
            <w:gridSpan w:val="25"/>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Restricted Stock Award Agreement under 2013</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Equity Incentive Plan</w:t>
              </w:r>
            </w:hyperlink>
          </w:p>
        </w:tc>
        <w:tc>
          <w:tcPr>
            <w:tcW w:w="2460" w:type="dxa"/>
            <w:vAlign w:val="bottom"/>
            <w:tcBorders>
              <w:top w:val="single" w:sz="8" w:color="0000EE"/>
            </w:tcBorders>
            <w:gridSpan w:val="13"/>
          </w:tcPr>
          <w:p>
            <w:pPr>
              <w:spacing w:after="0"/>
              <w:rPr>
                <w:sz w:val="17"/>
                <w:szCs w:val="17"/>
                <w:color w:val="auto"/>
              </w:rPr>
            </w:pPr>
          </w:p>
        </w:tc>
        <w:tc>
          <w:tcPr>
            <w:tcW w:w="62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10.4.2†</w:t>
            </w:r>
          </w:p>
        </w:tc>
        <w:tc>
          <w:tcPr>
            <w:tcW w:w="4400" w:type="dxa"/>
            <w:vAlign w:val="bottom"/>
            <w:tcBorders>
              <w:bottom w:val="single" w:sz="8" w:color="0000EE"/>
            </w:tcBorders>
            <w:gridSpan w:val="23"/>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Restricted Stock Unit Award Agreement under 2013</w:t>
              </w:r>
            </w:hyperlink>
          </w:p>
        </w:tc>
        <w:tc>
          <w:tcPr>
            <w:tcW w:w="240" w:type="dxa"/>
            <w:vAlign w:val="bottom"/>
            <w:gridSpan w:val="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10.6.2</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15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Equity Incentive Plan</w:t>
              </w:r>
            </w:hyperlink>
          </w:p>
        </w:tc>
        <w:tc>
          <w:tcPr>
            <w:tcW w:w="3080" w:type="dxa"/>
            <w:vAlign w:val="bottom"/>
            <w:gridSpan w:val="22"/>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10.4.3†</w:t>
            </w:r>
          </w:p>
        </w:tc>
        <w:tc>
          <w:tcPr>
            <w:tcW w:w="4280" w:type="dxa"/>
            <w:vAlign w:val="bottom"/>
            <w:tcBorders>
              <w:bottom w:val="single" w:sz="8" w:color="0000EE"/>
            </w:tcBorders>
            <w:gridSpan w:val="2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Stock Appreciation Right Award Agreement under</w:t>
              </w:r>
            </w:hyperlink>
          </w:p>
        </w:tc>
        <w:tc>
          <w:tcPr>
            <w:tcW w:w="36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10.6.3</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19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2013 Equity Incentive Plan</w:t>
              </w:r>
            </w:hyperlink>
          </w:p>
        </w:tc>
        <w:tc>
          <w:tcPr>
            <w:tcW w:w="2680" w:type="dxa"/>
            <w:vAlign w:val="bottom"/>
            <w:gridSpan w:val="19"/>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10.4.4†</w:t>
            </w:r>
          </w:p>
        </w:tc>
        <w:tc>
          <w:tcPr>
            <w:tcW w:w="4120" w:type="dxa"/>
            <w:vAlign w:val="bottom"/>
            <w:tcBorders>
              <w:bottom w:val="single" w:sz="8" w:color="0000EE"/>
            </w:tcBorders>
            <w:gridSpan w:val="19"/>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Form of Notice of Stock Option Award and Stock Option</w:t>
              </w:r>
            </w:hyperlink>
          </w:p>
        </w:tc>
        <w:tc>
          <w:tcPr>
            <w:tcW w:w="520" w:type="dxa"/>
            <w:vAlign w:val="bottom"/>
            <w:gridSpan w:val="6"/>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10.6.4</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3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Award Agreement under 2013 Equity Incentive Plan</w:t>
              </w:r>
            </w:hyperlink>
          </w:p>
        </w:tc>
        <w:tc>
          <w:tcPr>
            <w:tcW w:w="86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4640" w:type="dxa"/>
            <w:vAlign w:val="bottom"/>
            <w:gridSpan w:val="25"/>
          </w:tcPr>
          <w:p>
            <w:pPr>
              <w:spacing w:after="0"/>
              <w:rPr>
                <w:rFonts w:ascii="Arial" w:cs="Arial" w:eastAsia="Arial" w:hAnsi="Arial"/>
                <w:sz w:val="18"/>
                <w:szCs w:val="18"/>
                <w:color w:val="0000EE"/>
              </w:rPr>
            </w:pPr>
            <w:hyperlink r:id="rId102">
              <w:r>
                <w:rPr>
                  <w:rFonts w:ascii="Arial" w:cs="Arial" w:eastAsia="Arial" w:hAnsi="Arial"/>
                  <w:sz w:val="18"/>
                  <w:szCs w:val="18"/>
                  <w:color w:val="0000EE"/>
                </w:rPr>
                <w:t>Employment Agreement regarding Change of Control or</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10.12</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Separation of Service between the registrant and Chih-Hsiang</w:t>
              </w:r>
            </w:hyperlink>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(Thompson) Lin, dated January 28, 2007</w:t>
              </w:r>
            </w:hyperlink>
          </w:p>
        </w:tc>
        <w:tc>
          <w:tcPr>
            <w:tcW w:w="1500" w:type="dxa"/>
            <w:vAlign w:val="bottom"/>
            <w:tcBorders>
              <w:top w:val="single" w:sz="8" w:color="0000EE"/>
            </w:tcBorders>
            <w:gridSpan w:val="17"/>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10.5.1†</w:t>
            </w:r>
          </w:p>
        </w:tc>
        <w:tc>
          <w:tcPr>
            <w:tcW w:w="4220" w:type="dxa"/>
            <w:vAlign w:val="bottom"/>
            <w:tcBorders>
              <w:bottom w:val="single" w:sz="8" w:color="0000EE"/>
            </w:tcBorders>
            <w:gridSpan w:val="20"/>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Amended and Restated Employment Agreement regarding</w:t>
              </w:r>
            </w:hyperlink>
          </w:p>
        </w:tc>
        <w:tc>
          <w:tcPr>
            <w:tcW w:w="42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10.12.1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August 13, 2013</w:t>
            </w:r>
          </w:p>
        </w:tc>
      </w:tr>
      <w:tr>
        <w:trPr>
          <w:trHeight w:val="196"/>
        </w:trPr>
        <w:tc>
          <w:tcPr>
            <w:tcW w:w="680" w:type="dxa"/>
            <w:vAlign w:val="bottom"/>
          </w:tcPr>
          <w:p>
            <w:pPr>
              <w:spacing w:after="0"/>
              <w:rPr>
                <w:sz w:val="17"/>
                <w:szCs w:val="17"/>
                <w:color w:val="auto"/>
              </w:rPr>
            </w:pPr>
          </w:p>
        </w:tc>
        <w:tc>
          <w:tcPr>
            <w:tcW w:w="40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Change of Control or Separation of Service between the</w:t>
              </w:r>
            </w:hyperlink>
          </w:p>
        </w:tc>
        <w:tc>
          <w:tcPr>
            <w:tcW w:w="5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registrant and Chih-Hsiang (Thompson) Lin, dated April 16,</w:t>
              </w:r>
            </w:hyperlink>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03">
              <w:r>
                <w:rPr>
                  <w:rFonts w:ascii="Arial" w:cs="Arial" w:eastAsia="Arial" w:hAnsi="Arial"/>
                  <w:sz w:val="18"/>
                  <w:szCs w:val="18"/>
                  <w:color w:val="0000EE"/>
                  <w:w w:val="84"/>
                </w:rPr>
                <w:t>2013</w:t>
              </w:r>
            </w:hyperlink>
          </w:p>
        </w:tc>
        <w:tc>
          <w:tcPr>
            <w:tcW w:w="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 6†</w:t>
            </w:r>
          </w:p>
        </w:tc>
        <w:tc>
          <w:tcPr>
            <w:tcW w:w="4640" w:type="dxa"/>
            <w:vAlign w:val="bottom"/>
            <w:gridSpan w:val="25"/>
          </w:tcPr>
          <w:p>
            <w:pPr>
              <w:spacing w:after="0"/>
              <w:rPr>
                <w:rFonts w:ascii="Arial" w:cs="Arial" w:eastAsia="Arial" w:hAnsi="Arial"/>
                <w:sz w:val="18"/>
                <w:szCs w:val="18"/>
                <w:color w:val="0000EE"/>
              </w:rPr>
            </w:pPr>
            <w:hyperlink r:id="rId104">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10.20</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August 9, 2016</w:t>
            </w:r>
          </w:p>
        </w:tc>
      </w:tr>
      <w:tr>
        <w:trPr>
          <w:trHeight w:val="196"/>
        </w:trPr>
        <w:tc>
          <w:tcPr>
            <w:tcW w:w="68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Applied Optoelectronics, Inc. and Stefan J. Murry</w:t>
              </w:r>
            </w:hyperlink>
          </w:p>
        </w:tc>
        <w:tc>
          <w:tcPr>
            <w:tcW w:w="460" w:type="dxa"/>
            <w:vAlign w:val="bottom"/>
            <w:tcBorders>
              <w:top w:val="single" w:sz="8" w:color="0000EE"/>
            </w:tcBorders>
            <w:gridSpan w:val="5"/>
          </w:tcPr>
          <w:p>
            <w:pPr>
              <w:spacing w:after="0"/>
              <w:rPr>
                <w:sz w:val="17"/>
                <w:szCs w:val="17"/>
                <w:color w:val="auto"/>
              </w:rPr>
            </w:pPr>
          </w:p>
        </w:tc>
        <w:tc>
          <w:tcPr>
            <w:tcW w:w="5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4640" w:type="dxa"/>
            <w:vAlign w:val="bottom"/>
            <w:gridSpan w:val="25"/>
          </w:tcPr>
          <w:p>
            <w:pPr>
              <w:spacing w:after="0"/>
              <w:rPr>
                <w:rFonts w:ascii="Arial" w:cs="Arial" w:eastAsia="Arial" w:hAnsi="Arial"/>
                <w:sz w:val="18"/>
                <w:szCs w:val="18"/>
                <w:color w:val="0000EE"/>
              </w:rPr>
            </w:pPr>
            <w:hyperlink r:id="rId105">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10.21</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August 9, 2016</w:t>
            </w:r>
          </w:p>
        </w:tc>
      </w:tr>
      <w:tr>
        <w:trPr>
          <w:trHeight w:val="196"/>
        </w:trPr>
        <w:tc>
          <w:tcPr>
            <w:tcW w:w="6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Applied Optoelectronics, Inc. and Mr. Joshua Yeh</w:t>
              </w:r>
            </w:hyperlink>
          </w:p>
        </w:tc>
        <w:tc>
          <w:tcPr>
            <w:tcW w:w="480" w:type="dxa"/>
            <w:vAlign w:val="bottom"/>
            <w:tcBorders>
              <w:top w:val="single" w:sz="8" w:color="0000EE"/>
            </w:tcBorders>
            <w:gridSpan w:val="6"/>
          </w:tcPr>
          <w:p>
            <w:pPr>
              <w:spacing w:after="0"/>
              <w:rPr>
                <w:sz w:val="17"/>
                <w:szCs w:val="17"/>
                <w:color w:val="auto"/>
              </w:rPr>
            </w:pPr>
          </w:p>
        </w:tc>
        <w:tc>
          <w:tcPr>
            <w:tcW w:w="5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4640" w:type="dxa"/>
            <w:vAlign w:val="bottom"/>
            <w:gridSpan w:val="25"/>
          </w:tcPr>
          <w:p>
            <w:pPr>
              <w:spacing w:after="0"/>
              <w:rPr>
                <w:rFonts w:ascii="Arial" w:cs="Arial" w:eastAsia="Arial" w:hAnsi="Arial"/>
                <w:sz w:val="18"/>
                <w:szCs w:val="18"/>
                <w:color w:val="0000EE"/>
              </w:rPr>
            </w:pPr>
            <w:hyperlink r:id="rId106">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8"/>
              </w:rPr>
              <w:t>10.22</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August 9, 2016</w:t>
            </w:r>
          </w:p>
        </w:tc>
      </w:tr>
      <w:tr>
        <w:trPr>
          <w:trHeight w:val="196"/>
        </w:trPr>
        <w:tc>
          <w:tcPr>
            <w:tcW w:w="680" w:type="dxa"/>
            <w:vAlign w:val="bottom"/>
          </w:tcPr>
          <w:p>
            <w:pPr>
              <w:spacing w:after="0"/>
              <w:rPr>
                <w:sz w:val="17"/>
                <w:szCs w:val="17"/>
                <w:color w:val="auto"/>
              </w:rPr>
            </w:pPr>
          </w:p>
        </w:tc>
        <w:tc>
          <w:tcPr>
            <w:tcW w:w="40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Applied Optoelectronics, Inc. and Dr. Fred Chang</w:t>
              </w:r>
            </w:hyperlink>
          </w:p>
        </w:tc>
        <w:tc>
          <w:tcPr>
            <w:tcW w:w="5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4640" w:type="dxa"/>
            <w:vAlign w:val="bottom"/>
            <w:gridSpan w:val="25"/>
          </w:tcPr>
          <w:p>
            <w:pPr>
              <w:spacing w:after="0"/>
              <w:rPr>
                <w:rFonts w:ascii="Arial" w:cs="Arial" w:eastAsia="Arial" w:hAnsi="Arial"/>
                <w:sz w:val="18"/>
                <w:szCs w:val="18"/>
                <w:color w:val="0000EE"/>
              </w:rPr>
            </w:pPr>
            <w:hyperlink r:id="rId107">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10.9</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89"/>
              </w:rPr>
              <w:t>February 28, 2018</w:t>
            </w:r>
          </w:p>
        </w:tc>
      </w:tr>
      <w:tr>
        <w:trPr>
          <w:trHeight w:val="196"/>
        </w:trPr>
        <w:tc>
          <w:tcPr>
            <w:tcW w:w="6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Applied Optoelectronics, Inc. and David C. Kuo</w:t>
              </w:r>
            </w:hyperlink>
          </w:p>
        </w:tc>
        <w:tc>
          <w:tcPr>
            <w:tcW w:w="600" w:type="dxa"/>
            <w:vAlign w:val="bottom"/>
            <w:tcBorders>
              <w:top w:val="single" w:sz="8" w:color="0000EE"/>
            </w:tcBorders>
            <w:gridSpan w:val="8"/>
          </w:tcPr>
          <w:p>
            <w:pPr>
              <w:spacing w:after="0"/>
              <w:rPr>
                <w:sz w:val="17"/>
                <w:szCs w:val="17"/>
                <w:color w:val="auto"/>
              </w:rPr>
            </w:pPr>
          </w:p>
        </w:tc>
        <w:tc>
          <w:tcPr>
            <w:tcW w:w="5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53"/>
        </w:trPr>
        <w:tc>
          <w:tcPr>
            <w:tcW w:w="680" w:type="dxa"/>
            <w:vAlign w:val="bottom"/>
          </w:tcPr>
          <w:p>
            <w:pPr>
              <w:spacing w:after="0"/>
              <w:rPr>
                <w:sz w:val="24"/>
                <w:szCs w:val="24"/>
                <w:color w:val="auto"/>
              </w:rPr>
            </w:pPr>
          </w:p>
        </w:tc>
        <w:tc>
          <w:tcPr>
            <w:tcW w:w="4640" w:type="dxa"/>
            <w:vAlign w:val="bottom"/>
            <w:gridSpan w:val="25"/>
          </w:tcPr>
          <w:p>
            <w:pPr>
              <w:ind w:left="4280"/>
              <w:spacing w:after="0"/>
              <w:rPr>
                <w:sz w:val="20"/>
                <w:szCs w:val="20"/>
                <w:color w:val="auto"/>
              </w:rPr>
            </w:pPr>
            <w:r>
              <w:rPr>
                <w:rFonts w:ascii="Arial" w:cs="Arial" w:eastAsia="Arial" w:hAnsi="Arial"/>
                <w:sz w:val="18"/>
                <w:szCs w:val="18"/>
                <w:color w:val="auto"/>
              </w:rPr>
              <w:t>65</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Incorporated By Reference</w:t>
            </w:r>
          </w:p>
        </w:tc>
        <w:tc>
          <w:tcPr>
            <w:tcW w:w="1240" w:type="dxa"/>
            <w:vAlign w:val="bottom"/>
          </w:tcPr>
          <w:p>
            <w:pPr>
              <w:spacing w:after="0"/>
              <w:rPr>
                <w:sz w:val="18"/>
                <w:szCs w:val="18"/>
                <w:color w:val="auto"/>
              </w:rPr>
            </w:pPr>
          </w:p>
        </w:tc>
      </w:tr>
      <w:tr>
        <w:trPr>
          <w:trHeight w:val="220"/>
        </w:trPr>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Number</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0" w:type="dxa"/>
            <w:vAlign w:val="bottom"/>
            <w:gridSpan w:val="8"/>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960" w:type="dxa"/>
            <w:vAlign w:val="bottom"/>
          </w:tcPr>
          <w:p>
            <w:pPr>
              <w:ind w:left="220"/>
              <w:spacing w:after="0"/>
              <w:rPr>
                <w:sz w:val="20"/>
                <w:szCs w:val="20"/>
                <w:color w:val="auto"/>
              </w:rPr>
            </w:pPr>
            <w:r>
              <w:rPr>
                <w:rFonts w:ascii="Arial" w:cs="Arial" w:eastAsia="Arial" w:hAnsi="Arial"/>
                <w:sz w:val="18"/>
                <w:szCs w:val="18"/>
                <w:b w:val="1"/>
                <w:bCs w:val="1"/>
                <w:color w:val="auto"/>
              </w:rPr>
              <w:t>Form</w:t>
            </w:r>
          </w:p>
        </w:tc>
        <w:tc>
          <w:tcPr>
            <w:tcW w:w="1360" w:type="dxa"/>
            <w:vAlign w:val="bottom"/>
          </w:tcPr>
          <w:p>
            <w:pPr>
              <w:ind w:left="360"/>
              <w:spacing w:after="0"/>
              <w:rPr>
                <w:sz w:val="20"/>
                <w:szCs w:val="20"/>
                <w:color w:val="auto"/>
              </w:rPr>
            </w:pPr>
            <w:r>
              <w:rPr>
                <w:rFonts w:ascii="Arial" w:cs="Arial" w:eastAsia="Arial" w:hAnsi="Arial"/>
                <w:sz w:val="18"/>
                <w:szCs w:val="18"/>
                <w:b w:val="1"/>
                <w:bCs w:val="1"/>
                <w:color w:val="auto"/>
              </w:rPr>
              <w:t>File No.</w:t>
            </w: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Exhibit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112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10.10</w:t>
            </w:r>
          </w:p>
        </w:tc>
        <w:tc>
          <w:tcPr>
            <w:tcW w:w="394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Loan Agreement, dated September 28, 2017, between</w:t>
              </w:r>
            </w:hyperlink>
          </w:p>
        </w:tc>
        <w:tc>
          <w:tcPr>
            <w:tcW w:w="680" w:type="dxa"/>
            <w:vAlign w:val="bottom"/>
            <w:gridSpan w:val="6"/>
          </w:tcPr>
          <w:p>
            <w:pPr>
              <w:spacing w:after="0"/>
              <w:rPr>
                <w:sz w:val="16"/>
                <w:szCs w:val="16"/>
                <w:color w:val="auto"/>
              </w:rPr>
            </w:pPr>
          </w:p>
        </w:tc>
        <w:tc>
          <w:tcPr>
            <w:tcW w:w="960" w:type="dxa"/>
            <w:vAlign w:val="bottom"/>
          </w:tcPr>
          <w:p>
            <w:pPr>
              <w:ind w:left="320"/>
              <w:spacing w:after="0" w:line="190" w:lineRule="exact"/>
              <w:rPr>
                <w:sz w:val="20"/>
                <w:szCs w:val="20"/>
                <w:color w:val="auto"/>
              </w:rPr>
            </w:pPr>
            <w:r>
              <w:rPr>
                <w:rFonts w:ascii="Arial" w:cs="Arial" w:eastAsia="Arial" w:hAnsi="Arial"/>
                <w:sz w:val="18"/>
                <w:szCs w:val="18"/>
                <w:color w:val="auto"/>
              </w:rPr>
              <w:t>8-K</w:t>
            </w:r>
          </w:p>
        </w:tc>
        <w:tc>
          <w:tcPr>
            <w:tcW w:w="1360" w:type="dxa"/>
            <w:vAlign w:val="bottom"/>
          </w:tcPr>
          <w:p>
            <w:pPr>
              <w:ind w:left="300"/>
              <w:spacing w:after="0" w:line="190" w:lineRule="exact"/>
              <w:rPr>
                <w:sz w:val="20"/>
                <w:szCs w:val="20"/>
                <w:color w:val="auto"/>
              </w:rPr>
            </w:pPr>
            <w:r>
              <w:rPr>
                <w:rFonts w:ascii="Arial" w:cs="Arial" w:eastAsia="Arial" w:hAnsi="Arial"/>
                <w:sz w:val="18"/>
                <w:szCs w:val="18"/>
                <w:color w:val="auto"/>
              </w:rPr>
              <w:t>001-36083</w:t>
            </w:r>
          </w:p>
        </w:tc>
        <w:tc>
          <w:tcPr>
            <w:tcW w:w="1520" w:type="dxa"/>
            <w:vAlign w:val="bottom"/>
          </w:tcPr>
          <w:p>
            <w:pPr>
              <w:jc w:val="right"/>
              <w:ind w:right="710"/>
              <w:spacing w:after="0" w:line="190" w:lineRule="exact"/>
              <w:rPr>
                <w:sz w:val="20"/>
                <w:szCs w:val="20"/>
                <w:color w:val="auto"/>
              </w:rPr>
            </w:pPr>
            <w:r>
              <w:rPr>
                <w:rFonts w:ascii="Arial" w:cs="Arial" w:eastAsia="Arial" w:hAnsi="Arial"/>
                <w:sz w:val="18"/>
                <w:szCs w:val="18"/>
                <w:color w:val="auto"/>
              </w:rPr>
              <w:t>10.1</w:t>
            </w:r>
          </w:p>
        </w:tc>
        <w:tc>
          <w:tcPr>
            <w:tcW w:w="1240" w:type="dxa"/>
            <w:vAlign w:val="bottom"/>
          </w:tcPr>
          <w:p>
            <w:pPr>
              <w:jc w:val="center"/>
              <w:spacing w:after="0" w:line="190" w:lineRule="exact"/>
              <w:rPr>
                <w:sz w:val="20"/>
                <w:szCs w:val="20"/>
                <w:color w:val="auto"/>
              </w:rPr>
            </w:pPr>
            <w:r>
              <w:rPr>
                <w:rFonts w:ascii="Arial" w:cs="Arial" w:eastAsia="Arial" w:hAnsi="Arial"/>
                <w:sz w:val="18"/>
                <w:szCs w:val="18"/>
                <w:color w:val="auto"/>
                <w:w w:val="89"/>
              </w:rPr>
              <w:t>October 4, 2017</w:t>
            </w:r>
          </w:p>
        </w:tc>
      </w:tr>
      <w:tr>
        <w:trPr>
          <w:trHeight w:val="196"/>
        </w:trPr>
        <w:tc>
          <w:tcPr>
            <w:tcW w:w="1120" w:type="dxa"/>
            <w:vAlign w:val="bottom"/>
          </w:tcPr>
          <w:p>
            <w:pPr>
              <w:spacing w:after="0"/>
              <w:rPr>
                <w:sz w:val="17"/>
                <w:szCs w:val="17"/>
                <w:color w:val="auto"/>
              </w:rPr>
            </w:pPr>
          </w:p>
        </w:tc>
        <w:tc>
          <w:tcPr>
            <w:tcW w:w="4620" w:type="dxa"/>
            <w:vAlign w:val="bottom"/>
            <w:gridSpan w:val="11"/>
          </w:tcPr>
          <w:p>
            <w:pPr>
              <w:spacing w:after="0" w:line="196" w:lineRule="exact"/>
              <w:rPr>
                <w:rFonts w:ascii="Arial" w:cs="Arial" w:eastAsia="Arial" w:hAnsi="Arial"/>
                <w:sz w:val="18"/>
                <w:szCs w:val="18"/>
                <w:color w:val="0000EE"/>
                <w:w w:val="96"/>
              </w:rPr>
            </w:pPr>
            <w:hyperlink r:id="rId109">
              <w:r>
                <w:rPr>
                  <w:rFonts w:ascii="Arial" w:cs="Arial" w:eastAsia="Arial" w:hAnsi="Arial"/>
                  <w:sz w:val="18"/>
                  <w:szCs w:val="18"/>
                  <w:color w:val="0000EE"/>
                  <w:w w:val="96"/>
                </w:rPr>
                <w:t>Applied Optoelectronics, Inc. and Branch Banking and Trust</w:t>
              </w:r>
            </w:hyperlink>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Company</w:t>
              </w:r>
            </w:hyperlink>
          </w:p>
        </w:tc>
        <w:tc>
          <w:tcPr>
            <w:tcW w:w="3640" w:type="dxa"/>
            <w:vAlign w:val="bottom"/>
            <w:tcBorders>
              <w:top w:val="single" w:sz="8" w:color="0000EE"/>
            </w:tcBorders>
            <w:gridSpan w:val="8"/>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10.10.1</w:t>
            </w:r>
          </w:p>
        </w:tc>
        <w:tc>
          <w:tcPr>
            <w:tcW w:w="3940" w:type="dxa"/>
            <w:vAlign w:val="bottom"/>
            <w:tcBorders>
              <w:bottom w:val="single" w:sz="8" w:color="0000EE"/>
            </w:tcBorders>
            <w:gridSpan w:val="5"/>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Promissory Note, dated September 28, 2017, between</w:t>
              </w:r>
            </w:hyperlink>
          </w:p>
        </w:tc>
        <w:tc>
          <w:tcPr>
            <w:tcW w:w="680" w:type="dxa"/>
            <w:vAlign w:val="bottom"/>
            <w:gridSpan w:val="6"/>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8-K</w:t>
            </w:r>
          </w:p>
        </w:tc>
        <w:tc>
          <w:tcPr>
            <w:tcW w:w="1360" w:type="dxa"/>
            <w:vAlign w:val="bottom"/>
          </w:tcPr>
          <w:p>
            <w:pPr>
              <w:ind w:left="320"/>
              <w:spacing w:after="0"/>
              <w:rPr>
                <w:sz w:val="20"/>
                <w:szCs w:val="20"/>
                <w:color w:val="auto"/>
              </w:rPr>
            </w:pPr>
            <w:r>
              <w:rPr>
                <w:rFonts w:ascii="Arial" w:cs="Arial" w:eastAsia="Arial" w:hAnsi="Arial"/>
                <w:sz w:val="18"/>
                <w:szCs w:val="18"/>
                <w:color w:val="auto"/>
              </w:rPr>
              <w:t>001-36-83</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10.2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October 4, 2017</w:t>
            </w:r>
          </w:p>
        </w:tc>
      </w:tr>
      <w:tr>
        <w:trPr>
          <w:trHeight w:val="196"/>
        </w:trPr>
        <w:tc>
          <w:tcPr>
            <w:tcW w:w="1120" w:type="dxa"/>
            <w:vAlign w:val="bottom"/>
          </w:tcPr>
          <w:p>
            <w:pPr>
              <w:spacing w:after="0"/>
              <w:rPr>
                <w:sz w:val="17"/>
                <w:szCs w:val="17"/>
                <w:color w:val="auto"/>
              </w:rPr>
            </w:pPr>
          </w:p>
        </w:tc>
        <w:tc>
          <w:tcPr>
            <w:tcW w:w="4620" w:type="dxa"/>
            <w:vAlign w:val="bottom"/>
            <w:gridSpan w:val="11"/>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Applied Optoelectronics, Inc. and Branch Banking and Trust</w:t>
              </w:r>
            </w:hyperlink>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Company</w:t>
              </w:r>
            </w:hyperlink>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10.10.2</w:t>
            </w:r>
          </w:p>
        </w:tc>
        <w:tc>
          <w:tcPr>
            <w:tcW w:w="4080" w:type="dxa"/>
            <w:vAlign w:val="bottom"/>
            <w:tcBorders>
              <w:bottom w:val="single" w:sz="8" w:color="0000EE"/>
            </w:tcBorders>
            <w:gridSpan w:val="6"/>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Addendum to the Promissory Note, dated September 28,</w:t>
              </w:r>
            </w:hyperlink>
          </w:p>
        </w:tc>
        <w:tc>
          <w:tcPr>
            <w:tcW w:w="540" w:type="dxa"/>
            <w:vAlign w:val="bottom"/>
            <w:gridSpan w:val="5"/>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8-K</w:t>
            </w:r>
          </w:p>
        </w:tc>
        <w:tc>
          <w:tcPr>
            <w:tcW w:w="1360" w:type="dxa"/>
            <w:vAlign w:val="bottom"/>
          </w:tcPr>
          <w:p>
            <w:pPr>
              <w:ind w:left="320"/>
              <w:spacing w:after="0"/>
              <w:rPr>
                <w:sz w:val="20"/>
                <w:szCs w:val="20"/>
                <w:color w:val="auto"/>
              </w:rPr>
            </w:pPr>
            <w:r>
              <w:rPr>
                <w:rFonts w:ascii="Arial" w:cs="Arial" w:eastAsia="Arial" w:hAnsi="Arial"/>
                <w:sz w:val="18"/>
                <w:szCs w:val="18"/>
                <w:color w:val="auto"/>
              </w:rPr>
              <w:t>001-36-83</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10.3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October 4, 2017</w:t>
            </w:r>
          </w:p>
        </w:tc>
      </w:tr>
      <w:tr>
        <w:trPr>
          <w:trHeight w:val="196"/>
        </w:trPr>
        <w:tc>
          <w:tcPr>
            <w:tcW w:w="1120" w:type="dxa"/>
            <w:vAlign w:val="bottom"/>
          </w:tcPr>
          <w:p>
            <w:pPr>
              <w:spacing w:after="0"/>
              <w:rPr>
                <w:sz w:val="17"/>
                <w:szCs w:val="17"/>
                <w:color w:val="auto"/>
              </w:rPr>
            </w:pPr>
          </w:p>
        </w:tc>
        <w:tc>
          <w:tcPr>
            <w:tcW w:w="4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2017, between Applied Optoelectronics, Inc. and Branch</w:t>
              </w:r>
            </w:hyperlink>
          </w:p>
        </w:tc>
        <w:tc>
          <w:tcPr>
            <w:tcW w:w="52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20" w:type="dxa"/>
            <w:vAlign w:val="bottom"/>
            <w:gridSpan w:val="1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Banking and Trust Company</w:t>
              </w:r>
            </w:hyperlink>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10.10.3</w:t>
            </w:r>
          </w:p>
        </w:tc>
        <w:tc>
          <w:tcPr>
            <w:tcW w:w="4620" w:type="dxa"/>
            <w:vAlign w:val="bottom"/>
            <w:gridSpan w:val="11"/>
          </w:tcPr>
          <w:p>
            <w:pPr>
              <w:spacing w:after="0"/>
              <w:rPr>
                <w:rFonts w:ascii="Arial" w:cs="Arial" w:eastAsia="Arial" w:hAnsi="Arial"/>
                <w:sz w:val="18"/>
                <w:szCs w:val="18"/>
                <w:color w:val="0000EE"/>
              </w:rPr>
            </w:pPr>
            <w:hyperlink r:id="rId112">
              <w:r>
                <w:rPr>
                  <w:rFonts w:ascii="Arial" w:cs="Arial" w:eastAsia="Arial" w:hAnsi="Arial"/>
                  <w:sz w:val="18"/>
                  <w:szCs w:val="18"/>
                  <w:color w:val="0000EE"/>
                </w:rPr>
                <w:t>BB&amp;T Security Agreement, dated September 28, 2017,</w:t>
              </w:r>
            </w:hyperlink>
          </w:p>
        </w:tc>
        <w:tc>
          <w:tcPr>
            <w:tcW w:w="960" w:type="dxa"/>
            <w:vAlign w:val="bottom"/>
          </w:tcPr>
          <w:p>
            <w:pPr>
              <w:ind w:left="320"/>
              <w:spacing w:after="0"/>
              <w:rPr>
                <w:sz w:val="20"/>
                <w:szCs w:val="20"/>
                <w:color w:val="auto"/>
              </w:rPr>
            </w:pPr>
            <w:r>
              <w:rPr>
                <w:rFonts w:ascii="Arial" w:cs="Arial" w:eastAsia="Arial" w:hAnsi="Arial"/>
                <w:sz w:val="18"/>
                <w:szCs w:val="18"/>
                <w:color w:val="auto"/>
              </w:rPr>
              <w:t>8-K</w:t>
            </w:r>
          </w:p>
        </w:tc>
        <w:tc>
          <w:tcPr>
            <w:tcW w:w="1360" w:type="dxa"/>
            <w:vAlign w:val="bottom"/>
          </w:tcPr>
          <w:p>
            <w:pPr>
              <w:ind w:left="320"/>
              <w:spacing w:after="0"/>
              <w:rPr>
                <w:sz w:val="20"/>
                <w:szCs w:val="20"/>
                <w:color w:val="auto"/>
              </w:rPr>
            </w:pPr>
            <w:r>
              <w:rPr>
                <w:rFonts w:ascii="Arial" w:cs="Arial" w:eastAsia="Arial" w:hAnsi="Arial"/>
                <w:sz w:val="18"/>
                <w:szCs w:val="18"/>
                <w:color w:val="auto"/>
              </w:rPr>
              <w:t>001-36083</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10.4</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October 4, 2017</w:t>
            </w: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5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between Applied Optoelectronics, Inc. and Branch Banking</w:t>
              </w:r>
            </w:hyperlink>
          </w:p>
        </w:tc>
        <w:tc>
          <w:tcPr>
            <w:tcW w:w="3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and Trust Company</w:t>
              </w:r>
            </w:hyperlink>
          </w:p>
        </w:tc>
        <w:tc>
          <w:tcPr>
            <w:tcW w:w="320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10.10.4</w:t>
            </w:r>
          </w:p>
        </w:tc>
        <w:tc>
          <w:tcPr>
            <w:tcW w:w="4280" w:type="dxa"/>
            <w:vAlign w:val="bottom"/>
            <w:tcBorders>
              <w:bottom w:val="single" w:sz="8" w:color="0000EE"/>
            </w:tcBorders>
            <w:gridSpan w:val="8"/>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Trademark Security Agreement, dated September 28, 2017,</w:t>
              </w:r>
            </w:hyperlink>
          </w:p>
        </w:tc>
        <w:tc>
          <w:tcPr>
            <w:tcW w:w="340" w:type="dxa"/>
            <w:vAlign w:val="bottom"/>
            <w:gridSpan w:val="3"/>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8-K</w:t>
            </w:r>
          </w:p>
        </w:tc>
        <w:tc>
          <w:tcPr>
            <w:tcW w:w="1360" w:type="dxa"/>
            <w:vAlign w:val="bottom"/>
          </w:tcPr>
          <w:p>
            <w:pPr>
              <w:ind w:left="320"/>
              <w:spacing w:after="0"/>
              <w:rPr>
                <w:sz w:val="20"/>
                <w:szCs w:val="20"/>
                <w:color w:val="auto"/>
              </w:rPr>
            </w:pPr>
            <w:r>
              <w:rPr>
                <w:rFonts w:ascii="Arial" w:cs="Arial" w:eastAsia="Arial" w:hAnsi="Arial"/>
                <w:sz w:val="18"/>
                <w:szCs w:val="18"/>
                <w:color w:val="auto"/>
              </w:rPr>
              <w:t>001-36083</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10.5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October 4, 2017</w:t>
            </w:r>
          </w:p>
        </w:tc>
      </w:tr>
      <w:tr>
        <w:trPr>
          <w:trHeight w:val="196"/>
        </w:trPr>
        <w:tc>
          <w:tcPr>
            <w:tcW w:w="1120" w:type="dxa"/>
            <w:vAlign w:val="bottom"/>
          </w:tcPr>
          <w:p>
            <w:pPr>
              <w:spacing w:after="0"/>
              <w:rPr>
                <w:sz w:val="17"/>
                <w:szCs w:val="17"/>
                <w:color w:val="auto"/>
              </w:rPr>
            </w:pPr>
          </w:p>
        </w:tc>
        <w:tc>
          <w:tcPr>
            <w:tcW w:w="4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between Applied Optoelectronics, Inc. and Branch Banking</w:t>
              </w:r>
            </w:hyperlink>
          </w:p>
        </w:tc>
        <w:tc>
          <w:tcPr>
            <w:tcW w:w="3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and Trust Company</w:t>
              </w:r>
            </w:hyperlink>
          </w:p>
        </w:tc>
        <w:tc>
          <w:tcPr>
            <w:tcW w:w="320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10.10.5</w:t>
            </w:r>
          </w:p>
        </w:tc>
        <w:tc>
          <w:tcPr>
            <w:tcW w:w="4620" w:type="dxa"/>
            <w:vAlign w:val="bottom"/>
            <w:gridSpan w:val="11"/>
          </w:tcPr>
          <w:p>
            <w:pPr>
              <w:spacing w:after="0"/>
              <w:rPr>
                <w:rFonts w:ascii="Arial" w:cs="Arial" w:eastAsia="Arial" w:hAnsi="Arial"/>
                <w:sz w:val="18"/>
                <w:szCs w:val="18"/>
                <w:color w:val="0000EE"/>
              </w:rPr>
            </w:pPr>
            <w:hyperlink r:id="rId114">
              <w:r>
                <w:rPr>
                  <w:rFonts w:ascii="Arial" w:cs="Arial" w:eastAsia="Arial" w:hAnsi="Arial"/>
                  <w:sz w:val="18"/>
                  <w:szCs w:val="18"/>
                  <w:color w:val="0000EE"/>
                </w:rPr>
                <w:t>Patent Security Agreement, dated September 28, 2017,</w:t>
              </w:r>
            </w:hyperlink>
          </w:p>
        </w:tc>
        <w:tc>
          <w:tcPr>
            <w:tcW w:w="960" w:type="dxa"/>
            <w:vAlign w:val="bottom"/>
          </w:tcPr>
          <w:p>
            <w:pPr>
              <w:ind w:left="320"/>
              <w:spacing w:after="0"/>
              <w:rPr>
                <w:sz w:val="20"/>
                <w:szCs w:val="20"/>
                <w:color w:val="auto"/>
              </w:rPr>
            </w:pPr>
            <w:r>
              <w:rPr>
                <w:rFonts w:ascii="Arial" w:cs="Arial" w:eastAsia="Arial" w:hAnsi="Arial"/>
                <w:sz w:val="18"/>
                <w:szCs w:val="18"/>
                <w:color w:val="auto"/>
              </w:rPr>
              <w:t>8-K</w:t>
            </w:r>
          </w:p>
        </w:tc>
        <w:tc>
          <w:tcPr>
            <w:tcW w:w="1360" w:type="dxa"/>
            <w:vAlign w:val="bottom"/>
          </w:tcPr>
          <w:p>
            <w:pPr>
              <w:ind w:left="320"/>
              <w:spacing w:after="0"/>
              <w:rPr>
                <w:sz w:val="20"/>
                <w:szCs w:val="20"/>
                <w:color w:val="auto"/>
              </w:rPr>
            </w:pPr>
            <w:r>
              <w:rPr>
                <w:rFonts w:ascii="Arial" w:cs="Arial" w:eastAsia="Arial" w:hAnsi="Arial"/>
                <w:sz w:val="18"/>
                <w:szCs w:val="18"/>
                <w:color w:val="auto"/>
              </w:rPr>
              <w:t>001-36083</w:t>
            </w: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10.6</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October 4, 2017</w:t>
            </w: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ectPr>
          <w:pgSz w:w="11900" w:h="16838" w:orient="portrait"/>
          <w:cols w:equalWidth="0" w:num="1">
            <w:col w:w="11120"/>
          </w:cols>
          <w:pgMar w:left="240" w:top="108" w:right="539" w:bottom="0" w:gutter="0" w:footer="0" w:header="0"/>
        </w:sectPr>
      </w:pPr>
    </w:p>
    <w:bookmarkStart w:id="45" w:name="page46"/>
    <w:bookmarkEnd w:id="45"/>
    <w:p>
      <w:pPr>
        <w:ind w:left="1340"/>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between Applied Optoelectronics, Inc. and Branch Banking</w:t>
        </w:r>
      </w:hyperlink>
    </w:p>
    <w:p>
      <w:pPr>
        <w:spacing w:after="0" w:line="23" w:lineRule="exact"/>
        <w:rPr>
          <w:sz w:val="20"/>
          <w:szCs w:val="20"/>
          <w:color w:val="auto"/>
        </w:rPr>
      </w:pPr>
    </w:p>
    <w:p>
      <w:pPr>
        <w:ind w:left="1340"/>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and Trust Company</w:t>
        </w:r>
      </w:hyperlink>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10.11</w:t>
            </w:r>
          </w:p>
        </w:tc>
        <w:tc>
          <w:tcPr>
            <w:tcW w:w="4680" w:type="dxa"/>
            <w:vAlign w:val="bottom"/>
            <w:gridSpan w:val="19"/>
          </w:tcPr>
          <w:p>
            <w:pPr>
              <w:spacing w:after="0"/>
              <w:rPr>
                <w:rFonts w:ascii="Arial" w:cs="Arial" w:eastAsia="Arial" w:hAnsi="Arial"/>
                <w:sz w:val="18"/>
                <w:szCs w:val="18"/>
                <w:color w:val="0000EE"/>
              </w:rPr>
            </w:pPr>
            <w:hyperlink r:id="rId115">
              <w:r>
                <w:rPr>
                  <w:rFonts w:ascii="Arial" w:cs="Arial" w:eastAsia="Arial" w:hAnsi="Arial"/>
                  <w:sz w:val="18"/>
                  <w:szCs w:val="18"/>
                  <w:color w:val="0000EE"/>
                </w:rPr>
                <w:t>Supply Agreement, effective November 8, 2017, between</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89"/>
              </w:rPr>
              <w:t>February 24, 2018</w:t>
            </w:r>
          </w:p>
        </w:tc>
      </w:tr>
      <w:tr>
        <w:trPr>
          <w:trHeight w:val="196"/>
        </w:trPr>
        <w:tc>
          <w:tcPr>
            <w:tcW w:w="78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Applied Optoelectronics, Inc. and Facebook, Inc.</w:t>
              </w:r>
            </w:hyperlink>
          </w:p>
        </w:tc>
        <w:tc>
          <w:tcPr>
            <w:tcW w:w="600" w:type="dxa"/>
            <w:vAlign w:val="bottom"/>
            <w:tcBorders>
              <w:top w:val="single" w:sz="8" w:color="0000EE"/>
            </w:tcBorders>
            <w:gridSpan w:val="5"/>
          </w:tcPr>
          <w:p>
            <w:pPr>
              <w:spacing w:after="0"/>
              <w:rPr>
                <w:sz w:val="17"/>
                <w:szCs w:val="17"/>
                <w:color w:val="auto"/>
              </w:rPr>
            </w:pPr>
          </w:p>
        </w:tc>
        <w:tc>
          <w:tcPr>
            <w:tcW w:w="5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10.12</w:t>
            </w:r>
          </w:p>
        </w:tc>
        <w:tc>
          <w:tcPr>
            <w:tcW w:w="4000" w:type="dxa"/>
            <w:vAlign w:val="bottom"/>
            <w:tcBorders>
              <w:bottom w:val="single" w:sz="8" w:color="0000EE"/>
            </w:tcBorders>
            <w:gridSpan w:val="10"/>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Master Purchase Agreement, effective January 2, 2018,</w:t>
              </w:r>
            </w:hyperlink>
          </w:p>
        </w:tc>
        <w:tc>
          <w:tcPr>
            <w:tcW w:w="680" w:type="dxa"/>
            <w:vAlign w:val="bottom"/>
            <w:gridSpan w:val="9"/>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89"/>
              </w:rPr>
              <w:t>February 21, 2018</w:t>
            </w:r>
          </w:p>
        </w:tc>
      </w:tr>
      <w:tr>
        <w:trPr>
          <w:trHeight w:val="196"/>
        </w:trPr>
        <w:tc>
          <w:tcPr>
            <w:tcW w:w="78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between Applied Optoelectronics, Inc. and Facebook, Inc.</w:t>
              </w:r>
            </w:hyperlink>
          </w:p>
        </w:tc>
        <w:tc>
          <w:tcPr>
            <w:tcW w:w="5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10.13</w:t>
            </w:r>
          </w:p>
        </w:tc>
        <w:tc>
          <w:tcPr>
            <w:tcW w:w="4420" w:type="dxa"/>
            <w:vAlign w:val="bottom"/>
            <w:tcBorders>
              <w:bottom w:val="single" w:sz="8" w:color="0000EE"/>
            </w:tcBorders>
            <w:gridSpan w:val="18"/>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Translation of Lease Agreement between Global Technology,</w:t>
              </w:r>
            </w:hyperlink>
          </w:p>
        </w:tc>
        <w:tc>
          <w:tcPr>
            <w:tcW w:w="260" w:type="dxa"/>
            <w:vAlign w:val="bottom"/>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89"/>
              </w:rPr>
              <w:t>February 28, 2018</w:t>
            </w:r>
          </w:p>
        </w:tc>
      </w:tr>
      <w:tr>
        <w:trPr>
          <w:trHeight w:val="196"/>
        </w:trPr>
        <w:tc>
          <w:tcPr>
            <w:tcW w:w="780" w:type="dxa"/>
            <w:vAlign w:val="bottom"/>
          </w:tcPr>
          <w:p>
            <w:pPr>
              <w:spacing w:after="0"/>
              <w:rPr>
                <w:sz w:val="17"/>
                <w:szCs w:val="17"/>
                <w:color w:val="auto"/>
              </w:rPr>
            </w:pPr>
          </w:p>
        </w:tc>
        <w:tc>
          <w:tcPr>
            <w:tcW w:w="4680" w:type="dxa"/>
            <w:vAlign w:val="bottom"/>
            <w:gridSpan w:val="1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Inc. and the People’s Republic of China in Zhejiang</w:t>
              </w:r>
            </w:hyperlink>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Province, Ningbo City, Land Resources Bureau</w:t>
              </w:r>
            </w:hyperlink>
          </w:p>
        </w:tc>
        <w:tc>
          <w:tcPr>
            <w:tcW w:w="300" w:type="dxa"/>
            <w:vAlign w:val="bottom"/>
            <w:tcBorders>
              <w:top w:val="single" w:sz="8" w:color="0000EE"/>
            </w:tcBorders>
            <w:gridSpan w:val="2"/>
          </w:tcPr>
          <w:p>
            <w:pPr>
              <w:spacing w:after="0"/>
              <w:rPr>
                <w:sz w:val="17"/>
                <w:szCs w:val="17"/>
                <w:color w:val="auto"/>
              </w:rPr>
            </w:pPr>
          </w:p>
        </w:tc>
        <w:tc>
          <w:tcPr>
            <w:tcW w:w="9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10.13.1</w:t>
            </w:r>
          </w:p>
        </w:tc>
        <w:tc>
          <w:tcPr>
            <w:tcW w:w="4680" w:type="dxa"/>
            <w:vAlign w:val="bottom"/>
            <w:gridSpan w:val="19"/>
          </w:tcPr>
          <w:p>
            <w:pPr>
              <w:spacing w:after="0"/>
              <w:rPr>
                <w:rFonts w:ascii="Arial" w:cs="Arial" w:eastAsia="Arial" w:hAnsi="Arial"/>
                <w:sz w:val="18"/>
                <w:szCs w:val="18"/>
                <w:color w:val="0000EE"/>
              </w:rPr>
            </w:pPr>
            <w:hyperlink r:id="rId118">
              <w:r>
                <w:rPr>
                  <w:rFonts w:ascii="Arial" w:cs="Arial" w:eastAsia="Arial" w:hAnsi="Arial"/>
                  <w:sz w:val="18"/>
                  <w:szCs w:val="18"/>
                  <w:color w:val="0000EE"/>
                </w:rPr>
                <w:t>Translation of Investment and Construction Agreement</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10.30.1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89"/>
              </w:rPr>
              <w:t>February 28, 2018</w:t>
            </w:r>
          </w:p>
        </w:tc>
      </w:tr>
      <w:tr>
        <w:trPr>
          <w:trHeight w:val="20"/>
        </w:trPr>
        <w:tc>
          <w:tcPr>
            <w:tcW w:w="7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between Global Technology, Inc. and the People’s Republic</w:t>
              </w:r>
            </w:hyperlink>
          </w:p>
        </w:tc>
        <w:tc>
          <w:tcPr>
            <w:tcW w:w="3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680" w:type="dxa"/>
            <w:vAlign w:val="bottom"/>
            <w:gridSpan w:val="19"/>
          </w:tcPr>
          <w:p>
            <w:pPr>
              <w:spacing w:after="0" w:line="196" w:lineRule="exact"/>
              <w:rPr>
                <w:rFonts w:ascii="Arial" w:cs="Arial" w:eastAsia="Arial" w:hAnsi="Arial"/>
                <w:sz w:val="18"/>
                <w:szCs w:val="18"/>
                <w:color w:val="0000EE"/>
                <w:w w:val="97"/>
              </w:rPr>
            </w:pPr>
            <w:hyperlink r:id="rId118">
              <w:r>
                <w:rPr>
                  <w:rFonts w:ascii="Arial" w:cs="Arial" w:eastAsia="Arial" w:hAnsi="Arial"/>
                  <w:sz w:val="18"/>
                  <w:szCs w:val="18"/>
                  <w:color w:val="0000EE"/>
                  <w:w w:val="97"/>
                </w:rPr>
                <w:t>of China in Zhejiang Province, Ningbo City, Land Resources</w:t>
              </w:r>
            </w:hyperlink>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8">
              <w:r>
                <w:rPr>
                  <w:rFonts w:ascii="Arial" w:cs="Arial" w:eastAsia="Arial" w:hAnsi="Arial"/>
                  <w:sz w:val="18"/>
                  <w:szCs w:val="18"/>
                  <w:color w:val="0000EE"/>
                  <w:w w:val="86"/>
                </w:rPr>
                <w:t>Bureau</w:t>
              </w:r>
            </w:hyperlink>
          </w:p>
        </w:tc>
        <w:tc>
          <w:tcPr>
            <w:tcW w:w="3860" w:type="dxa"/>
            <w:vAlign w:val="bottom"/>
            <w:tcBorders>
              <w:top w:val="single" w:sz="8" w:color="0000EE"/>
            </w:tcBorders>
            <w:gridSpan w:val="16"/>
          </w:tcPr>
          <w:p>
            <w:pPr>
              <w:spacing w:after="0"/>
              <w:rPr>
                <w:sz w:val="17"/>
                <w:szCs w:val="17"/>
                <w:color w:val="auto"/>
              </w:rPr>
            </w:pPr>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10.14</w:t>
            </w:r>
          </w:p>
        </w:tc>
        <w:tc>
          <w:tcPr>
            <w:tcW w:w="4000" w:type="dxa"/>
            <w:vAlign w:val="bottom"/>
            <w:tcBorders>
              <w:bottom w:val="single" w:sz="8" w:color="0000EE"/>
            </w:tcBorders>
            <w:gridSpan w:val="10"/>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Translation of Construction Agreement between Global</w:t>
              </w:r>
            </w:hyperlink>
          </w:p>
        </w:tc>
        <w:tc>
          <w:tcPr>
            <w:tcW w:w="680" w:type="dxa"/>
            <w:vAlign w:val="bottom"/>
            <w:gridSpan w:val="9"/>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May 8, 2018</w:t>
            </w:r>
          </w:p>
        </w:tc>
      </w:tr>
      <w:tr>
        <w:trPr>
          <w:trHeight w:val="196"/>
        </w:trPr>
        <w:tc>
          <w:tcPr>
            <w:tcW w:w="78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Technology, Inc. and Zhejiang Xinyu Construction Group</w:t>
              </w:r>
            </w:hyperlink>
          </w:p>
        </w:tc>
        <w:tc>
          <w:tcPr>
            <w:tcW w:w="5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680" w:type="dxa"/>
            <w:vAlign w:val="bottom"/>
            <w:gridSpan w:val="19"/>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Co., Ltd. dated February 8, 2018</w:t>
              </w:r>
            </w:hyperlink>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10.15</w:t>
            </w:r>
          </w:p>
        </w:tc>
        <w:tc>
          <w:tcPr>
            <w:tcW w:w="4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First Amendment to Loan Agreement, dated March 30, 2018,</w:t>
              </w:r>
            </w:hyperlink>
          </w:p>
        </w:tc>
        <w:tc>
          <w:tcPr>
            <w:tcW w:w="260" w:type="dxa"/>
            <w:vAlign w:val="bottom"/>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4"/>
              </w:rPr>
              <w:t>April 5, 2018</w:t>
            </w:r>
          </w:p>
        </w:tc>
      </w:tr>
      <w:tr>
        <w:trPr>
          <w:trHeight w:val="196"/>
        </w:trPr>
        <w:tc>
          <w:tcPr>
            <w:tcW w:w="78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between Applied Optoelectronics, Inc. and Branch Banking</w:t>
              </w:r>
            </w:hyperlink>
          </w:p>
        </w:tc>
        <w:tc>
          <w:tcPr>
            <w:tcW w:w="3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and Trust Company</w:t>
              </w:r>
            </w:hyperlink>
          </w:p>
        </w:tc>
        <w:tc>
          <w:tcPr>
            <w:tcW w:w="32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10.15.1</w:t>
            </w:r>
          </w:p>
        </w:tc>
        <w:tc>
          <w:tcPr>
            <w:tcW w:w="4680" w:type="dxa"/>
            <w:vAlign w:val="bottom"/>
            <w:gridSpan w:val="19"/>
          </w:tcPr>
          <w:p>
            <w:pPr>
              <w:spacing w:after="0"/>
              <w:rPr>
                <w:rFonts w:ascii="Arial" w:cs="Arial" w:eastAsia="Arial" w:hAnsi="Arial"/>
                <w:sz w:val="18"/>
                <w:szCs w:val="18"/>
                <w:color w:val="0000EE"/>
              </w:rPr>
            </w:pPr>
            <w:hyperlink r:id="rId121">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60 million), dated</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4"/>
              </w:rPr>
              <w:t>April 5, 2018</w:t>
            </w:r>
          </w:p>
        </w:tc>
      </w:tr>
      <w:tr>
        <w:trPr>
          <w:trHeight w:val="20"/>
        </w:trPr>
        <w:tc>
          <w:tcPr>
            <w:tcW w:w="7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March 30, 2018, between Applied Optoelectronics, Inc. and</w:t>
              </w:r>
            </w:hyperlink>
          </w:p>
        </w:tc>
        <w:tc>
          <w:tcPr>
            <w:tcW w:w="3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6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Branch Banking and Trust Company</w:t>
              </w:r>
            </w:hyperlink>
          </w:p>
        </w:tc>
        <w:tc>
          <w:tcPr>
            <w:tcW w:w="204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10.15.2</w:t>
            </w:r>
          </w:p>
        </w:tc>
        <w:tc>
          <w:tcPr>
            <w:tcW w:w="4680" w:type="dxa"/>
            <w:vAlign w:val="bottom"/>
            <w:gridSpan w:val="19"/>
          </w:tcPr>
          <w:p>
            <w:pPr>
              <w:spacing w:after="0"/>
              <w:rPr>
                <w:rFonts w:ascii="Arial" w:cs="Arial" w:eastAsia="Arial" w:hAnsi="Arial"/>
                <w:sz w:val="18"/>
                <w:szCs w:val="18"/>
                <w:color w:val="0000EE"/>
              </w:rPr>
            </w:pPr>
            <w:hyperlink r:id="rId122">
              <w:r>
                <w:rPr>
                  <w:rFonts w:ascii="Arial" w:cs="Arial" w:eastAsia="Arial" w:hAnsi="Arial"/>
                  <w:sz w:val="18"/>
                  <w:szCs w:val="18"/>
                  <w:color w:val="0000EE"/>
                </w:rPr>
                <w:t xml:space="preserve">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26 million), dated March 30, 2018,</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4"/>
              </w:rPr>
              <w:t>April 5, 2018</w:t>
            </w:r>
          </w:p>
        </w:tc>
      </w:tr>
      <w:tr>
        <w:trPr>
          <w:trHeight w:val="20"/>
        </w:trPr>
        <w:tc>
          <w:tcPr>
            <w:tcW w:w="7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between Applied Optoelectronics, Inc. and Branch Banking</w:t>
              </w:r>
            </w:hyperlink>
          </w:p>
        </w:tc>
        <w:tc>
          <w:tcPr>
            <w:tcW w:w="3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and Trust Company</w:t>
              </w:r>
            </w:hyperlink>
          </w:p>
        </w:tc>
        <w:tc>
          <w:tcPr>
            <w:tcW w:w="32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10.15.3</w:t>
            </w:r>
          </w:p>
        </w:tc>
        <w:tc>
          <w:tcPr>
            <w:tcW w:w="4680" w:type="dxa"/>
            <w:vAlign w:val="bottom"/>
            <w:gridSpan w:val="19"/>
          </w:tcPr>
          <w:p>
            <w:pPr>
              <w:spacing w:after="0"/>
              <w:rPr>
                <w:rFonts w:ascii="Arial" w:cs="Arial" w:eastAsia="Arial" w:hAnsi="Arial"/>
                <w:sz w:val="18"/>
                <w:szCs w:val="18"/>
                <w:color w:val="0000EE"/>
              </w:rPr>
            </w:pPr>
            <w:hyperlink r:id="rId123">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26 million), dated</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4"/>
              </w:rPr>
              <w:t>April 5, 2018</w:t>
            </w:r>
          </w:p>
        </w:tc>
      </w:tr>
      <w:tr>
        <w:trPr>
          <w:trHeight w:val="20"/>
        </w:trPr>
        <w:tc>
          <w:tcPr>
            <w:tcW w:w="7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March 30, 2018, between Applied Optoelectronics, Inc. and</w:t>
              </w:r>
            </w:hyperlink>
          </w:p>
        </w:tc>
        <w:tc>
          <w:tcPr>
            <w:tcW w:w="3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6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Branch Banking and Trust Company</w:t>
              </w:r>
            </w:hyperlink>
          </w:p>
        </w:tc>
        <w:tc>
          <w:tcPr>
            <w:tcW w:w="204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10.15.4</w:t>
            </w:r>
          </w:p>
        </w:tc>
        <w:tc>
          <w:tcPr>
            <w:tcW w:w="4060" w:type="dxa"/>
            <w:vAlign w:val="bottom"/>
            <w:tcBorders>
              <w:bottom w:val="single" w:sz="8" w:color="0000EE"/>
            </w:tcBorders>
            <w:gridSpan w:val="11"/>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 xml:space="preserve">Promissory Note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21.5 million), dated March 30, 2018,</w:t>
              </w:r>
            </w:hyperlink>
          </w:p>
        </w:tc>
        <w:tc>
          <w:tcPr>
            <w:tcW w:w="620" w:type="dxa"/>
            <w:vAlign w:val="bottom"/>
            <w:gridSpan w:val="8"/>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4"/>
              </w:rPr>
              <w:t>April 5, 2018</w:t>
            </w:r>
          </w:p>
        </w:tc>
      </w:tr>
      <w:tr>
        <w:trPr>
          <w:trHeight w:val="196"/>
        </w:trPr>
        <w:tc>
          <w:tcPr>
            <w:tcW w:w="78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between Applied Optoelectronics, Inc. and Branch Banking</w:t>
              </w:r>
            </w:hyperlink>
          </w:p>
        </w:tc>
        <w:tc>
          <w:tcPr>
            <w:tcW w:w="3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and Trust Company</w:t>
              </w:r>
            </w:hyperlink>
          </w:p>
        </w:tc>
        <w:tc>
          <w:tcPr>
            <w:tcW w:w="326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53"/>
        </w:trPr>
        <w:tc>
          <w:tcPr>
            <w:tcW w:w="780" w:type="dxa"/>
            <w:vAlign w:val="bottom"/>
          </w:tcPr>
          <w:p>
            <w:pPr>
              <w:spacing w:after="0"/>
              <w:rPr>
                <w:sz w:val="24"/>
                <w:szCs w:val="24"/>
                <w:color w:val="auto"/>
              </w:rPr>
            </w:pPr>
          </w:p>
        </w:tc>
        <w:tc>
          <w:tcPr>
            <w:tcW w:w="4680" w:type="dxa"/>
            <w:vAlign w:val="bottom"/>
            <w:gridSpan w:val="19"/>
          </w:tcPr>
          <w:p>
            <w:pPr>
              <w:ind w:left="4280"/>
              <w:spacing w:after="0"/>
              <w:rPr>
                <w:sz w:val="20"/>
                <w:szCs w:val="20"/>
                <w:color w:val="auto"/>
              </w:rPr>
            </w:pPr>
            <w:r>
              <w:rPr>
                <w:rFonts w:ascii="Arial" w:cs="Arial" w:eastAsia="Arial" w:hAnsi="Arial"/>
                <w:sz w:val="18"/>
                <w:szCs w:val="18"/>
                <w:color w:val="auto"/>
              </w:rPr>
              <w:t>66</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20" w:type="dxa"/>
            <w:vAlign w:val="bottom"/>
            <w:gridSpan w:val="2"/>
          </w:tcPr>
          <w:p>
            <w:pPr>
              <w:ind w:left="740"/>
              <w:spacing w:after="0"/>
              <w:rPr>
                <w:sz w:val="20"/>
                <w:szCs w:val="20"/>
                <w:color w:val="auto"/>
              </w:rPr>
            </w:pPr>
            <w:r>
              <w:rPr>
                <w:rFonts w:ascii="Arial" w:cs="Arial" w:eastAsia="Arial" w:hAnsi="Arial"/>
                <w:sz w:val="18"/>
                <w:szCs w:val="18"/>
                <w:b w:val="1"/>
                <w:bCs w:val="1"/>
                <w:color w:val="auto"/>
                <w:w w:val="93"/>
              </w:rPr>
              <w:t>Incorporated By Reference</w:t>
            </w:r>
          </w:p>
        </w:tc>
        <w:tc>
          <w:tcPr>
            <w:tcW w:w="1120" w:type="dxa"/>
            <w:vAlign w:val="bottom"/>
          </w:tcPr>
          <w:p>
            <w:pPr>
              <w:spacing w:after="0"/>
              <w:rPr>
                <w:sz w:val="18"/>
                <w:szCs w:val="18"/>
                <w:color w:val="auto"/>
              </w:rPr>
            </w:pPr>
          </w:p>
        </w:tc>
      </w:tr>
      <w:tr>
        <w:trPr>
          <w:trHeight w:val="220"/>
        </w:trPr>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Number</w:t>
            </w:r>
          </w:p>
        </w:tc>
        <w:tc>
          <w:tcPr>
            <w:tcW w:w="1420" w:type="dxa"/>
            <w:vAlign w:val="bottom"/>
          </w:tcPr>
          <w:p>
            <w:pPr>
              <w:spacing w:after="0"/>
              <w:rPr>
                <w:sz w:val="19"/>
                <w:szCs w:val="19"/>
                <w:color w:val="auto"/>
              </w:rPr>
            </w:pPr>
          </w:p>
        </w:tc>
        <w:tc>
          <w:tcPr>
            <w:tcW w:w="3220" w:type="dxa"/>
            <w:vAlign w:val="bottom"/>
            <w:gridSpan w:val="16"/>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Form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Filing Date</w:t>
            </w:r>
          </w:p>
        </w:tc>
      </w:tr>
      <w:tr>
        <w:trPr>
          <w:trHeight w:val="190"/>
        </w:trPr>
        <w:tc>
          <w:tcPr>
            <w:tcW w:w="112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10.15.5</w:t>
            </w:r>
          </w:p>
        </w:tc>
        <w:tc>
          <w:tcPr>
            <w:tcW w:w="4640" w:type="dxa"/>
            <w:vAlign w:val="bottom"/>
            <w:gridSpan w:val="17"/>
          </w:tcPr>
          <w:p>
            <w:pPr>
              <w:spacing w:after="0" w:line="190" w:lineRule="exact"/>
              <w:rPr>
                <w:rFonts w:ascii="Arial" w:cs="Arial" w:eastAsia="Arial" w:hAnsi="Arial"/>
                <w:sz w:val="18"/>
                <w:szCs w:val="18"/>
                <w:color w:val="0000EE"/>
              </w:rPr>
            </w:pPr>
            <w:hyperlink r:id="rId126">
              <w:r>
                <w:rPr>
                  <w:rFonts w:ascii="Arial" w:cs="Arial" w:eastAsia="Arial" w:hAnsi="Arial"/>
                  <w:sz w:val="18"/>
                  <w:szCs w:val="18"/>
                  <w:color w:val="0000EE"/>
                </w:rPr>
                <w:t xml:space="preserve">Addendum to the Promissory Note </w:t>
              </w:r>
              <w:r>
                <w:rPr>
                  <w:rFonts w:ascii="Arial" w:cs="Arial" w:eastAsia="Arial" w:hAnsi="Arial"/>
                  <w:sz w:val="18"/>
                  <w:szCs w:val="18"/>
                  <w:u w:val="single" w:color="auto"/>
                  <w:color w:val="0000EE"/>
                </w:rPr>
                <w:t>($</w:t>
              </w:r>
              <w:r>
                <w:rPr>
                  <w:rFonts w:ascii="Arial" w:cs="Arial" w:eastAsia="Arial" w:hAnsi="Arial"/>
                  <w:sz w:val="18"/>
                  <w:szCs w:val="18"/>
                  <w:color w:val="0000EE"/>
                </w:rPr>
                <w:t>21.5 million), dated</w:t>
              </w:r>
            </w:hyperlink>
          </w:p>
        </w:tc>
        <w:tc>
          <w:tcPr>
            <w:tcW w:w="940" w:type="dxa"/>
            <w:vAlign w:val="bottom"/>
          </w:tcPr>
          <w:p>
            <w:pPr>
              <w:ind w:left="300"/>
              <w:spacing w:after="0" w:line="190" w:lineRule="exact"/>
              <w:rPr>
                <w:sz w:val="20"/>
                <w:szCs w:val="20"/>
                <w:color w:val="auto"/>
              </w:rPr>
            </w:pPr>
            <w:r>
              <w:rPr>
                <w:rFonts w:ascii="Arial" w:cs="Arial" w:eastAsia="Arial" w:hAnsi="Arial"/>
                <w:sz w:val="18"/>
                <w:szCs w:val="18"/>
                <w:color w:val="auto"/>
              </w:rPr>
              <w:t>8-K</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line="190" w:lineRule="exact"/>
              <w:rPr>
                <w:sz w:val="20"/>
                <w:szCs w:val="20"/>
                <w:color w:val="auto"/>
              </w:rPr>
            </w:pPr>
            <w:r>
              <w:rPr>
                <w:rFonts w:ascii="Arial" w:cs="Arial" w:eastAsia="Arial" w:hAnsi="Arial"/>
                <w:sz w:val="18"/>
                <w:szCs w:val="18"/>
                <w:color w:val="auto"/>
                <w:w w:val="91"/>
              </w:rPr>
              <w:t>10.6</w:t>
            </w:r>
          </w:p>
        </w:tc>
        <w:tc>
          <w:tcPr>
            <w:tcW w:w="1120" w:type="dxa"/>
            <w:vAlign w:val="bottom"/>
          </w:tcPr>
          <w:p>
            <w:pPr>
              <w:ind w:left="140"/>
              <w:spacing w:after="0" w:line="190" w:lineRule="exact"/>
              <w:rPr>
                <w:sz w:val="20"/>
                <w:szCs w:val="20"/>
                <w:color w:val="auto"/>
              </w:rPr>
            </w:pPr>
            <w:r>
              <w:rPr>
                <w:rFonts w:ascii="Arial" w:cs="Arial" w:eastAsia="Arial" w:hAnsi="Arial"/>
                <w:sz w:val="18"/>
                <w:szCs w:val="18"/>
                <w:color w:val="auto"/>
                <w:w w:val="94"/>
              </w:rPr>
              <w:t>April 5, 2018</w:t>
            </w:r>
          </w:p>
        </w:tc>
      </w:tr>
      <w:tr>
        <w:trPr>
          <w:trHeight w:val="20"/>
        </w:trPr>
        <w:tc>
          <w:tcPr>
            <w:tcW w:w="1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March 30, 2018, between Applied Optoelectronics, Inc. and</w:t>
              </w:r>
            </w:hyperlink>
          </w:p>
        </w:tc>
        <w:tc>
          <w:tcPr>
            <w:tcW w:w="3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40" w:type="dxa"/>
            <w:vAlign w:val="bottom"/>
            <w:gridSpan w:val="17"/>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Branch Banking and Trust Company</w:t>
              </w:r>
            </w:hyperlink>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10.15.6</w:t>
            </w:r>
          </w:p>
        </w:tc>
        <w:tc>
          <w:tcPr>
            <w:tcW w:w="3900" w:type="dxa"/>
            <w:vAlign w:val="bottom"/>
            <w:tcBorders>
              <w:bottom w:val="single" w:sz="8" w:color="0000EE"/>
            </w:tcBorders>
            <w:gridSpan w:val="6"/>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Note Modification Agreement, dated March 30, 2018,</w:t>
              </w:r>
            </w:hyperlink>
          </w:p>
        </w:tc>
        <w:tc>
          <w:tcPr>
            <w:tcW w:w="740" w:type="dxa"/>
            <w:vAlign w:val="bottom"/>
            <w:gridSpan w:val="11"/>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rPr>
                <w:sz w:val="20"/>
                <w:szCs w:val="20"/>
                <w:color w:val="auto"/>
              </w:rPr>
            </w:pPr>
            <w:r>
              <w:rPr>
                <w:rFonts w:ascii="Arial" w:cs="Arial" w:eastAsia="Arial" w:hAnsi="Arial"/>
                <w:sz w:val="18"/>
                <w:szCs w:val="18"/>
                <w:color w:val="auto"/>
                <w:w w:val="91"/>
              </w:rPr>
              <w:t>10.7</w:t>
            </w:r>
          </w:p>
        </w:tc>
        <w:tc>
          <w:tcPr>
            <w:tcW w:w="1120" w:type="dxa"/>
            <w:vAlign w:val="bottom"/>
          </w:tcPr>
          <w:p>
            <w:pPr>
              <w:ind w:left="140"/>
              <w:spacing w:after="0"/>
              <w:rPr>
                <w:sz w:val="20"/>
                <w:szCs w:val="20"/>
                <w:color w:val="auto"/>
              </w:rPr>
            </w:pPr>
            <w:r>
              <w:rPr>
                <w:rFonts w:ascii="Arial" w:cs="Arial" w:eastAsia="Arial" w:hAnsi="Arial"/>
                <w:sz w:val="18"/>
                <w:szCs w:val="18"/>
                <w:color w:val="auto"/>
                <w:w w:val="94"/>
              </w:rPr>
              <w:t>April 5, 2018</w:t>
            </w:r>
          </w:p>
        </w:tc>
      </w:tr>
      <w:tr>
        <w:trPr>
          <w:trHeight w:val="196"/>
        </w:trPr>
        <w:tc>
          <w:tcPr>
            <w:tcW w:w="1120" w:type="dxa"/>
            <w:vAlign w:val="bottom"/>
          </w:tcPr>
          <w:p>
            <w:pPr>
              <w:spacing w:after="0"/>
              <w:rPr>
                <w:sz w:val="17"/>
                <w:szCs w:val="17"/>
                <w:color w:val="auto"/>
              </w:rPr>
            </w:pPr>
          </w:p>
        </w:tc>
        <w:tc>
          <w:tcPr>
            <w:tcW w:w="4640" w:type="dxa"/>
            <w:vAlign w:val="bottom"/>
            <w:gridSpan w:val="17"/>
          </w:tcPr>
          <w:p>
            <w:pPr>
              <w:spacing w:after="0" w:line="196" w:lineRule="exact"/>
              <w:rPr>
                <w:rFonts w:ascii="Arial" w:cs="Arial" w:eastAsia="Arial" w:hAnsi="Arial"/>
                <w:sz w:val="18"/>
                <w:szCs w:val="18"/>
                <w:color w:val="0000EE"/>
                <w:w w:val="98"/>
              </w:rPr>
            </w:pPr>
            <w:hyperlink r:id="rId127">
              <w:r>
                <w:rPr>
                  <w:rFonts w:ascii="Arial" w:cs="Arial" w:eastAsia="Arial" w:hAnsi="Arial"/>
                  <w:sz w:val="18"/>
                  <w:szCs w:val="18"/>
                  <w:color w:val="0000EE"/>
                  <w:w w:val="98"/>
                </w:rPr>
                <w:t>between Applied Optoelectronics, Inc. and Branch Banking</w:t>
              </w:r>
            </w:hyperlink>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and Trust Company</w:t>
              </w:r>
            </w:hyperlink>
          </w:p>
        </w:tc>
        <w:tc>
          <w:tcPr>
            <w:tcW w:w="34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10.15.7</w:t>
            </w:r>
          </w:p>
        </w:tc>
        <w:tc>
          <w:tcPr>
            <w:tcW w:w="4640" w:type="dxa"/>
            <w:vAlign w:val="bottom"/>
            <w:gridSpan w:val="17"/>
          </w:tcPr>
          <w:p>
            <w:pPr>
              <w:spacing w:after="0"/>
              <w:rPr>
                <w:rFonts w:ascii="Arial" w:cs="Arial" w:eastAsia="Arial" w:hAnsi="Arial"/>
                <w:sz w:val="18"/>
                <w:szCs w:val="18"/>
                <w:color w:val="0000EE"/>
              </w:rPr>
            </w:pPr>
            <w:hyperlink r:id="rId128">
              <w:r>
                <w:rPr>
                  <w:rFonts w:ascii="Arial" w:cs="Arial" w:eastAsia="Arial" w:hAnsi="Arial"/>
                  <w:sz w:val="18"/>
                  <w:szCs w:val="18"/>
                  <w:color w:val="0000EE"/>
                </w:rPr>
                <w:t>Assignment of Lease and Rent, dated March 30, 2018,</w:t>
              </w:r>
            </w:hyperlink>
          </w:p>
        </w:tc>
        <w:tc>
          <w:tcPr>
            <w:tcW w:w="940" w:type="dxa"/>
            <w:vAlign w:val="bottom"/>
          </w:tcPr>
          <w:p>
            <w:pPr>
              <w:ind w:left="3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rPr>
                <w:sz w:val="20"/>
                <w:szCs w:val="20"/>
                <w:color w:val="auto"/>
              </w:rPr>
            </w:pPr>
            <w:r>
              <w:rPr>
                <w:rFonts w:ascii="Arial" w:cs="Arial" w:eastAsia="Arial" w:hAnsi="Arial"/>
                <w:sz w:val="18"/>
                <w:szCs w:val="18"/>
                <w:color w:val="auto"/>
                <w:w w:val="91"/>
              </w:rPr>
              <w:t>10.8</w:t>
            </w:r>
          </w:p>
        </w:tc>
        <w:tc>
          <w:tcPr>
            <w:tcW w:w="1120" w:type="dxa"/>
            <w:vAlign w:val="bottom"/>
          </w:tcPr>
          <w:p>
            <w:pPr>
              <w:ind w:left="140"/>
              <w:spacing w:after="0"/>
              <w:rPr>
                <w:sz w:val="20"/>
                <w:szCs w:val="20"/>
                <w:color w:val="auto"/>
              </w:rPr>
            </w:pPr>
            <w:r>
              <w:rPr>
                <w:rFonts w:ascii="Arial" w:cs="Arial" w:eastAsia="Arial" w:hAnsi="Arial"/>
                <w:sz w:val="18"/>
                <w:szCs w:val="18"/>
                <w:color w:val="auto"/>
                <w:w w:val="94"/>
              </w:rPr>
              <w:t>April 5, 2018</w:t>
            </w:r>
          </w:p>
        </w:tc>
      </w:tr>
      <w:tr>
        <w:trPr>
          <w:trHeight w:val="20"/>
        </w:trPr>
        <w:tc>
          <w:tcPr>
            <w:tcW w:w="11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640" w:type="dxa"/>
            <w:vAlign w:val="bottom"/>
            <w:gridSpan w:val="17"/>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between Applied Optoelectronics, Inc. and Branch Banking</w:t>
              </w:r>
            </w:hyperlink>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and Trust Company</w:t>
              </w:r>
            </w:hyperlink>
          </w:p>
        </w:tc>
        <w:tc>
          <w:tcPr>
            <w:tcW w:w="34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10.15.8</w:t>
            </w:r>
          </w:p>
        </w:tc>
        <w:tc>
          <w:tcPr>
            <w:tcW w:w="4640" w:type="dxa"/>
            <w:vAlign w:val="bottom"/>
            <w:gridSpan w:val="17"/>
          </w:tcPr>
          <w:p>
            <w:pPr>
              <w:spacing w:after="0"/>
              <w:rPr>
                <w:rFonts w:ascii="Arial" w:cs="Arial" w:eastAsia="Arial" w:hAnsi="Arial"/>
                <w:sz w:val="18"/>
                <w:szCs w:val="18"/>
                <w:color w:val="0000EE"/>
                <w:w w:val="98"/>
              </w:rPr>
            </w:pPr>
            <w:hyperlink r:id="rId129">
              <w:r>
                <w:rPr>
                  <w:rFonts w:ascii="Arial" w:cs="Arial" w:eastAsia="Arial" w:hAnsi="Arial"/>
                  <w:sz w:val="18"/>
                  <w:szCs w:val="18"/>
                  <w:color w:val="0000EE"/>
                  <w:w w:val="98"/>
                </w:rPr>
                <w:t>Texas Deed of Trust and Security Agreement, dated March</w:t>
              </w:r>
            </w:hyperlink>
          </w:p>
        </w:tc>
        <w:tc>
          <w:tcPr>
            <w:tcW w:w="940" w:type="dxa"/>
            <w:vAlign w:val="bottom"/>
          </w:tcPr>
          <w:p>
            <w:pPr>
              <w:ind w:left="3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rPr>
                <w:sz w:val="20"/>
                <w:szCs w:val="20"/>
                <w:color w:val="auto"/>
              </w:rPr>
            </w:pPr>
            <w:r>
              <w:rPr>
                <w:rFonts w:ascii="Arial" w:cs="Arial" w:eastAsia="Arial" w:hAnsi="Arial"/>
                <w:sz w:val="18"/>
                <w:szCs w:val="18"/>
                <w:color w:val="auto"/>
                <w:w w:val="91"/>
              </w:rPr>
              <w:t>10.9</w:t>
            </w:r>
          </w:p>
        </w:tc>
        <w:tc>
          <w:tcPr>
            <w:tcW w:w="1120" w:type="dxa"/>
            <w:vAlign w:val="bottom"/>
          </w:tcPr>
          <w:p>
            <w:pPr>
              <w:ind w:left="140"/>
              <w:spacing w:after="0"/>
              <w:rPr>
                <w:sz w:val="20"/>
                <w:szCs w:val="20"/>
                <w:color w:val="auto"/>
              </w:rPr>
            </w:pPr>
            <w:r>
              <w:rPr>
                <w:rFonts w:ascii="Arial" w:cs="Arial" w:eastAsia="Arial" w:hAnsi="Arial"/>
                <w:sz w:val="18"/>
                <w:szCs w:val="18"/>
                <w:color w:val="auto"/>
                <w:w w:val="94"/>
              </w:rPr>
              <w:t>April 5, 2018</w:t>
            </w:r>
          </w:p>
        </w:tc>
      </w:tr>
      <w:tr>
        <w:trPr>
          <w:trHeight w:val="20"/>
        </w:trPr>
        <w:tc>
          <w:tcPr>
            <w:tcW w:w="11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3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30, 2018, between Applied Optoelectronics, Inc. and Branch</w:t>
              </w:r>
            </w:hyperlink>
          </w:p>
        </w:tc>
        <w:tc>
          <w:tcPr>
            <w:tcW w:w="2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40" w:type="dxa"/>
            <w:vAlign w:val="bottom"/>
            <w:gridSpan w:val="1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Banking and Trust Company</w:t>
              </w:r>
            </w:hyperlink>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10.15.9</w:t>
            </w:r>
          </w:p>
        </w:tc>
        <w:tc>
          <w:tcPr>
            <w:tcW w:w="4640" w:type="dxa"/>
            <w:vAlign w:val="bottom"/>
            <w:gridSpan w:val="17"/>
          </w:tcPr>
          <w:p>
            <w:pPr>
              <w:spacing w:after="0"/>
              <w:rPr>
                <w:rFonts w:ascii="Arial" w:cs="Arial" w:eastAsia="Arial" w:hAnsi="Arial"/>
                <w:sz w:val="18"/>
                <w:szCs w:val="18"/>
                <w:color w:val="0000EE"/>
                <w:w w:val="95"/>
              </w:rPr>
            </w:pPr>
            <w:hyperlink r:id="rId130">
              <w:r>
                <w:rPr>
                  <w:rFonts w:ascii="Arial" w:cs="Arial" w:eastAsia="Arial" w:hAnsi="Arial"/>
                  <w:sz w:val="18"/>
                  <w:szCs w:val="18"/>
                  <w:color w:val="0000EE"/>
                  <w:w w:val="95"/>
                </w:rPr>
                <w:t>Environmental Certification and Indemnity Agreement, dated</w:t>
              </w:r>
            </w:hyperlink>
          </w:p>
        </w:tc>
        <w:tc>
          <w:tcPr>
            <w:tcW w:w="940" w:type="dxa"/>
            <w:vAlign w:val="bottom"/>
          </w:tcPr>
          <w:p>
            <w:pPr>
              <w:ind w:left="3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rPr>
                <w:sz w:val="20"/>
                <w:szCs w:val="20"/>
                <w:color w:val="auto"/>
              </w:rPr>
            </w:pPr>
            <w:r>
              <w:rPr>
                <w:rFonts w:ascii="Arial" w:cs="Arial" w:eastAsia="Arial" w:hAnsi="Arial"/>
                <w:sz w:val="18"/>
                <w:szCs w:val="18"/>
                <w:color w:val="auto"/>
                <w:w w:val="88"/>
              </w:rPr>
              <w:t>10.10</w:t>
            </w:r>
          </w:p>
        </w:tc>
        <w:tc>
          <w:tcPr>
            <w:tcW w:w="1120" w:type="dxa"/>
            <w:vAlign w:val="bottom"/>
          </w:tcPr>
          <w:p>
            <w:pPr>
              <w:ind w:left="140"/>
              <w:spacing w:after="0"/>
              <w:rPr>
                <w:sz w:val="20"/>
                <w:szCs w:val="20"/>
                <w:color w:val="auto"/>
              </w:rPr>
            </w:pPr>
            <w:r>
              <w:rPr>
                <w:rFonts w:ascii="Arial" w:cs="Arial" w:eastAsia="Arial" w:hAnsi="Arial"/>
                <w:sz w:val="18"/>
                <w:szCs w:val="18"/>
                <w:color w:val="auto"/>
                <w:w w:val="94"/>
              </w:rPr>
              <w:t>April 5, 2018</w:t>
            </w:r>
          </w:p>
        </w:tc>
      </w:tr>
      <w:tr>
        <w:trPr>
          <w:trHeight w:val="196"/>
        </w:trPr>
        <w:tc>
          <w:tcPr>
            <w:tcW w:w="1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March 30, 2018, between Applied Optoelectronics, Inc. and</w:t>
              </w:r>
            </w:hyperlink>
          </w:p>
        </w:tc>
        <w:tc>
          <w:tcPr>
            <w:tcW w:w="12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40" w:type="dxa"/>
            <w:vAlign w:val="bottom"/>
            <w:gridSpan w:val="1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Branch Banking and Trust Company</w:t>
              </w:r>
            </w:hyperlink>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10.16</w:t>
            </w:r>
          </w:p>
        </w:tc>
        <w:tc>
          <w:tcPr>
            <w:tcW w:w="4640" w:type="dxa"/>
            <w:vAlign w:val="bottom"/>
            <w:gridSpan w:val="17"/>
          </w:tcPr>
          <w:p>
            <w:pPr>
              <w:spacing w:after="0"/>
              <w:rPr>
                <w:rFonts w:ascii="Arial" w:cs="Arial" w:eastAsia="Arial" w:hAnsi="Arial"/>
                <w:sz w:val="18"/>
                <w:szCs w:val="18"/>
                <w:color w:val="0000EE"/>
                <w:w w:val="95"/>
              </w:rPr>
            </w:pPr>
            <w:hyperlink r:id="rId131">
              <w:r>
                <w:rPr>
                  <w:rFonts w:ascii="Arial" w:cs="Arial" w:eastAsia="Arial" w:hAnsi="Arial"/>
                  <w:sz w:val="18"/>
                  <w:szCs w:val="18"/>
                  <w:color w:val="0000EE"/>
                  <w:w w:val="95"/>
                </w:rPr>
                <w:t>Translation of the Approval Notice of Credit Line, dated June</w:t>
              </w:r>
            </w:hyperlink>
          </w:p>
        </w:tc>
        <w:tc>
          <w:tcPr>
            <w:tcW w:w="940" w:type="dxa"/>
            <w:vAlign w:val="bottom"/>
          </w:tcPr>
          <w:p>
            <w:pPr>
              <w:ind w:left="3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rPr>
                <w:sz w:val="20"/>
                <w:szCs w:val="20"/>
                <w:color w:val="auto"/>
              </w:rPr>
            </w:pPr>
            <w:r>
              <w:rPr>
                <w:rFonts w:ascii="Arial" w:cs="Arial" w:eastAsia="Arial" w:hAnsi="Arial"/>
                <w:sz w:val="18"/>
                <w:szCs w:val="18"/>
                <w:color w:val="auto"/>
                <w:w w:val="91"/>
              </w:rPr>
              <w:t>10.1</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25, 2018</w:t>
            </w:r>
          </w:p>
        </w:tc>
      </w:tr>
      <w:tr>
        <w:trPr>
          <w:trHeight w:val="196"/>
        </w:trPr>
        <w:tc>
          <w:tcPr>
            <w:tcW w:w="11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12, 2018,between Prime World International Holdings Ltd.</w:t>
              </w:r>
            </w:hyperlink>
          </w:p>
        </w:tc>
        <w:tc>
          <w:tcPr>
            <w:tcW w:w="18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and Taishin International Bank</w:t>
              </w:r>
            </w:hyperlink>
          </w:p>
        </w:tc>
        <w:tc>
          <w:tcPr>
            <w:tcW w:w="236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10.16.1</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Translation of the Credit Facility Agreement, dated June 19,</w:t>
              </w:r>
            </w:hyperlink>
          </w:p>
        </w:tc>
        <w:tc>
          <w:tcPr>
            <w:tcW w:w="280" w:type="dxa"/>
            <w:vAlign w:val="bottom"/>
            <w:gridSpan w:val="3"/>
          </w:tcPr>
          <w:p>
            <w:pPr>
              <w:spacing w:after="0"/>
              <w:rPr>
                <w:sz w:val="24"/>
                <w:szCs w:val="24"/>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30"/>
              <w:spacing w:after="0"/>
              <w:rPr>
                <w:sz w:val="20"/>
                <w:szCs w:val="20"/>
                <w:color w:val="auto"/>
              </w:rPr>
            </w:pPr>
            <w:r>
              <w:rPr>
                <w:rFonts w:ascii="Arial" w:cs="Arial" w:eastAsia="Arial" w:hAnsi="Arial"/>
                <w:sz w:val="18"/>
                <w:szCs w:val="18"/>
                <w:color w:val="auto"/>
                <w:w w:val="91"/>
              </w:rPr>
              <w:t>10.2</w:t>
            </w:r>
          </w:p>
        </w:tc>
        <w:tc>
          <w:tcPr>
            <w:tcW w:w="1120" w:type="dxa"/>
            <w:vAlign w:val="bottom"/>
          </w:tcPr>
          <w:p>
            <w:pPr>
              <w:ind w:left="120"/>
              <w:spacing w:after="0"/>
              <w:rPr>
                <w:sz w:val="20"/>
                <w:szCs w:val="20"/>
                <w:color w:val="auto"/>
              </w:rPr>
            </w:pPr>
            <w:r>
              <w:rPr>
                <w:rFonts w:ascii="Arial" w:cs="Arial" w:eastAsia="Arial" w:hAnsi="Arial"/>
                <w:sz w:val="18"/>
                <w:szCs w:val="18"/>
                <w:color w:val="auto"/>
                <w:w w:val="85"/>
              </w:rPr>
              <w:t>June 25, 2018</w:t>
            </w:r>
          </w:p>
        </w:tc>
      </w:tr>
      <w:tr>
        <w:trPr>
          <w:trHeight w:val="196"/>
        </w:trPr>
        <w:tc>
          <w:tcPr>
            <w:tcW w:w="1120" w:type="dxa"/>
            <w:vAlign w:val="bottom"/>
          </w:tcPr>
          <w:p>
            <w:pPr>
              <w:spacing w:after="0"/>
              <w:rPr>
                <w:sz w:val="17"/>
                <w:szCs w:val="17"/>
                <w:color w:val="auto"/>
              </w:rPr>
            </w:pPr>
          </w:p>
        </w:tc>
        <w:tc>
          <w:tcPr>
            <w:tcW w:w="43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2018, between Prime World International Holdings Ltd. and</w:t>
              </w:r>
            </w:hyperlink>
          </w:p>
        </w:tc>
        <w:tc>
          <w:tcPr>
            <w:tcW w:w="30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40" w:type="dxa"/>
            <w:vAlign w:val="bottom"/>
            <w:gridSpan w:val="1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Taishin International Bank</w:t>
              </w:r>
            </w:hyperlink>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ectPr>
          <w:pgSz w:w="11900" w:h="16838" w:orient="portrait"/>
          <w:cols w:equalWidth="0" w:num="1">
            <w:col w:w="11120"/>
          </w:cols>
          <w:pgMar w:left="240" w:top="125" w:right="539" w:bottom="0" w:gutter="0" w:footer="0" w:header="0"/>
        </w:sectPr>
      </w:pPr>
    </w:p>
    <w:bookmarkStart w:id="46" w:name="page47"/>
    <w:bookmarkEnd w:id="46"/>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10.16.2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Translation of the Agreement on Providing Collateral, dated</w:t>
              </w:r>
            </w:hyperlink>
          </w:p>
        </w:tc>
        <w:tc>
          <w:tcPr>
            <w:tcW w:w="340" w:type="dxa"/>
            <w:vAlign w:val="bottom"/>
            <w:gridSpan w:val="2"/>
          </w:tcPr>
          <w:p>
            <w:pPr>
              <w:spacing w:after="0"/>
              <w:rPr>
                <w:sz w:val="17"/>
                <w:szCs w:val="17"/>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10.3</w:t>
            </w:r>
          </w:p>
        </w:tc>
        <w:tc>
          <w:tcPr>
            <w:tcW w:w="1820" w:type="dxa"/>
            <w:vAlign w:val="bottom"/>
          </w:tcPr>
          <w:p>
            <w:pPr>
              <w:jc w:val="center"/>
              <w:ind w:left="290"/>
              <w:spacing w:after="0"/>
              <w:rPr>
                <w:sz w:val="20"/>
                <w:szCs w:val="20"/>
                <w:color w:val="auto"/>
              </w:rPr>
            </w:pPr>
            <w:r>
              <w:rPr>
                <w:rFonts w:ascii="Arial" w:cs="Arial" w:eastAsia="Arial" w:hAnsi="Arial"/>
                <w:sz w:val="18"/>
                <w:szCs w:val="18"/>
                <w:color w:val="auto"/>
                <w:w w:val="87"/>
              </w:rPr>
              <w:t>June 25, 2018</w:t>
            </w:r>
          </w:p>
        </w:tc>
      </w:tr>
      <w:tr>
        <w:trPr>
          <w:trHeight w:val="196"/>
        </w:trPr>
        <w:tc>
          <w:tcPr>
            <w:tcW w:w="780" w:type="dxa"/>
            <w:vAlign w:val="bottom"/>
          </w:tcPr>
          <w:p>
            <w:pPr>
              <w:spacing w:after="0"/>
              <w:rPr>
                <w:sz w:val="17"/>
                <w:szCs w:val="17"/>
                <w:color w:val="auto"/>
              </w:rPr>
            </w:pP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June 19, 2018, between Prime World International Holdings</w:t>
              </w:r>
            </w:hyperlink>
          </w:p>
        </w:tc>
        <w:tc>
          <w:tcPr>
            <w:tcW w:w="3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Ltd., and Taishin International Bank</w:t>
              </w:r>
            </w:hyperlink>
          </w:p>
        </w:tc>
        <w:tc>
          <w:tcPr>
            <w:tcW w:w="20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10.16.3</w:t>
            </w:r>
          </w:p>
        </w:tc>
        <w:tc>
          <w:tcPr>
            <w:tcW w:w="4700" w:type="dxa"/>
            <w:vAlign w:val="bottom"/>
            <w:gridSpan w:val="12"/>
          </w:tcPr>
          <w:p>
            <w:pPr>
              <w:spacing w:after="0"/>
              <w:rPr>
                <w:rFonts w:ascii="Arial" w:cs="Arial" w:eastAsia="Arial" w:hAnsi="Arial"/>
                <w:sz w:val="18"/>
                <w:szCs w:val="18"/>
                <w:color w:val="0000EE"/>
              </w:rPr>
            </w:pPr>
            <w:hyperlink r:id="rId134">
              <w:r>
                <w:rPr>
                  <w:rFonts w:ascii="Arial" w:cs="Arial" w:eastAsia="Arial" w:hAnsi="Arial"/>
                  <w:sz w:val="18"/>
                  <w:szCs w:val="18"/>
                  <w:color w:val="0000EE"/>
                </w:rPr>
                <w:t xml:space="preserve">Translation of the </w:t>
              </w:r>
              <w:r>
                <w:rPr>
                  <w:rFonts w:ascii="Arial" w:cs="Arial" w:eastAsia="Arial" w:hAnsi="Arial"/>
                  <w:sz w:val="18"/>
                  <w:szCs w:val="18"/>
                  <w:u w:val="single" w:color="auto"/>
                  <w:color w:val="0000EE"/>
                </w:rPr>
                <w:t>NT$</w:t>
              </w:r>
              <w:r>
                <w:rPr>
                  <w:rFonts w:ascii="Arial" w:cs="Arial" w:eastAsia="Arial" w:hAnsi="Arial"/>
                  <w:sz w:val="18"/>
                  <w:szCs w:val="18"/>
                  <w:color w:val="0000EE"/>
                </w:rPr>
                <w:t>300 Million Promissory Note, dated</w:t>
              </w:r>
            </w:hyperlink>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1820" w:type="dxa"/>
            <w:vAlign w:val="bottom"/>
          </w:tcPr>
          <w:p>
            <w:pPr>
              <w:jc w:val="center"/>
              <w:ind w:left="290"/>
              <w:spacing w:after="0"/>
              <w:rPr>
                <w:sz w:val="20"/>
                <w:szCs w:val="20"/>
                <w:color w:val="auto"/>
              </w:rPr>
            </w:pPr>
            <w:r>
              <w:rPr>
                <w:rFonts w:ascii="Arial" w:cs="Arial" w:eastAsia="Arial" w:hAnsi="Arial"/>
                <w:sz w:val="18"/>
                <w:szCs w:val="18"/>
                <w:color w:val="auto"/>
                <w:w w:val="87"/>
              </w:rPr>
              <w:t>June 25, 2018</w:t>
            </w:r>
          </w:p>
        </w:tc>
      </w:tr>
      <w:tr>
        <w:trPr>
          <w:trHeight w:val="20"/>
        </w:trPr>
        <w:tc>
          <w:tcPr>
            <w:tcW w:w="7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June 19, 2018, between Prime World International Holdings</w:t>
              </w:r>
            </w:hyperlink>
          </w:p>
        </w:tc>
        <w:tc>
          <w:tcPr>
            <w:tcW w:w="3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700" w:type="dxa"/>
            <w:vAlign w:val="bottom"/>
            <w:gridSpan w:val="1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Ltd. and Taishin International Bank</w:t>
              </w:r>
            </w:hyperlink>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10.16.4</w:t>
            </w:r>
          </w:p>
        </w:tc>
        <w:tc>
          <w:tcPr>
            <w:tcW w:w="4380" w:type="dxa"/>
            <w:vAlign w:val="bottom"/>
            <w:tcBorders>
              <w:bottom w:val="single" w:sz="8" w:color="0000EE"/>
            </w:tcBorders>
            <w:gridSpan w:val="11"/>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Translation of the Maximum Loan (Credit Line) Agreement,</w:t>
              </w:r>
            </w:hyperlink>
          </w:p>
        </w:tc>
        <w:tc>
          <w:tcPr>
            <w:tcW w:w="32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820" w:type="dxa"/>
            <w:vAlign w:val="bottom"/>
          </w:tcPr>
          <w:p>
            <w:pPr>
              <w:jc w:val="center"/>
              <w:ind w:left="290"/>
              <w:spacing w:after="0"/>
              <w:rPr>
                <w:sz w:val="20"/>
                <w:szCs w:val="20"/>
                <w:color w:val="auto"/>
              </w:rPr>
            </w:pPr>
            <w:r>
              <w:rPr>
                <w:rFonts w:ascii="Arial" w:cs="Arial" w:eastAsia="Arial" w:hAnsi="Arial"/>
                <w:sz w:val="18"/>
                <w:szCs w:val="18"/>
                <w:color w:val="auto"/>
                <w:w w:val="88"/>
              </w:rPr>
              <w:t>September 27, 2018</w:t>
            </w:r>
          </w:p>
        </w:tc>
      </w:tr>
      <w:tr>
        <w:trPr>
          <w:trHeight w:val="196"/>
        </w:trPr>
        <w:tc>
          <w:tcPr>
            <w:tcW w:w="780" w:type="dxa"/>
            <w:vAlign w:val="bottom"/>
          </w:tcPr>
          <w:p>
            <w:pPr>
              <w:spacing w:after="0"/>
              <w:rPr>
                <w:sz w:val="17"/>
                <w:szCs w:val="17"/>
                <w:color w:val="auto"/>
              </w:rPr>
            </w:pP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dated September 21, 2018, between Global Technology, Inc.</w:t>
              </w:r>
            </w:hyperlink>
          </w:p>
        </w:tc>
        <w:tc>
          <w:tcPr>
            <w:tcW w:w="3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700" w:type="dxa"/>
            <w:vAlign w:val="bottom"/>
            <w:gridSpan w:val="1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and China Construction Bank Co., Ltd.</w:t>
              </w:r>
            </w:hyperlink>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10.16.5</w:t>
            </w: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Translation of the Security Agreement, dated September 21,</w:t>
              </w:r>
            </w:hyperlink>
          </w:p>
        </w:tc>
        <w:tc>
          <w:tcPr>
            <w:tcW w:w="360" w:type="dxa"/>
            <w:vAlign w:val="bottom"/>
            <w:gridSpan w:val="3"/>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1820" w:type="dxa"/>
            <w:vAlign w:val="bottom"/>
          </w:tcPr>
          <w:p>
            <w:pPr>
              <w:jc w:val="center"/>
              <w:ind w:left="290"/>
              <w:spacing w:after="0"/>
              <w:rPr>
                <w:sz w:val="20"/>
                <w:szCs w:val="20"/>
                <w:color w:val="auto"/>
              </w:rPr>
            </w:pPr>
            <w:r>
              <w:rPr>
                <w:rFonts w:ascii="Arial" w:cs="Arial" w:eastAsia="Arial" w:hAnsi="Arial"/>
                <w:sz w:val="18"/>
                <w:szCs w:val="18"/>
                <w:color w:val="auto"/>
                <w:w w:val="88"/>
              </w:rPr>
              <w:t>September 27, 2018</w:t>
            </w:r>
          </w:p>
        </w:tc>
      </w:tr>
      <w:tr>
        <w:trPr>
          <w:trHeight w:val="196"/>
        </w:trPr>
        <w:tc>
          <w:tcPr>
            <w:tcW w:w="78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2018, between Global Technology, Inc. and China</w:t>
              </w:r>
            </w:hyperlink>
          </w:p>
        </w:tc>
        <w:tc>
          <w:tcPr>
            <w:tcW w:w="108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700" w:type="dxa"/>
            <w:vAlign w:val="bottom"/>
            <w:gridSpan w:val="1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Construction Bank Co., Ltd.</w:t>
              </w:r>
            </w:hyperlink>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10.17</w:t>
            </w:r>
          </w:p>
        </w:tc>
        <w:tc>
          <w:tcPr>
            <w:tcW w:w="4700" w:type="dxa"/>
            <w:vAlign w:val="bottom"/>
            <w:gridSpan w:val="12"/>
          </w:tcPr>
          <w:p>
            <w:pPr>
              <w:spacing w:after="0"/>
              <w:rPr>
                <w:rFonts w:ascii="Arial" w:cs="Arial" w:eastAsia="Arial" w:hAnsi="Arial"/>
                <w:sz w:val="18"/>
                <w:szCs w:val="18"/>
                <w:color w:val="0000EE"/>
              </w:rPr>
            </w:pPr>
            <w:hyperlink r:id="rId137">
              <w:r>
                <w:rPr>
                  <w:rFonts w:ascii="Arial" w:cs="Arial" w:eastAsia="Arial" w:hAnsi="Arial"/>
                  <w:sz w:val="18"/>
                  <w:szCs w:val="18"/>
                  <w:color w:val="0000EE"/>
                </w:rPr>
                <w:t>Letter of Offer, dated July 26, 2018, between Prime World</w:t>
              </w:r>
            </w:hyperlink>
          </w:p>
        </w:tc>
        <w:tc>
          <w:tcPr>
            <w:tcW w:w="840" w:type="dxa"/>
            <w:vAlign w:val="bottom"/>
          </w:tcPr>
          <w:p>
            <w:pPr>
              <w:ind w:left="24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1820" w:type="dxa"/>
            <w:vAlign w:val="bottom"/>
          </w:tcPr>
          <w:p>
            <w:pPr>
              <w:jc w:val="center"/>
              <w:ind w:left="290"/>
              <w:spacing w:after="0"/>
              <w:rPr>
                <w:sz w:val="20"/>
                <w:szCs w:val="20"/>
                <w:color w:val="auto"/>
              </w:rPr>
            </w:pPr>
            <w:r>
              <w:rPr>
                <w:rFonts w:ascii="Arial" w:cs="Arial" w:eastAsia="Arial" w:hAnsi="Arial"/>
                <w:sz w:val="18"/>
                <w:szCs w:val="18"/>
                <w:color w:val="auto"/>
                <w:w w:val="89"/>
              </w:rPr>
              <w:t>October 9, 2018</w:t>
            </w:r>
          </w:p>
        </w:tc>
      </w:tr>
      <w:tr>
        <w:trPr>
          <w:trHeight w:val="20"/>
        </w:trPr>
        <w:tc>
          <w:tcPr>
            <w:tcW w:w="78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International Holdings, Ltd. and the Development Bank of</w:t>
              </w:r>
            </w:hyperlink>
          </w:p>
        </w:tc>
        <w:tc>
          <w:tcPr>
            <w:tcW w:w="46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700" w:type="dxa"/>
            <w:vAlign w:val="bottom"/>
            <w:gridSpan w:val="12"/>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Singapore (Taiwan) Ltd.</w:t>
              </w:r>
            </w:hyperlink>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53"/>
        </w:trPr>
        <w:tc>
          <w:tcPr>
            <w:tcW w:w="780" w:type="dxa"/>
            <w:vAlign w:val="bottom"/>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2940" w:type="dxa"/>
            <w:vAlign w:val="bottom"/>
            <w:gridSpan w:val="11"/>
          </w:tcPr>
          <w:p>
            <w:pPr>
              <w:jc w:val="right"/>
              <w:ind w:right="240"/>
              <w:spacing w:after="0"/>
              <w:rPr>
                <w:sz w:val="20"/>
                <w:szCs w:val="20"/>
                <w:color w:val="auto"/>
              </w:rPr>
            </w:pPr>
            <w:r>
              <w:rPr>
                <w:rFonts w:ascii="Arial" w:cs="Arial" w:eastAsia="Arial" w:hAnsi="Arial"/>
                <w:sz w:val="18"/>
                <w:szCs w:val="18"/>
                <w:color w:val="auto"/>
              </w:rPr>
              <w:t>67</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20" w:type="dxa"/>
            <w:vAlign w:val="bottom"/>
            <w:gridSpan w:val="2"/>
          </w:tcPr>
          <w:p>
            <w:pPr>
              <w:ind w:left="740"/>
              <w:spacing w:after="0"/>
              <w:rPr>
                <w:sz w:val="20"/>
                <w:szCs w:val="20"/>
                <w:color w:val="auto"/>
              </w:rPr>
            </w:pPr>
            <w:r>
              <w:rPr>
                <w:rFonts w:ascii="Arial" w:cs="Arial" w:eastAsia="Arial" w:hAnsi="Arial"/>
                <w:sz w:val="18"/>
                <w:szCs w:val="18"/>
                <w:b w:val="1"/>
                <w:bCs w:val="1"/>
                <w:color w:val="auto"/>
                <w:w w:val="89"/>
              </w:rPr>
              <w:t>Incorporated By Reference</w:t>
            </w:r>
          </w:p>
        </w:tc>
        <w:tc>
          <w:tcPr>
            <w:tcW w:w="1420" w:type="dxa"/>
            <w:vAlign w:val="bottom"/>
          </w:tcPr>
          <w:p>
            <w:pPr>
              <w:spacing w:after="0"/>
              <w:rPr>
                <w:sz w:val="18"/>
                <w:szCs w:val="18"/>
                <w:color w:val="auto"/>
              </w:rPr>
            </w:pPr>
          </w:p>
        </w:tc>
      </w:tr>
      <w:tr>
        <w:trPr>
          <w:trHeight w:val="220"/>
        </w:trPr>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Number</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24"/>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Form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6"/>
              </w:rPr>
              <w:t>Exhibit</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112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10.17.1</w:t>
            </w:r>
          </w:p>
        </w:tc>
        <w:tc>
          <w:tcPr>
            <w:tcW w:w="4420" w:type="dxa"/>
            <w:vAlign w:val="bottom"/>
            <w:tcBorders>
              <w:bottom w:val="single" w:sz="8" w:color="0000EE"/>
            </w:tcBorders>
            <w:gridSpan w:val="27"/>
          </w:tcPr>
          <w:p>
            <w:pPr>
              <w:spacing w:after="0" w:line="190"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Conditions Governing Facilities Granted by and Transactions</w:t>
              </w:r>
            </w:hyperlink>
          </w:p>
        </w:tc>
        <w:tc>
          <w:tcPr>
            <w:tcW w:w="1160" w:type="dxa"/>
            <w:vAlign w:val="bottom"/>
          </w:tcPr>
          <w:p>
            <w:pPr>
              <w:jc w:val="center"/>
              <w:ind w:left="70"/>
              <w:spacing w:after="0" w:line="190"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line="190" w:lineRule="exact"/>
              <w:rPr>
                <w:sz w:val="20"/>
                <w:szCs w:val="20"/>
                <w:color w:val="auto"/>
              </w:rPr>
            </w:pPr>
            <w:r>
              <w:rPr>
                <w:rFonts w:ascii="Arial" w:cs="Arial" w:eastAsia="Arial" w:hAnsi="Arial"/>
                <w:sz w:val="18"/>
                <w:szCs w:val="18"/>
                <w:color w:val="auto"/>
                <w:w w:val="91"/>
              </w:rPr>
              <w:t>10.2</w:t>
            </w:r>
          </w:p>
        </w:tc>
        <w:tc>
          <w:tcPr>
            <w:tcW w:w="1420" w:type="dxa"/>
            <w:vAlign w:val="bottom"/>
          </w:tcPr>
          <w:p>
            <w:pPr>
              <w:jc w:val="center"/>
              <w:spacing w:after="0" w:line="190" w:lineRule="exact"/>
              <w:rPr>
                <w:sz w:val="20"/>
                <w:szCs w:val="20"/>
                <w:color w:val="auto"/>
              </w:rPr>
            </w:pPr>
            <w:r>
              <w:rPr>
                <w:rFonts w:ascii="Arial" w:cs="Arial" w:eastAsia="Arial" w:hAnsi="Arial"/>
                <w:sz w:val="18"/>
                <w:szCs w:val="18"/>
                <w:color w:val="auto"/>
                <w:w w:val="89"/>
              </w:rPr>
              <w:t>October 9, 2018</w:t>
            </w:r>
          </w:p>
        </w:tc>
      </w:tr>
      <w:tr>
        <w:trPr>
          <w:trHeight w:val="196"/>
        </w:trPr>
        <w:tc>
          <w:tcPr>
            <w:tcW w:w="1120" w:type="dxa"/>
            <w:vAlign w:val="bottom"/>
          </w:tcPr>
          <w:p>
            <w:pPr>
              <w:spacing w:after="0"/>
              <w:rPr>
                <w:sz w:val="17"/>
                <w:szCs w:val="17"/>
                <w:color w:val="auto"/>
              </w:rPr>
            </w:pPr>
          </w:p>
        </w:tc>
        <w:tc>
          <w:tcPr>
            <w:tcW w:w="44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Entered into with DBS Bank (Taiwan) Ltd., dated October 3,</w:t>
              </w:r>
            </w:hyperlink>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2018, between Prime World International Holdings Ltd. and</w:t>
              </w:r>
            </w:hyperlink>
          </w:p>
        </w:tc>
        <w:tc>
          <w:tcPr>
            <w:tcW w:w="8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the Development Bank of Singapore (Taiwan) Ltd.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10.18</w:t>
            </w:r>
          </w:p>
        </w:tc>
        <w:tc>
          <w:tcPr>
            <w:tcW w:w="4300" w:type="dxa"/>
            <w:vAlign w:val="bottom"/>
            <w:tcBorders>
              <w:bottom w:val="single" w:sz="8" w:color="0000EE"/>
            </w:tcBorders>
            <w:gridSpan w:val="21"/>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First Amendment to Lease, dated October 8, 2018, between</w:t>
              </w:r>
            </w:hyperlink>
          </w:p>
        </w:tc>
        <w:tc>
          <w:tcPr>
            <w:tcW w:w="120" w:type="dxa"/>
            <w:vAlign w:val="bottom"/>
            <w:gridSpan w:val="6"/>
          </w:tcPr>
          <w:p>
            <w:pPr>
              <w:spacing w:after="0"/>
              <w:rPr>
                <w:sz w:val="24"/>
                <w:szCs w:val="24"/>
                <w:color w:val="auto"/>
              </w:rPr>
            </w:pP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October 12, 2018</w:t>
            </w:r>
          </w:p>
        </w:tc>
      </w:tr>
      <w:tr>
        <w:trPr>
          <w:trHeight w:val="196"/>
        </w:trPr>
        <w:tc>
          <w:tcPr>
            <w:tcW w:w="1120" w:type="dxa"/>
            <w:vAlign w:val="bottom"/>
          </w:tcPr>
          <w:p>
            <w:pPr>
              <w:spacing w:after="0"/>
              <w:rPr>
                <w:sz w:val="17"/>
                <w:szCs w:val="17"/>
                <w:color w:val="auto"/>
              </w:rPr>
            </w:pPr>
          </w:p>
        </w:tc>
        <w:tc>
          <w:tcPr>
            <w:tcW w:w="43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Applied Optoelectronics, Inc. and GIG VAOI Breckinridge,</w:t>
              </w:r>
            </w:hyperlink>
          </w:p>
        </w:tc>
        <w:tc>
          <w:tcPr>
            <w:tcW w:w="10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LLC.</w:t>
              </w:r>
            </w:hyperlink>
          </w:p>
        </w:tc>
        <w:tc>
          <w:tcPr>
            <w:tcW w:w="4020" w:type="dxa"/>
            <w:vAlign w:val="bottom"/>
            <w:gridSpan w:val="26"/>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10.19</w:t>
            </w:r>
          </w:p>
        </w:tc>
        <w:tc>
          <w:tcPr>
            <w:tcW w:w="4180" w:type="dxa"/>
            <w:vAlign w:val="bottom"/>
            <w:tcBorders>
              <w:bottom w:val="single" w:sz="8" w:color="0000EE"/>
            </w:tcBorders>
            <w:gridSpan w:val="18"/>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Translation of Purchase and Sale Contract, Finance Lease</w:t>
              </w:r>
            </w:hyperlink>
          </w:p>
        </w:tc>
        <w:tc>
          <w:tcPr>
            <w:tcW w:w="240" w:type="dxa"/>
            <w:vAlign w:val="bottom"/>
            <w:gridSpan w:val="9"/>
          </w:tcPr>
          <w:p>
            <w:pPr>
              <w:spacing w:after="0"/>
              <w:rPr>
                <w:sz w:val="24"/>
                <w:szCs w:val="24"/>
                <w:color w:val="auto"/>
              </w:rPr>
            </w:pP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6, 2018</w:t>
            </w:r>
          </w:p>
        </w:tc>
      </w:tr>
      <w:tr>
        <w:trPr>
          <w:trHeight w:val="196"/>
        </w:trPr>
        <w:tc>
          <w:tcPr>
            <w:tcW w:w="1120" w:type="dxa"/>
            <w:vAlign w:val="bottom"/>
          </w:tcPr>
          <w:p>
            <w:pPr>
              <w:spacing w:after="0"/>
              <w:rPr>
                <w:sz w:val="17"/>
                <w:szCs w:val="17"/>
                <w:color w:val="auto"/>
              </w:rPr>
            </w:pPr>
          </w:p>
        </w:tc>
        <w:tc>
          <w:tcPr>
            <w:tcW w:w="43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Agreement and Promissory Note, dated November 29, 2019,</w:t>
              </w:r>
            </w:hyperlink>
          </w:p>
        </w:tc>
        <w:tc>
          <w:tcPr>
            <w:tcW w:w="4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between Prime World International Holdings, Ltd., and</w:t>
              </w:r>
            </w:hyperlink>
          </w:p>
        </w:tc>
        <w:tc>
          <w:tcPr>
            <w:tcW w:w="440" w:type="dxa"/>
            <w:vAlign w:val="bottom"/>
            <w:gridSpan w:val="14"/>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Chailease Finance Co., Ltd.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10.20</w:t>
            </w:r>
          </w:p>
        </w:tc>
        <w:tc>
          <w:tcPr>
            <w:tcW w:w="4420" w:type="dxa"/>
            <w:vAlign w:val="bottom"/>
            <w:gridSpan w:val="27"/>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Translation of Agreement for Individually Negotiated Terms</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17, 2018</w:t>
            </w:r>
          </w:p>
        </w:tc>
      </w:tr>
      <w:tr>
        <w:trPr>
          <w:trHeight w:val="196"/>
        </w:trPr>
        <w:tc>
          <w:tcPr>
            <w:tcW w:w="11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and Conditions, dated December 11, 2018, between Prime</w:t>
              </w:r>
            </w:hyperlink>
          </w:p>
        </w:tc>
        <w:tc>
          <w:tcPr>
            <w:tcW w:w="16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18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42">
              <w:r>
                <w:rPr>
                  <w:rFonts w:ascii="Arial" w:cs="Arial" w:eastAsia="Arial" w:hAnsi="Arial"/>
                  <w:sz w:val="18"/>
                  <w:szCs w:val="18"/>
                  <w:color w:val="0000EE"/>
                  <w:w w:val="93"/>
                </w:rPr>
                <w:t>World International Holdings, Ltd., and CTBC Bank, Ltd.</w:t>
              </w:r>
            </w:hyperlink>
          </w:p>
        </w:tc>
        <w:tc>
          <w:tcPr>
            <w:tcW w:w="240" w:type="dxa"/>
            <w:vAlign w:val="bottom"/>
            <w:gridSpan w:val="9"/>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10.20.1</w:t>
            </w:r>
          </w:p>
        </w:tc>
        <w:tc>
          <w:tcPr>
            <w:tcW w:w="4420" w:type="dxa"/>
            <w:vAlign w:val="bottom"/>
            <w:gridSpan w:val="27"/>
          </w:tcPr>
          <w:p>
            <w:pPr>
              <w:spacing w:after="0"/>
              <w:rPr>
                <w:rFonts w:ascii="Arial" w:cs="Arial" w:eastAsia="Arial" w:hAnsi="Arial"/>
                <w:sz w:val="18"/>
                <w:szCs w:val="18"/>
                <w:color w:val="0000EE"/>
                <w:w w:val="98"/>
              </w:rPr>
            </w:pPr>
            <w:hyperlink r:id="rId143">
              <w:r>
                <w:rPr>
                  <w:rFonts w:ascii="Arial" w:cs="Arial" w:eastAsia="Arial" w:hAnsi="Arial"/>
                  <w:sz w:val="18"/>
                  <w:szCs w:val="18"/>
                  <w:color w:val="0000EE"/>
                  <w:w w:val="98"/>
                </w:rPr>
                <w:t>Translation of Approval Notice, dated October 31, 2018,</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10.2</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17, 2018</w:t>
            </w:r>
          </w:p>
        </w:tc>
      </w:tr>
      <w:tr>
        <w:trPr>
          <w:trHeight w:val="196"/>
        </w:trPr>
        <w:tc>
          <w:tcPr>
            <w:tcW w:w="11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between Prime World International Holdings, Ltd., and</w:t>
              </w:r>
            </w:hyperlink>
          </w:p>
        </w:tc>
        <w:tc>
          <w:tcPr>
            <w:tcW w:w="100" w:type="dxa"/>
            <w:vAlign w:val="bottom"/>
            <w:tcBorders>
              <w:top w:val="single" w:sz="8" w:color="0000EE"/>
            </w:tcBorders>
          </w:tcPr>
          <w:p>
            <w:pPr>
              <w:spacing w:after="0"/>
              <w:rPr>
                <w:sz w:val="17"/>
                <w:szCs w:val="17"/>
                <w:color w:val="auto"/>
              </w:rPr>
            </w:pPr>
          </w:p>
        </w:tc>
        <w:tc>
          <w:tcPr>
            <w:tcW w:w="340" w:type="dxa"/>
            <w:vAlign w:val="bottom"/>
            <w:gridSpan w:val="13"/>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CTBC Bank, Ltd.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10.20.2</w:t>
            </w:r>
          </w:p>
        </w:tc>
        <w:tc>
          <w:tcPr>
            <w:tcW w:w="4420" w:type="dxa"/>
            <w:vAlign w:val="bottom"/>
            <w:tcBorders>
              <w:bottom w:val="single" w:sz="8" w:color="0000EE"/>
            </w:tcBorders>
            <w:gridSpan w:val="27"/>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Translation of General Agreement for Omnibus Credit Lines,</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17, 2018</w:t>
            </w: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dated December 11, 2018, between Prime World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International Holdings, Ltd., and CTBC Bank, Ltd.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10.20.3</w:t>
            </w:r>
          </w:p>
        </w:tc>
        <w:tc>
          <w:tcPr>
            <w:tcW w:w="4420" w:type="dxa"/>
            <w:vAlign w:val="bottom"/>
            <w:gridSpan w:val="27"/>
          </w:tcPr>
          <w:p>
            <w:pPr>
              <w:spacing w:after="0"/>
              <w:rPr>
                <w:rFonts w:ascii="Arial" w:cs="Arial" w:eastAsia="Arial" w:hAnsi="Arial"/>
                <w:sz w:val="18"/>
                <w:szCs w:val="18"/>
                <w:color w:val="0000EE"/>
              </w:rPr>
            </w:pPr>
            <w:hyperlink r:id="rId145">
              <w:r>
                <w:rPr>
                  <w:rFonts w:ascii="Arial" w:cs="Arial" w:eastAsia="Arial" w:hAnsi="Arial"/>
                  <w:sz w:val="18"/>
                  <w:szCs w:val="18"/>
                  <w:color w:val="0000EE"/>
                </w:rPr>
                <w:t>Translation of Promissory Note, dated December 11,</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10.4</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17, 2018</w:t>
            </w: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4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2018, between Prime World International Holdings, Ltd., and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CTBC Bank, Ltd.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10.21</w:t>
            </w:r>
          </w:p>
        </w:tc>
        <w:tc>
          <w:tcPr>
            <w:tcW w:w="4160" w:type="dxa"/>
            <w:vAlign w:val="bottom"/>
            <w:tcBorders>
              <w:bottom w:val="single" w:sz="8" w:color="0000EE"/>
            </w:tcBorders>
            <w:gridSpan w:val="17"/>
          </w:tcPr>
          <w:p>
            <w:pPr>
              <w:spacing w:after="0"/>
              <w:rPr>
                <w:rFonts w:ascii="Arial" w:cs="Arial" w:eastAsia="Arial" w:hAnsi="Arial"/>
                <w:sz w:val="18"/>
                <w:szCs w:val="18"/>
                <w:color w:val="0000EE"/>
                <w:w w:val="88"/>
              </w:rPr>
            </w:pPr>
            <w:hyperlink r:id="rId146">
              <w:r>
                <w:rPr>
                  <w:rFonts w:ascii="Arial" w:cs="Arial" w:eastAsia="Arial" w:hAnsi="Arial"/>
                  <w:sz w:val="18"/>
                  <w:szCs w:val="18"/>
                  <w:color w:val="0000EE"/>
                  <w:w w:val="88"/>
                </w:rPr>
                <w:t>Translation of Purchase and Sale Contract, Finance Lease</w:t>
              </w:r>
            </w:hyperlink>
          </w:p>
        </w:tc>
        <w:tc>
          <w:tcPr>
            <w:tcW w:w="260" w:type="dxa"/>
            <w:vAlign w:val="bottom"/>
            <w:gridSpan w:val="10"/>
          </w:tcPr>
          <w:p>
            <w:pPr>
              <w:spacing w:after="0"/>
              <w:rPr>
                <w:sz w:val="24"/>
                <w:szCs w:val="24"/>
                <w:color w:val="auto"/>
              </w:rPr>
            </w:pP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January 25, 2019</w:t>
            </w: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Agreement and Promissory Note, dated January 21,</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3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2019, between Prime World International Holdings, Ltd. and</w:t>
              </w:r>
            </w:hyperlink>
          </w:p>
        </w:tc>
        <w:tc>
          <w:tcPr>
            <w:tcW w:w="4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Chailease Finance Co., Ltd.</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10.22</w:t>
            </w:r>
          </w:p>
        </w:tc>
        <w:tc>
          <w:tcPr>
            <w:tcW w:w="4420" w:type="dxa"/>
            <w:vAlign w:val="bottom"/>
            <w:gridSpan w:val="27"/>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Second Amendment to Loan Agreement, dated February 1,</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February 7, 2019</w:t>
            </w:r>
          </w:p>
        </w:tc>
      </w:tr>
      <w:tr>
        <w:trPr>
          <w:trHeight w:val="196"/>
        </w:trPr>
        <w:tc>
          <w:tcPr>
            <w:tcW w:w="11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2019, between Applied Optoelectronics, Inc. and Branch</w:t>
              </w:r>
            </w:hyperlink>
          </w:p>
        </w:tc>
        <w:tc>
          <w:tcPr>
            <w:tcW w:w="160" w:type="dxa"/>
            <w:vAlign w:val="bottom"/>
            <w:tcBorders>
              <w:top w:val="single" w:sz="8" w:color="0000EE"/>
            </w:tcBorders>
            <w:gridSpan w:val="5"/>
          </w:tcPr>
          <w:p>
            <w:pPr>
              <w:spacing w:after="0"/>
              <w:rPr>
                <w:sz w:val="17"/>
                <w:szCs w:val="17"/>
                <w:color w:val="auto"/>
              </w:rPr>
            </w:pPr>
          </w:p>
        </w:tc>
        <w:tc>
          <w:tcPr>
            <w:tcW w:w="160" w:type="dxa"/>
            <w:vAlign w:val="bottom"/>
            <w:gridSpan w:val="7"/>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Banking and Trust Company</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10.23</w:t>
            </w:r>
          </w:p>
        </w:tc>
        <w:tc>
          <w:tcPr>
            <w:tcW w:w="4420" w:type="dxa"/>
            <w:vAlign w:val="bottom"/>
            <w:gridSpan w:val="27"/>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Purchase Agreement, dated as of February 28, 2019 by and</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196"/>
        </w:trPr>
        <w:tc>
          <w:tcPr>
            <w:tcW w:w="1120" w:type="dxa"/>
            <w:vAlign w:val="bottom"/>
          </w:tcPr>
          <w:p>
            <w:pPr>
              <w:spacing w:after="0"/>
              <w:rPr>
                <w:sz w:val="17"/>
                <w:szCs w:val="17"/>
                <w:color w:val="auto"/>
              </w:rPr>
            </w:pPr>
          </w:p>
        </w:tc>
        <w:tc>
          <w:tcPr>
            <w:tcW w:w="426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among Applied Optoelectronics, Inc., Raymond James &amp;</w:t>
              </w:r>
            </w:hyperlink>
          </w:p>
        </w:tc>
        <w:tc>
          <w:tcPr>
            <w:tcW w:w="160" w:type="dxa"/>
            <w:vAlign w:val="bottom"/>
            <w:gridSpan w:val="7"/>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Associates, Inc. and Cowen and Company, LLC</w:t>
              </w:r>
            </w:hyperlink>
          </w:p>
        </w:tc>
        <w:tc>
          <w:tcPr>
            <w:tcW w:w="300" w:type="dxa"/>
            <w:vAlign w:val="bottom"/>
            <w:gridSpan w:val="11"/>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10.23.1</w:t>
            </w:r>
          </w:p>
        </w:tc>
        <w:tc>
          <w:tcPr>
            <w:tcW w:w="4420" w:type="dxa"/>
            <w:vAlign w:val="bottom"/>
            <w:gridSpan w:val="27"/>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Third Amendment to Loan Agreement, dated March 5, 2019,</w:t>
              </w:r>
            </w:hyperlink>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10.2</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196"/>
        </w:trPr>
        <w:tc>
          <w:tcPr>
            <w:tcW w:w="1120" w:type="dxa"/>
            <w:vAlign w:val="bottom"/>
          </w:tcPr>
          <w:p>
            <w:pPr>
              <w:spacing w:after="0"/>
              <w:rPr>
                <w:sz w:val="17"/>
                <w:szCs w:val="17"/>
                <w:color w:val="auto"/>
              </w:rPr>
            </w:pPr>
          </w:p>
        </w:tc>
        <w:tc>
          <w:tcPr>
            <w:tcW w:w="4400" w:type="dxa"/>
            <w:vAlign w:val="bottom"/>
            <w:tcBorders>
              <w:top w:val="single" w:sz="8" w:color="0000EE"/>
            </w:tcBorders>
            <w:gridSpan w:val="26"/>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between Applied Optoelectronics, Inc. and Branch Banking</w:t>
              </w:r>
            </w:hyperlink>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and Trust Company</w:t>
              </w:r>
            </w:hyperlink>
          </w:p>
        </w:tc>
        <w:tc>
          <w:tcPr>
            <w:tcW w:w="12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1120" w:type="dxa"/>
            <w:vAlign w:val="bottom"/>
          </w:tcPr>
          <w:p>
            <w:pPr>
              <w:jc w:val="right"/>
              <w:ind w:right="150"/>
              <w:spacing w:after="0"/>
              <w:rPr>
                <w:sz w:val="20"/>
                <w:szCs w:val="20"/>
                <w:color w:val="auto"/>
              </w:rPr>
            </w:pPr>
            <w:r>
              <w:rPr>
                <w:rFonts w:ascii="Arial" w:cs="Arial" w:eastAsia="Arial" w:hAnsi="Arial"/>
                <w:sz w:val="18"/>
                <w:szCs w:val="18"/>
                <w:color w:val="auto"/>
              </w:rPr>
              <w:t>10.24</w:t>
            </w:r>
          </w:p>
        </w:tc>
        <w:tc>
          <w:tcPr>
            <w:tcW w:w="3920" w:type="dxa"/>
            <w:vAlign w:val="bottom"/>
            <w:tcBorders>
              <w:bottom w:val="single" w:sz="8" w:color="0000EE"/>
            </w:tcBorders>
            <w:gridSpan w:val="12"/>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Translation of Approval Notice between, Prime World</w:t>
              </w:r>
            </w:hyperlink>
          </w:p>
        </w:tc>
        <w:tc>
          <w:tcPr>
            <w:tcW w:w="500" w:type="dxa"/>
            <w:vAlign w:val="bottom"/>
            <w:gridSpan w:val="15"/>
          </w:tcPr>
          <w:p>
            <w:pPr>
              <w:spacing w:after="0"/>
              <w:rPr>
                <w:sz w:val="24"/>
                <w:szCs w:val="24"/>
                <w:color w:val="auto"/>
              </w:rPr>
            </w:pPr>
          </w:p>
        </w:tc>
        <w:tc>
          <w:tcPr>
            <w:tcW w:w="116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196"/>
        </w:trPr>
        <w:tc>
          <w:tcPr>
            <w:tcW w:w="1120" w:type="dxa"/>
            <w:vAlign w:val="bottom"/>
          </w:tcPr>
          <w:p>
            <w:pPr>
              <w:spacing w:after="0"/>
              <w:rPr>
                <w:sz w:val="17"/>
                <w:szCs w:val="17"/>
                <w:color w:val="auto"/>
              </w:rPr>
            </w:pPr>
          </w:p>
        </w:tc>
        <w:tc>
          <w:tcPr>
            <w:tcW w:w="42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International Holdings, Ltd., and Far Eastern International</w:t>
              </w:r>
            </w:hyperlink>
          </w:p>
        </w:tc>
        <w:tc>
          <w:tcPr>
            <w:tcW w:w="22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20" w:type="dxa"/>
            <w:vAlign w:val="bottom"/>
            <w:gridSpan w:val="2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Bank Co., Ltd., dated April 11, 2019</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1180"/>
          </w:cols>
          <w:pgMar w:left="240" w:top="108" w:right="47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10.24.1</w:t>
            </w:r>
          </w:p>
        </w:tc>
        <w:tc>
          <w:tcPr>
            <w:tcW w:w="3940" w:type="dxa"/>
            <w:vAlign w:val="bottom"/>
            <w:tcBorders>
              <w:bottom w:val="single" w:sz="8" w:color="0000EE"/>
            </w:tcBorders>
            <w:gridSpan w:val="15"/>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Translation of Comprehensive Credit Facilities Master</w:t>
              </w:r>
            </w:hyperlink>
          </w:p>
        </w:tc>
        <w:tc>
          <w:tcPr>
            <w:tcW w:w="740" w:type="dxa"/>
            <w:vAlign w:val="bottom"/>
            <w:gridSpan w:val="21"/>
          </w:tcPr>
          <w:p>
            <w:pPr>
              <w:spacing w:after="0"/>
              <w:rPr>
                <w:sz w:val="17"/>
                <w:szCs w:val="17"/>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196"/>
        </w:trPr>
        <w:tc>
          <w:tcPr>
            <w:tcW w:w="1340" w:type="dxa"/>
            <w:vAlign w:val="bottom"/>
          </w:tcPr>
          <w:p>
            <w:pPr>
              <w:spacing w:after="0"/>
              <w:rPr>
                <w:sz w:val="17"/>
                <w:szCs w:val="17"/>
                <w:color w:val="auto"/>
              </w:rPr>
            </w:pPr>
          </w:p>
        </w:tc>
        <w:tc>
          <w:tcPr>
            <w:tcW w:w="42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Agreement between, Prime World International Holdings,</w:t>
              </w:r>
            </w:hyperlink>
          </w:p>
        </w:tc>
        <w:tc>
          <w:tcPr>
            <w:tcW w:w="48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Ltd., and Far Eastern International Bank Co., Ltd., dated</w:t>
              </w:r>
            </w:hyperlink>
          </w:p>
        </w:tc>
        <w:tc>
          <w:tcPr>
            <w:tcW w:w="60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51">
              <w:r>
                <w:rPr>
                  <w:rFonts w:ascii="Arial" w:cs="Arial" w:eastAsia="Arial" w:hAnsi="Arial"/>
                  <w:sz w:val="18"/>
                  <w:szCs w:val="18"/>
                  <w:color w:val="0000EE"/>
                  <w:w w:val="93"/>
                </w:rPr>
                <w:t>April 11, 2019</w:t>
              </w:r>
            </w:hyperlink>
          </w:p>
        </w:tc>
        <w:tc>
          <w:tcPr>
            <w:tcW w:w="3620" w:type="dxa"/>
            <w:vAlign w:val="bottom"/>
            <w:gridSpan w:val="3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10.24.2</w:t>
            </w:r>
          </w:p>
        </w:tc>
        <w:tc>
          <w:tcPr>
            <w:tcW w:w="4200" w:type="dxa"/>
            <w:vAlign w:val="bottom"/>
            <w:tcBorders>
              <w:bottom w:val="single" w:sz="8" w:color="0000EE"/>
            </w:tcBorders>
            <w:gridSpan w:val="25"/>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Translation of Credit Terms / Financial Transaction Terms</w:t>
              </w:r>
            </w:hyperlink>
          </w:p>
        </w:tc>
        <w:tc>
          <w:tcPr>
            <w:tcW w:w="480" w:type="dxa"/>
            <w:vAlign w:val="bottom"/>
            <w:gridSpan w:val="11"/>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196"/>
        </w:trPr>
        <w:tc>
          <w:tcPr>
            <w:tcW w:w="1340" w:type="dxa"/>
            <w:vAlign w:val="bottom"/>
          </w:tcPr>
          <w:p>
            <w:pPr>
              <w:spacing w:after="0"/>
              <w:rPr>
                <w:sz w:val="17"/>
                <w:szCs w:val="17"/>
                <w:color w:val="auto"/>
              </w:rPr>
            </w:pPr>
          </w:p>
        </w:tc>
        <w:tc>
          <w:tcPr>
            <w:tcW w:w="42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Agreement between, Prime World International Holdings,</w:t>
              </w:r>
            </w:hyperlink>
          </w:p>
        </w:tc>
        <w:tc>
          <w:tcPr>
            <w:tcW w:w="48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Ltd., and Far Eastern International Bank Co., Ltd., dated</w:t>
              </w:r>
            </w:hyperlink>
          </w:p>
        </w:tc>
        <w:tc>
          <w:tcPr>
            <w:tcW w:w="60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52">
              <w:r>
                <w:rPr>
                  <w:rFonts w:ascii="Arial" w:cs="Arial" w:eastAsia="Arial" w:hAnsi="Arial"/>
                  <w:sz w:val="18"/>
                  <w:szCs w:val="18"/>
                  <w:color w:val="0000EE"/>
                  <w:w w:val="93"/>
                </w:rPr>
                <w:t>April 11, 2019</w:t>
              </w:r>
            </w:hyperlink>
          </w:p>
        </w:tc>
        <w:tc>
          <w:tcPr>
            <w:tcW w:w="3620" w:type="dxa"/>
            <w:vAlign w:val="bottom"/>
            <w:gridSpan w:val="3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10.24.3</w:t>
            </w:r>
          </w:p>
        </w:tc>
        <w:tc>
          <w:tcPr>
            <w:tcW w:w="4680" w:type="dxa"/>
            <w:vAlign w:val="bottom"/>
            <w:gridSpan w:val="36"/>
          </w:tcPr>
          <w:p>
            <w:pPr>
              <w:spacing w:after="0"/>
              <w:rPr>
                <w:rFonts w:ascii="Arial" w:cs="Arial" w:eastAsia="Arial" w:hAnsi="Arial"/>
                <w:sz w:val="18"/>
                <w:szCs w:val="18"/>
                <w:color w:val="0000EE"/>
              </w:rPr>
            </w:pPr>
            <w:hyperlink r:id="rId153">
              <w:r>
                <w:rPr>
                  <w:rFonts w:ascii="Arial" w:cs="Arial" w:eastAsia="Arial" w:hAnsi="Arial"/>
                  <w:sz w:val="18"/>
                  <w:szCs w:val="18"/>
                  <w:color w:val="0000EE"/>
                </w:rPr>
                <w:t>Translation of Promissory Note between, Prime World</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International Holdings, Ltd., and Far Eastern International</w:t>
              </w:r>
            </w:hyperlink>
          </w:p>
        </w:tc>
        <w:tc>
          <w:tcPr>
            <w:tcW w:w="4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Bank Co., Ltd., dated April 11, 2019</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10.25</w:t>
            </w:r>
          </w:p>
        </w:tc>
        <w:tc>
          <w:tcPr>
            <w:tcW w:w="4000" w:type="dxa"/>
            <w:vAlign w:val="bottom"/>
            <w:tcBorders>
              <w:bottom w:val="single" w:sz="8" w:color="0000EE"/>
            </w:tcBorders>
            <w:gridSpan w:val="17"/>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Translation of the Credit Granting Agreement, between</w:t>
              </w:r>
            </w:hyperlink>
          </w:p>
        </w:tc>
        <w:tc>
          <w:tcPr>
            <w:tcW w:w="680" w:type="dxa"/>
            <w:vAlign w:val="bottom"/>
            <w:gridSpan w:val="19"/>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April 25, 2019</w:t>
            </w:r>
          </w:p>
        </w:tc>
      </w:tr>
      <w:tr>
        <w:trPr>
          <w:trHeight w:val="196"/>
        </w:trPr>
        <w:tc>
          <w:tcPr>
            <w:tcW w:w="134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Global Technology, Inc. and China Merchants Bank Co.,</w:t>
              </w:r>
            </w:hyperlink>
          </w:p>
        </w:tc>
        <w:tc>
          <w:tcPr>
            <w:tcW w:w="58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Ltd., dated April 19, 2019</w:t>
              </w:r>
            </w:hyperlink>
          </w:p>
        </w:tc>
        <w:tc>
          <w:tcPr>
            <w:tcW w:w="2800" w:type="dxa"/>
            <w:vAlign w:val="bottom"/>
            <w:gridSpan w:val="3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10.26</w:t>
            </w:r>
          </w:p>
        </w:tc>
        <w:tc>
          <w:tcPr>
            <w:tcW w:w="4300" w:type="dxa"/>
            <w:vAlign w:val="bottom"/>
            <w:tcBorders>
              <w:bottom w:val="single" w:sz="8" w:color="0000EE"/>
            </w:tcBorders>
            <w:gridSpan w:val="30"/>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Translation of the Working Capital Loan Contract, between</w:t>
              </w:r>
            </w:hyperlink>
          </w:p>
        </w:tc>
        <w:tc>
          <w:tcPr>
            <w:tcW w:w="380" w:type="dxa"/>
            <w:vAlign w:val="bottom"/>
            <w:gridSpan w:val="6"/>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May 6, 2019</w:t>
            </w:r>
          </w:p>
        </w:tc>
      </w:tr>
      <w:tr>
        <w:trPr>
          <w:trHeight w:val="196"/>
        </w:trPr>
        <w:tc>
          <w:tcPr>
            <w:tcW w:w="1340" w:type="dxa"/>
            <w:vAlign w:val="bottom"/>
          </w:tcPr>
          <w:p>
            <w:pPr>
              <w:spacing w:after="0"/>
              <w:rPr>
                <w:sz w:val="17"/>
                <w:szCs w:val="17"/>
                <w:color w:val="auto"/>
              </w:rPr>
            </w:pPr>
          </w:p>
        </w:tc>
        <w:tc>
          <w:tcPr>
            <w:tcW w:w="438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Global Technology, Inc. and Shanghai Pudong Development</w:t>
              </w:r>
            </w:hyperlink>
          </w:p>
        </w:tc>
        <w:tc>
          <w:tcPr>
            <w:tcW w:w="3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Bank Co., Ltd., dated April 30, 2019</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10.27</w:t>
            </w:r>
          </w:p>
        </w:tc>
        <w:tc>
          <w:tcPr>
            <w:tcW w:w="4100" w:type="dxa"/>
            <w:vAlign w:val="bottom"/>
            <w:tcBorders>
              <w:bottom w:val="single" w:sz="8" w:color="0000EE"/>
            </w:tcBorders>
            <w:gridSpan w:val="21"/>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Translation of the Working Capital Loan Contract (RMB</w:t>
              </w:r>
            </w:hyperlink>
          </w:p>
        </w:tc>
        <w:tc>
          <w:tcPr>
            <w:tcW w:w="580" w:type="dxa"/>
            <w:vAlign w:val="bottom"/>
            <w:gridSpan w:val="15"/>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13, 2019</w:t>
            </w: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30,000,000)</w:t>
              </w:r>
              <w:r>
                <w:rPr>
                  <w:rFonts w:ascii="Arial" w:cs="Arial" w:eastAsia="Arial" w:hAnsi="Arial"/>
                  <w:sz w:val="18"/>
                  <w:szCs w:val="18"/>
                  <w:u w:val="single" w:color="auto"/>
                  <w:color w:val="0000EE"/>
                  <w:w w:val="96"/>
                </w:rPr>
                <w:t>,</w:t>
              </w:r>
              <w:r>
                <w:rPr>
                  <w:rFonts w:ascii="Arial" w:cs="Arial" w:eastAsia="Arial" w:hAnsi="Arial"/>
                  <w:sz w:val="18"/>
                  <w:szCs w:val="18"/>
                  <w:color w:val="0000EE"/>
                  <w:w w:val="96"/>
                </w:rPr>
                <w:t xml:space="preserve"> between Global Technology, Inc. and Shanghai</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Pudong Development Bank Co., Ltd., dated May 7, 2019</w:t>
              </w:r>
            </w:hyperlink>
          </w:p>
        </w:tc>
        <w:tc>
          <w:tcPr>
            <w:tcW w:w="220" w:type="dxa"/>
            <w:vAlign w:val="bottom"/>
            <w:tcBorders>
              <w:top w:val="single" w:sz="8" w:color="0000EE"/>
            </w:tcBorders>
            <w:gridSpan w:val="9"/>
          </w:tcPr>
          <w:p>
            <w:pPr>
              <w:spacing w:after="0"/>
              <w:rPr>
                <w:sz w:val="17"/>
                <w:szCs w:val="17"/>
                <w:color w:val="auto"/>
              </w:rPr>
            </w:pPr>
          </w:p>
        </w:tc>
        <w:tc>
          <w:tcPr>
            <w:tcW w:w="3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80"/>
        </w:trPr>
        <w:tc>
          <w:tcPr>
            <w:tcW w:w="1340" w:type="dxa"/>
            <w:vAlign w:val="bottom"/>
          </w:tcPr>
          <w:p>
            <w:pPr>
              <w:spacing w:after="0"/>
              <w:rPr>
                <w:sz w:val="24"/>
                <w:szCs w:val="24"/>
                <w:color w:val="auto"/>
              </w:rPr>
            </w:pPr>
          </w:p>
        </w:tc>
        <w:tc>
          <w:tcPr>
            <w:tcW w:w="4680" w:type="dxa"/>
            <w:vAlign w:val="bottom"/>
            <w:gridSpan w:val="36"/>
          </w:tcPr>
          <w:p>
            <w:pPr>
              <w:ind w:left="4280"/>
              <w:spacing w:after="0"/>
              <w:rPr>
                <w:sz w:val="20"/>
                <w:szCs w:val="20"/>
                <w:color w:val="auto"/>
              </w:rPr>
            </w:pPr>
            <w:r>
              <w:rPr>
                <w:rFonts w:ascii="Arial" w:cs="Arial" w:eastAsia="Arial" w:hAnsi="Arial"/>
                <w:sz w:val="18"/>
                <w:szCs w:val="18"/>
                <w:color w:val="auto"/>
              </w:rPr>
              <w:t>68</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r>
        <w:trPr>
          <w:trHeight w:val="743"/>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10.27.1</w:t>
            </w:r>
          </w:p>
        </w:tc>
        <w:tc>
          <w:tcPr>
            <w:tcW w:w="4680" w:type="dxa"/>
            <w:vAlign w:val="bottom"/>
            <w:gridSpan w:val="36"/>
          </w:tcPr>
          <w:p>
            <w:pPr>
              <w:spacing w:after="0"/>
              <w:rPr>
                <w:rFonts w:ascii="Arial" w:cs="Arial" w:eastAsia="Arial" w:hAnsi="Arial"/>
                <w:sz w:val="18"/>
                <w:szCs w:val="18"/>
                <w:color w:val="0000EE"/>
              </w:rPr>
            </w:pPr>
            <w:hyperlink r:id="rId157">
              <w:r>
                <w:rPr>
                  <w:rFonts w:ascii="Arial" w:cs="Arial" w:eastAsia="Arial" w:hAnsi="Arial"/>
                  <w:sz w:val="18"/>
                  <w:szCs w:val="18"/>
                  <w:color w:val="0000EE"/>
                </w:rPr>
                <w:t>Translation of the Working Capital Loan Contract (USD</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10.2</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13, 2019</w:t>
            </w: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2,000,000)</w:t>
              </w:r>
              <w:r>
                <w:rPr>
                  <w:rFonts w:ascii="Arial" w:cs="Arial" w:eastAsia="Arial" w:hAnsi="Arial"/>
                  <w:sz w:val="18"/>
                  <w:szCs w:val="18"/>
                  <w:u w:val="single" w:color="auto"/>
                  <w:color w:val="0000EE"/>
                  <w:w w:val="89"/>
                </w:rPr>
                <w:t>,between</w:t>
              </w:r>
              <w:r>
                <w:rPr>
                  <w:rFonts w:ascii="Arial" w:cs="Arial" w:eastAsia="Arial" w:hAnsi="Arial"/>
                  <w:sz w:val="18"/>
                  <w:szCs w:val="18"/>
                  <w:color w:val="0000EE"/>
                  <w:w w:val="89"/>
                </w:rPr>
                <w:t xml:space="preserve"> Global Technology, Inc. and Shanghai</w:t>
              </w:r>
            </w:hyperlink>
          </w:p>
        </w:tc>
        <w:tc>
          <w:tcPr>
            <w:tcW w:w="46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Pudong Development Bank Co., Ltd., dated May 8, 2019</w:t>
              </w:r>
            </w:hyperlink>
          </w:p>
        </w:tc>
        <w:tc>
          <w:tcPr>
            <w:tcW w:w="56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10.28</w:t>
            </w:r>
          </w:p>
        </w:tc>
        <w:tc>
          <w:tcPr>
            <w:tcW w:w="4240" w:type="dxa"/>
            <w:vAlign w:val="bottom"/>
            <w:tcBorders>
              <w:bottom w:val="single" w:sz="8" w:color="0000EE"/>
            </w:tcBorders>
            <w:gridSpan w:val="27"/>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Translation of the Financing Credit Line Agreement, dated</w:t>
              </w:r>
            </w:hyperlink>
          </w:p>
        </w:tc>
        <w:tc>
          <w:tcPr>
            <w:tcW w:w="440" w:type="dxa"/>
            <w:vAlign w:val="bottom"/>
            <w:gridSpan w:val="9"/>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10.1</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196"/>
        </w:trPr>
        <w:tc>
          <w:tcPr>
            <w:tcW w:w="1340" w:type="dxa"/>
            <w:vAlign w:val="bottom"/>
          </w:tcPr>
          <w:p>
            <w:pPr>
              <w:spacing w:after="0"/>
              <w:rPr>
                <w:sz w:val="17"/>
                <w:szCs w:val="17"/>
                <w:color w:val="auto"/>
              </w:rPr>
            </w:pPr>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May 24, 2019, between Global Technology, Inc. and</w:t>
              </w:r>
            </w:hyperlink>
          </w:p>
        </w:tc>
        <w:tc>
          <w:tcPr>
            <w:tcW w:w="90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Shanghai Pudong Development Bank Co., Ltd.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10.28.1</w:t>
            </w:r>
          </w:p>
        </w:tc>
        <w:tc>
          <w:tcPr>
            <w:tcW w:w="4180" w:type="dxa"/>
            <w:vAlign w:val="bottom"/>
            <w:tcBorders>
              <w:bottom w:val="single" w:sz="8" w:color="0000EE"/>
            </w:tcBorders>
            <w:gridSpan w:val="24"/>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Translation of the Maximum Mortgage Contract (Security</w:t>
              </w:r>
            </w:hyperlink>
          </w:p>
        </w:tc>
        <w:tc>
          <w:tcPr>
            <w:tcW w:w="500" w:type="dxa"/>
            <w:vAlign w:val="bottom"/>
            <w:gridSpan w:val="12"/>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10.2</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31, 2019</w:t>
            </w: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Agreement), dated May 24, 2019, between Global</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Technology, Inc. and Shanghai Pudong Development Bank</w:t>
              </w:r>
            </w:hyperlink>
          </w:p>
        </w:tc>
        <w:tc>
          <w:tcPr>
            <w:tcW w:w="42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Co., Ltd.</w:t>
              </w:r>
            </w:hyperlink>
          </w:p>
        </w:tc>
        <w:tc>
          <w:tcPr>
            <w:tcW w:w="4040" w:type="dxa"/>
            <w:vAlign w:val="bottom"/>
            <w:gridSpan w:val="3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10.29</w:t>
            </w:r>
          </w:p>
        </w:tc>
        <w:tc>
          <w:tcPr>
            <w:tcW w:w="4320" w:type="dxa"/>
            <w:vAlign w:val="bottom"/>
            <w:tcBorders>
              <w:bottom w:val="single" w:sz="8" w:color="0000EE"/>
            </w:tcBorders>
            <w:gridSpan w:val="31"/>
          </w:tcPr>
          <w:p>
            <w:pPr>
              <w:spacing w:after="0"/>
              <w:rPr>
                <w:rFonts w:ascii="Arial" w:cs="Arial" w:eastAsia="Arial" w:hAnsi="Arial"/>
                <w:sz w:val="18"/>
                <w:szCs w:val="18"/>
                <w:color w:val="0000EE"/>
                <w:w w:val="92"/>
              </w:rPr>
            </w:pPr>
            <w:hyperlink r:id="rId160">
              <w:r>
                <w:rPr>
                  <w:rFonts w:ascii="Arial" w:cs="Arial" w:eastAsia="Arial" w:hAnsi="Arial"/>
                  <w:sz w:val="18"/>
                  <w:szCs w:val="18"/>
                  <w:color w:val="0000EE"/>
                  <w:w w:val="92"/>
                </w:rPr>
                <w:t xml:space="preserve">Translation of the Maximum Loan Contract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100M), dated</w:t>
              </w:r>
            </w:hyperlink>
          </w:p>
        </w:tc>
        <w:tc>
          <w:tcPr>
            <w:tcW w:w="360" w:type="dxa"/>
            <w:vAlign w:val="bottom"/>
            <w:gridSpan w:val="5"/>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10.1</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27, 2019</w:t>
            </w: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w w:val="98"/>
              </w:rPr>
            </w:pPr>
            <w:hyperlink r:id="rId160">
              <w:r>
                <w:rPr>
                  <w:rFonts w:ascii="Arial" w:cs="Arial" w:eastAsia="Arial" w:hAnsi="Arial"/>
                  <w:sz w:val="18"/>
                  <w:szCs w:val="18"/>
                  <w:color w:val="0000EE"/>
                  <w:w w:val="98"/>
                </w:rPr>
                <w:t>June 21, 2019, between Global Technology, Inc. and China</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60">
              <w:r>
                <w:rPr>
                  <w:rFonts w:ascii="Arial" w:cs="Arial" w:eastAsia="Arial" w:hAnsi="Arial"/>
                  <w:sz w:val="18"/>
                  <w:szCs w:val="18"/>
                  <w:color w:val="0000EE"/>
                  <w:w w:val="89"/>
                </w:rPr>
                <w:t>Zheshang Bank Co., Ltd</w:t>
              </w:r>
            </w:hyperlink>
          </w:p>
        </w:tc>
        <w:tc>
          <w:tcPr>
            <w:tcW w:w="2480" w:type="dxa"/>
            <w:vAlign w:val="bottom"/>
            <w:tcBorders>
              <w:top w:val="single" w:sz="8" w:color="0000EE"/>
            </w:tcBorders>
            <w:gridSpan w:val="23"/>
          </w:tcPr>
          <w:p>
            <w:pPr>
              <w:spacing w:after="0"/>
              <w:rPr>
                <w:sz w:val="17"/>
                <w:szCs w:val="17"/>
                <w:color w:val="auto"/>
              </w:rPr>
            </w:pPr>
          </w:p>
        </w:tc>
        <w:tc>
          <w:tcPr>
            <w:tcW w:w="44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10.29.1</w:t>
            </w:r>
          </w:p>
        </w:tc>
        <w:tc>
          <w:tcPr>
            <w:tcW w:w="4260" w:type="dxa"/>
            <w:vAlign w:val="bottom"/>
            <w:tcBorders>
              <w:bottom w:val="single" w:sz="8" w:color="0000EE"/>
            </w:tcBorders>
            <w:gridSpan w:val="28"/>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Translation of the Maximum Mortgage Contract (the “Real</w:t>
              </w:r>
            </w:hyperlink>
          </w:p>
        </w:tc>
        <w:tc>
          <w:tcPr>
            <w:tcW w:w="420" w:type="dxa"/>
            <w:vAlign w:val="bottom"/>
            <w:gridSpan w:val="8"/>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10.2</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27, 2019</w:t>
            </w:r>
          </w:p>
        </w:tc>
      </w:tr>
      <w:tr>
        <w:trPr>
          <w:trHeight w:val="196"/>
        </w:trPr>
        <w:tc>
          <w:tcPr>
            <w:tcW w:w="1340" w:type="dxa"/>
            <w:vAlign w:val="bottom"/>
          </w:tcPr>
          <w:p>
            <w:pPr>
              <w:spacing w:after="0"/>
              <w:rPr>
                <w:sz w:val="17"/>
                <w:szCs w:val="17"/>
                <w:color w:val="auto"/>
              </w:rPr>
            </w:pPr>
          </w:p>
        </w:tc>
        <w:tc>
          <w:tcPr>
            <w:tcW w:w="42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Estate Security Agreement”), dated June 21, 2019, between</w:t>
              </w:r>
            </w:hyperlink>
          </w:p>
        </w:tc>
        <w:tc>
          <w:tcPr>
            <w:tcW w:w="4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3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Global Technology, Inc. and China Zheshang Bank Co., Ltd</w:t>
              </w:r>
            </w:hyperlink>
          </w:p>
        </w:tc>
        <w:tc>
          <w:tcPr>
            <w:tcW w:w="3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10.29.2</w:t>
            </w:r>
          </w:p>
        </w:tc>
        <w:tc>
          <w:tcPr>
            <w:tcW w:w="4220" w:type="dxa"/>
            <w:vAlign w:val="bottom"/>
            <w:tcBorders>
              <w:bottom w:val="single" w:sz="8" w:color="0000EE"/>
            </w:tcBorders>
            <w:gridSpan w:val="26"/>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 xml:space="preserve">Translation of the Maximum Loan Contract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50M), dated</w:t>
              </w:r>
            </w:hyperlink>
          </w:p>
        </w:tc>
        <w:tc>
          <w:tcPr>
            <w:tcW w:w="460" w:type="dxa"/>
            <w:vAlign w:val="bottom"/>
            <w:gridSpan w:val="10"/>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10.3</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27, 2019</w:t>
            </w: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w w:val="98"/>
              </w:rPr>
            </w:pPr>
            <w:hyperlink r:id="rId162">
              <w:r>
                <w:rPr>
                  <w:rFonts w:ascii="Arial" w:cs="Arial" w:eastAsia="Arial" w:hAnsi="Arial"/>
                  <w:sz w:val="18"/>
                  <w:szCs w:val="18"/>
                  <w:color w:val="0000EE"/>
                  <w:w w:val="98"/>
                </w:rPr>
                <w:t>June 21, 2019, between Global Technology, Inc. and China</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Zheshang Bank Co., Ltd</w:t>
              </w:r>
            </w:hyperlink>
          </w:p>
        </w:tc>
        <w:tc>
          <w:tcPr>
            <w:tcW w:w="2480" w:type="dxa"/>
            <w:vAlign w:val="bottom"/>
            <w:tcBorders>
              <w:top w:val="single" w:sz="8" w:color="0000EE"/>
            </w:tcBorders>
            <w:gridSpan w:val="23"/>
          </w:tcPr>
          <w:p>
            <w:pPr>
              <w:spacing w:after="0"/>
              <w:rPr>
                <w:sz w:val="17"/>
                <w:szCs w:val="17"/>
                <w:color w:val="auto"/>
              </w:rPr>
            </w:pPr>
          </w:p>
        </w:tc>
        <w:tc>
          <w:tcPr>
            <w:tcW w:w="44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10.29.3</w:t>
            </w:r>
          </w:p>
        </w:tc>
        <w:tc>
          <w:tcPr>
            <w:tcW w:w="3800" w:type="dxa"/>
            <w:vAlign w:val="bottom"/>
            <w:tcBorders>
              <w:bottom w:val="single" w:sz="8" w:color="0000EE"/>
            </w:tcBorders>
            <w:gridSpan w:val="13"/>
          </w:tcPr>
          <w:p>
            <w:pPr>
              <w:spacing w:after="0"/>
              <w:rPr>
                <w:rFonts w:ascii="Arial" w:cs="Arial" w:eastAsia="Arial" w:hAnsi="Arial"/>
                <w:sz w:val="18"/>
                <w:szCs w:val="18"/>
                <w:color w:val="0000EE"/>
                <w:w w:val="91"/>
              </w:rPr>
            </w:pPr>
            <w:hyperlink r:id="rId163">
              <w:r>
                <w:rPr>
                  <w:rFonts w:ascii="Arial" w:cs="Arial" w:eastAsia="Arial" w:hAnsi="Arial"/>
                  <w:sz w:val="18"/>
                  <w:szCs w:val="18"/>
                  <w:color w:val="0000EE"/>
                  <w:w w:val="91"/>
                </w:rPr>
                <w:t>Translation of the Maximum Mortgage Contract (the</w:t>
              </w:r>
            </w:hyperlink>
          </w:p>
        </w:tc>
        <w:tc>
          <w:tcPr>
            <w:tcW w:w="880" w:type="dxa"/>
            <w:vAlign w:val="bottom"/>
            <w:gridSpan w:val="23"/>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1"/>
              </w:rPr>
              <w:t>10.4</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27, 2019</w:t>
            </w:r>
          </w:p>
        </w:tc>
      </w:tr>
      <w:tr>
        <w:trPr>
          <w:trHeight w:val="196"/>
        </w:trPr>
        <w:tc>
          <w:tcPr>
            <w:tcW w:w="134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“Machinery and Equipment Security Agreement”), dated</w:t>
              </w:r>
            </w:hyperlink>
          </w:p>
        </w:tc>
        <w:tc>
          <w:tcPr>
            <w:tcW w:w="58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w w:val="98"/>
              </w:rPr>
            </w:pPr>
            <w:hyperlink r:id="rId163">
              <w:r>
                <w:rPr>
                  <w:rFonts w:ascii="Arial" w:cs="Arial" w:eastAsia="Arial" w:hAnsi="Arial"/>
                  <w:sz w:val="18"/>
                  <w:szCs w:val="18"/>
                  <w:color w:val="0000EE"/>
                  <w:w w:val="98"/>
                </w:rPr>
                <w:t>June 21, 2019, between Global Technology, Inc. and China</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Zheshang Bank Co., Ltd</w:t>
              </w:r>
            </w:hyperlink>
          </w:p>
        </w:tc>
        <w:tc>
          <w:tcPr>
            <w:tcW w:w="2480" w:type="dxa"/>
            <w:vAlign w:val="bottom"/>
            <w:tcBorders>
              <w:top w:val="single" w:sz="8" w:color="0000EE"/>
            </w:tcBorders>
            <w:gridSpan w:val="23"/>
          </w:tcPr>
          <w:p>
            <w:pPr>
              <w:spacing w:after="0"/>
              <w:rPr>
                <w:sz w:val="17"/>
                <w:szCs w:val="17"/>
                <w:color w:val="auto"/>
              </w:rPr>
            </w:pPr>
          </w:p>
        </w:tc>
        <w:tc>
          <w:tcPr>
            <w:tcW w:w="44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10.30</w:t>
            </w:r>
          </w:p>
        </w:tc>
        <w:tc>
          <w:tcPr>
            <w:tcW w:w="4680" w:type="dxa"/>
            <w:vAlign w:val="bottom"/>
            <w:gridSpan w:val="36"/>
          </w:tcPr>
          <w:p>
            <w:pPr>
              <w:spacing w:after="0"/>
              <w:rPr>
                <w:rFonts w:ascii="Arial" w:cs="Arial" w:eastAsia="Arial" w:hAnsi="Arial"/>
                <w:sz w:val="18"/>
                <w:szCs w:val="18"/>
                <w:color w:val="0000EE"/>
                <w:w w:val="98"/>
              </w:rPr>
            </w:pPr>
            <w:hyperlink r:id="rId164">
              <w:r>
                <w:rPr>
                  <w:rFonts w:ascii="Arial" w:cs="Arial" w:eastAsia="Arial" w:hAnsi="Arial"/>
                  <w:sz w:val="18"/>
                  <w:szCs w:val="18"/>
                  <w:color w:val="0000EE"/>
                  <w:w w:val="98"/>
                </w:rPr>
                <w:t>Translation of the Approval Notice of Credit Line, dated July</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10.11</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8, 2019</w:t>
            </w:r>
          </w:p>
        </w:tc>
      </w:tr>
      <w:tr>
        <w:trPr>
          <w:trHeight w:val="196"/>
        </w:trPr>
        <w:tc>
          <w:tcPr>
            <w:tcW w:w="13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8, 2019, between Prime World International Holdings Ltd.</w:t>
              </w:r>
            </w:hyperlink>
          </w:p>
        </w:tc>
        <w:tc>
          <w:tcPr>
            <w:tcW w:w="200" w:type="dxa"/>
            <w:vAlign w:val="bottom"/>
            <w:tcBorders>
              <w:top w:val="single" w:sz="8" w:color="0000EE"/>
            </w:tcBorders>
            <w:gridSpan w:val="9"/>
          </w:tcPr>
          <w:p>
            <w:pPr>
              <w:spacing w:after="0"/>
              <w:rPr>
                <w:sz w:val="17"/>
                <w:szCs w:val="17"/>
                <w:color w:val="auto"/>
              </w:rPr>
            </w:pPr>
          </w:p>
        </w:tc>
        <w:tc>
          <w:tcPr>
            <w:tcW w:w="2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and Taishin International Bank</w:t>
              </w:r>
            </w:hyperlink>
          </w:p>
        </w:tc>
        <w:tc>
          <w:tcPr>
            <w:tcW w:w="2460" w:type="dxa"/>
            <w:vAlign w:val="bottom"/>
            <w:gridSpan w:val="2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10.30.1</w:t>
            </w:r>
          </w:p>
        </w:tc>
        <w:tc>
          <w:tcPr>
            <w:tcW w:w="3700" w:type="dxa"/>
            <w:vAlign w:val="bottom"/>
            <w:tcBorders>
              <w:bottom w:val="single" w:sz="8" w:color="0000EE"/>
            </w:tcBorders>
            <w:gridSpan w:val="11"/>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Translation of the General Agreement for Financial</w:t>
              </w:r>
            </w:hyperlink>
          </w:p>
        </w:tc>
        <w:tc>
          <w:tcPr>
            <w:tcW w:w="980" w:type="dxa"/>
            <w:vAlign w:val="bottom"/>
            <w:gridSpan w:val="25"/>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10.12</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8, 2019</w:t>
            </w: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Transaction, dated July 23, 2019, between Prime World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International Holdings Ltd. and Taishin International Bank</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160" w:type="dxa"/>
            <w:vAlign w:val="bottom"/>
            <w:gridSpan w:val="13"/>
            <w:shd w:val="clear" w:color="auto" w:fill="0000EE"/>
          </w:tcPr>
          <w:p>
            <w:pPr>
              <w:spacing w:after="0" w:line="20" w:lineRule="exact"/>
              <w:rPr>
                <w:sz w:val="1"/>
                <w:szCs w:val="1"/>
                <w:color w:val="auto"/>
              </w:rPr>
            </w:pPr>
          </w:p>
        </w:tc>
        <w:tc>
          <w:tcPr>
            <w:tcW w:w="160" w:type="dxa"/>
            <w:vAlign w:val="bottom"/>
            <w:gridSpan w:val="7"/>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10.30.2</w:t>
            </w:r>
          </w:p>
        </w:tc>
        <w:tc>
          <w:tcPr>
            <w:tcW w:w="4300" w:type="dxa"/>
            <w:vAlign w:val="bottom"/>
            <w:tcBorders>
              <w:bottom w:val="single" w:sz="8" w:color="0000EE"/>
            </w:tcBorders>
            <w:gridSpan w:val="30"/>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Translation of the Credit Facility Agreement, dated July 23,</w:t>
              </w:r>
            </w:hyperlink>
          </w:p>
        </w:tc>
        <w:tc>
          <w:tcPr>
            <w:tcW w:w="380" w:type="dxa"/>
            <w:vAlign w:val="bottom"/>
            <w:gridSpan w:val="6"/>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10.13</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8, 2019</w:t>
            </w: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w w:val="98"/>
              </w:rPr>
            </w:pPr>
            <w:hyperlink r:id="rId166">
              <w:r>
                <w:rPr>
                  <w:rFonts w:ascii="Arial" w:cs="Arial" w:eastAsia="Arial" w:hAnsi="Arial"/>
                  <w:sz w:val="18"/>
                  <w:szCs w:val="18"/>
                  <w:color w:val="0000EE"/>
                  <w:w w:val="98"/>
                </w:rPr>
                <w:t>2019, between Prime World International Holdings Ltd. and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3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Taishin International Bank</w:t>
              </w:r>
            </w:hyperlink>
          </w:p>
        </w:tc>
        <w:tc>
          <w:tcPr>
            <w:tcW w:w="3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160" w:type="dxa"/>
            <w:vAlign w:val="bottom"/>
            <w:gridSpan w:val="13"/>
          </w:tcPr>
          <w:p>
            <w:pPr>
              <w:spacing w:after="0" w:line="20" w:lineRule="exact"/>
              <w:rPr>
                <w:sz w:val="1"/>
                <w:szCs w:val="1"/>
                <w:color w:val="auto"/>
              </w:rPr>
            </w:pPr>
          </w:p>
        </w:tc>
        <w:tc>
          <w:tcPr>
            <w:tcW w:w="38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10.30.3</w:t>
            </w:r>
          </w:p>
        </w:tc>
        <w:tc>
          <w:tcPr>
            <w:tcW w:w="4680" w:type="dxa"/>
            <w:vAlign w:val="bottom"/>
            <w:gridSpan w:val="36"/>
          </w:tcPr>
          <w:p>
            <w:pPr>
              <w:spacing w:after="0"/>
              <w:rPr>
                <w:rFonts w:ascii="Arial" w:cs="Arial" w:eastAsia="Arial" w:hAnsi="Arial"/>
                <w:sz w:val="18"/>
                <w:szCs w:val="18"/>
                <w:color w:val="0000EE"/>
              </w:rPr>
            </w:pPr>
            <w:hyperlink r:id="rId167">
              <w:r>
                <w:rPr>
                  <w:rFonts w:ascii="Arial" w:cs="Arial" w:eastAsia="Arial" w:hAnsi="Arial"/>
                  <w:sz w:val="18"/>
                  <w:szCs w:val="18"/>
                  <w:color w:val="0000EE"/>
                </w:rPr>
                <w:t>Translation of the Promissory Note, dated July 23, 2019,</w:t>
              </w:r>
            </w:hyperlink>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10.14</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August 8, 2019</w:t>
            </w:r>
          </w:p>
        </w:tc>
      </w:tr>
      <w:tr>
        <w:trPr>
          <w:trHeight w:val="20"/>
        </w:trPr>
        <w:tc>
          <w:tcPr>
            <w:tcW w:w="13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720" w:type="dxa"/>
            <w:vAlign w:val="bottom"/>
            <w:gridSpan w:val="16"/>
            <w:shd w:val="clear" w:color="auto" w:fill="0000EE"/>
          </w:tcPr>
          <w:p>
            <w:pPr>
              <w:spacing w:after="0" w:line="20" w:lineRule="exact"/>
              <w:rPr>
                <w:sz w:val="1"/>
                <w:szCs w:val="1"/>
                <w:color w:val="auto"/>
              </w:rPr>
            </w:pPr>
          </w:p>
        </w:tc>
        <w:tc>
          <w:tcPr>
            <w:tcW w:w="38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680" w:type="dxa"/>
            <w:vAlign w:val="bottom"/>
            <w:gridSpan w:val="36"/>
          </w:tcPr>
          <w:p>
            <w:pPr>
              <w:spacing w:after="0" w:line="196" w:lineRule="exact"/>
              <w:rPr>
                <w:rFonts w:ascii="Arial" w:cs="Arial" w:eastAsia="Arial" w:hAnsi="Arial"/>
                <w:sz w:val="18"/>
                <w:szCs w:val="18"/>
                <w:color w:val="0000EE"/>
                <w:w w:val="96"/>
              </w:rPr>
            </w:pPr>
            <w:hyperlink r:id="rId167">
              <w:r>
                <w:rPr>
                  <w:rFonts w:ascii="Arial" w:cs="Arial" w:eastAsia="Arial" w:hAnsi="Arial"/>
                  <w:sz w:val="18"/>
                  <w:szCs w:val="18"/>
                  <w:color w:val="0000EE"/>
                  <w:w w:val="96"/>
                </w:rPr>
                <w:t>between Prime World International Holdings Ltd. and Taishin</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International Bank</w:t>
              </w:r>
            </w:hyperlink>
          </w:p>
        </w:tc>
        <w:tc>
          <w:tcPr>
            <w:tcW w:w="3100" w:type="dxa"/>
            <w:vAlign w:val="bottom"/>
            <w:tcBorders>
              <w:top w:val="single" w:sz="8" w:color="0000EE"/>
            </w:tcBorders>
            <w:gridSpan w:val="32"/>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-6546850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-6546850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4" w:right="239" w:bottom="0" w:gutter="0" w:footer="0" w:header="0"/>
        </w:sectPr>
      </w:pPr>
    </w:p>
    <w:bookmarkStart w:id="48" w:name="page49"/>
    <w:bookmarkEnd w:id="48"/>
    <w:tbl>
      <w:tblPr>
        <w:tblLayout w:type="fixed"/>
        <w:tblInd w:w="56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10.31</w:t>
            </w:r>
          </w:p>
        </w:tc>
        <w:tc>
          <w:tcPr>
            <w:tcW w:w="4420" w:type="dxa"/>
            <w:vAlign w:val="bottom"/>
            <w:tcBorders>
              <w:bottom w:val="single" w:sz="8" w:color="0000EE"/>
            </w:tcBorders>
            <w:gridSpan w:val="9"/>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Fourth Amendment to Loan Agreement, dated September 30,</w:t>
              </w:r>
            </w:hyperlink>
          </w:p>
        </w:tc>
        <w:tc>
          <w:tcPr>
            <w:tcW w:w="260" w:type="dxa"/>
            <w:vAlign w:val="bottom"/>
          </w:tcPr>
          <w:p>
            <w:pPr>
              <w:spacing w:after="0"/>
              <w:rPr>
                <w:sz w:val="17"/>
                <w:szCs w:val="17"/>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00" w:type="dxa"/>
            <w:vAlign w:val="bottom"/>
          </w:tcPr>
          <w:p>
            <w:pPr>
              <w:jc w:val="center"/>
              <w:ind w:left="270"/>
              <w:spacing w:after="0"/>
              <w:rPr>
                <w:sz w:val="20"/>
                <w:szCs w:val="20"/>
                <w:color w:val="auto"/>
              </w:rPr>
            </w:pPr>
            <w:r>
              <w:rPr>
                <w:rFonts w:ascii="Arial" w:cs="Arial" w:eastAsia="Arial" w:hAnsi="Arial"/>
                <w:sz w:val="18"/>
                <w:szCs w:val="18"/>
                <w:color w:val="auto"/>
                <w:w w:val="89"/>
              </w:rPr>
              <w:t>October 4, 2019</w:t>
            </w:r>
          </w:p>
        </w:tc>
      </w:tr>
      <w:tr>
        <w:trPr>
          <w:trHeight w:val="196"/>
        </w:trPr>
        <w:tc>
          <w:tcPr>
            <w:tcW w:w="780" w:type="dxa"/>
            <w:vAlign w:val="bottom"/>
          </w:tcPr>
          <w:p>
            <w:pPr>
              <w:spacing w:after="0"/>
              <w:rPr>
                <w:sz w:val="17"/>
                <w:szCs w:val="17"/>
                <w:color w:val="auto"/>
              </w:rPr>
            </w:pPr>
          </w:p>
        </w:tc>
        <w:tc>
          <w:tcPr>
            <w:tcW w:w="4680" w:type="dxa"/>
            <w:vAlign w:val="bottom"/>
            <w:gridSpan w:val="10"/>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2019, between Applied Optoelectronics, Inc. and Branch</w:t>
              </w:r>
            </w:hyperlink>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Banking and Trust Company</w:t>
              </w:r>
            </w:hyperlink>
          </w:p>
        </w:tc>
        <w:tc>
          <w:tcPr>
            <w:tcW w:w="2000" w:type="dxa"/>
            <w:vAlign w:val="bottom"/>
            <w:tcBorders>
              <w:top w:val="single" w:sz="8" w:color="0000EE"/>
            </w:tcBorders>
            <w:gridSpan w:val="3"/>
          </w:tcPr>
          <w:p>
            <w:pPr>
              <w:spacing w:after="0"/>
              <w:rPr>
                <w:sz w:val="17"/>
                <w:szCs w:val="17"/>
                <w:color w:val="auto"/>
              </w:rPr>
            </w:pPr>
          </w:p>
        </w:tc>
        <w:tc>
          <w:tcPr>
            <w:tcW w:w="6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10.31.1</w:t>
            </w:r>
          </w:p>
        </w:tc>
        <w:tc>
          <w:tcPr>
            <w:tcW w:w="4680" w:type="dxa"/>
            <w:vAlign w:val="bottom"/>
            <w:gridSpan w:val="10"/>
          </w:tcPr>
          <w:p>
            <w:pPr>
              <w:spacing w:after="0"/>
              <w:rPr>
                <w:rFonts w:ascii="Arial" w:cs="Arial" w:eastAsia="Arial" w:hAnsi="Arial"/>
                <w:sz w:val="18"/>
                <w:szCs w:val="18"/>
                <w:color w:val="0000EE"/>
              </w:rPr>
            </w:pPr>
            <w:hyperlink r:id="rId171">
              <w:r>
                <w:rPr>
                  <w:rFonts w:ascii="Arial" w:cs="Arial" w:eastAsia="Arial" w:hAnsi="Arial"/>
                  <w:sz w:val="18"/>
                  <w:szCs w:val="18"/>
                  <w:color w:val="0000EE"/>
                </w:rPr>
                <w:t>Note Modification Agreement, dated September 30, 2019,</w:t>
              </w:r>
            </w:hyperlink>
          </w:p>
        </w:tc>
        <w:tc>
          <w:tcPr>
            <w:tcW w:w="880" w:type="dxa"/>
            <w:vAlign w:val="bottom"/>
          </w:tcPr>
          <w:p>
            <w:pPr>
              <w:ind w:left="26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800" w:type="dxa"/>
            <w:vAlign w:val="bottom"/>
          </w:tcPr>
          <w:p>
            <w:pPr>
              <w:jc w:val="center"/>
              <w:ind w:left="270"/>
              <w:spacing w:after="0"/>
              <w:rPr>
                <w:sz w:val="20"/>
                <w:szCs w:val="20"/>
                <w:color w:val="auto"/>
              </w:rPr>
            </w:pPr>
            <w:r>
              <w:rPr>
                <w:rFonts w:ascii="Arial" w:cs="Arial" w:eastAsia="Arial" w:hAnsi="Arial"/>
                <w:sz w:val="18"/>
                <w:szCs w:val="18"/>
                <w:color w:val="auto"/>
                <w:w w:val="89"/>
              </w:rPr>
              <w:t>October 4, 2019</w:t>
            </w:r>
          </w:p>
        </w:tc>
      </w:tr>
      <w:tr>
        <w:trPr>
          <w:trHeight w:val="196"/>
        </w:trPr>
        <w:tc>
          <w:tcPr>
            <w:tcW w:w="7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executed by Applied Optoelectronics, Inc.</w:t>
              </w:r>
            </w:hyperlink>
          </w:p>
        </w:tc>
        <w:tc>
          <w:tcPr>
            <w:tcW w:w="1140" w:type="dxa"/>
            <w:vAlign w:val="bottom"/>
            <w:tcBorders>
              <w:top w:val="single" w:sz="8" w:color="0000EE"/>
            </w:tcBorders>
            <w:gridSpan w:val="4"/>
          </w:tcPr>
          <w:p>
            <w:pPr>
              <w:spacing w:after="0"/>
              <w:rPr>
                <w:sz w:val="17"/>
                <w:szCs w:val="17"/>
                <w:color w:val="auto"/>
              </w:rPr>
            </w:pPr>
          </w:p>
        </w:tc>
        <w:tc>
          <w:tcPr>
            <w:tcW w:w="50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w w:val="86"/>
              </w:rPr>
              <w:t>10.31.2</w:t>
            </w:r>
          </w:p>
        </w:tc>
        <w:tc>
          <w:tcPr>
            <w:tcW w:w="4300" w:type="dxa"/>
            <w:vAlign w:val="bottom"/>
            <w:tcBorders>
              <w:bottom w:val="single" w:sz="8" w:color="0000EE"/>
            </w:tcBorders>
            <w:gridSpan w:val="8"/>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Addendum To Promissory Note, dated September 30, 2019,</w:t>
              </w:r>
            </w:hyperlink>
          </w:p>
        </w:tc>
        <w:tc>
          <w:tcPr>
            <w:tcW w:w="380" w:type="dxa"/>
            <w:vAlign w:val="bottom"/>
            <w:gridSpan w:val="2"/>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800" w:type="dxa"/>
            <w:vAlign w:val="bottom"/>
          </w:tcPr>
          <w:p>
            <w:pPr>
              <w:jc w:val="center"/>
              <w:ind w:left="270"/>
              <w:spacing w:after="0"/>
              <w:rPr>
                <w:sz w:val="20"/>
                <w:szCs w:val="20"/>
                <w:color w:val="auto"/>
              </w:rPr>
            </w:pPr>
            <w:r>
              <w:rPr>
                <w:rFonts w:ascii="Arial" w:cs="Arial" w:eastAsia="Arial" w:hAnsi="Arial"/>
                <w:sz w:val="18"/>
                <w:szCs w:val="18"/>
                <w:color w:val="auto"/>
                <w:w w:val="89"/>
              </w:rPr>
              <w:t>October 4, 2019</w:t>
            </w:r>
          </w:p>
        </w:tc>
      </w:tr>
      <w:tr>
        <w:trPr>
          <w:trHeight w:val="196"/>
        </w:trPr>
        <w:tc>
          <w:tcPr>
            <w:tcW w:w="780" w:type="dxa"/>
            <w:vAlign w:val="bottom"/>
          </w:tcPr>
          <w:p>
            <w:pPr>
              <w:spacing w:after="0"/>
              <w:rPr>
                <w:sz w:val="17"/>
                <w:szCs w:val="17"/>
                <w:color w:val="auto"/>
              </w:rPr>
            </w:pPr>
          </w:p>
        </w:tc>
        <w:tc>
          <w:tcPr>
            <w:tcW w:w="30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executed by Applied Optoelectronics, Inc.</w:t>
              </w:r>
            </w:hyperlink>
          </w:p>
        </w:tc>
        <w:tc>
          <w:tcPr>
            <w:tcW w:w="16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12"/>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10.32</w:t>
            </w:r>
          </w:p>
        </w:tc>
        <w:tc>
          <w:tcPr>
            <w:tcW w:w="4680" w:type="dxa"/>
            <w:vAlign w:val="bottom"/>
            <w:gridSpan w:val="10"/>
          </w:tcPr>
          <w:p>
            <w:pPr>
              <w:spacing w:after="0"/>
              <w:rPr>
                <w:rFonts w:ascii="Arial" w:cs="Arial" w:eastAsia="Arial" w:hAnsi="Arial"/>
                <w:sz w:val="18"/>
                <w:szCs w:val="18"/>
                <w:color w:val="0000EE"/>
              </w:rPr>
            </w:pPr>
            <w:hyperlink r:id="rId173">
              <w:r>
                <w:rPr>
                  <w:rFonts w:ascii="Arial" w:cs="Arial" w:eastAsia="Arial" w:hAnsi="Arial"/>
                  <w:sz w:val="18"/>
                  <w:szCs w:val="18"/>
                  <w:color w:val="0000EE"/>
                </w:rPr>
                <w:t>Second Amendment to Lease, dated November 11, 2019,</w:t>
              </w:r>
            </w:hyperlink>
          </w:p>
        </w:tc>
        <w:tc>
          <w:tcPr>
            <w:tcW w:w="880" w:type="dxa"/>
            <w:vAlign w:val="bottom"/>
          </w:tcPr>
          <w:p>
            <w:pPr>
              <w:ind w:left="260"/>
              <w:spacing w:after="0"/>
              <w:rPr>
                <w:sz w:val="20"/>
                <w:szCs w:val="20"/>
                <w:color w:val="auto"/>
              </w:rPr>
            </w:pPr>
            <w:r>
              <w:rPr>
                <w:rFonts w:ascii="Arial" w:cs="Arial" w:eastAsia="Arial" w:hAnsi="Arial"/>
                <w:sz w:val="18"/>
                <w:szCs w:val="18"/>
                <w:color w:val="auto"/>
              </w:rPr>
              <w:t>8-K</w:t>
            </w: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001-36083</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800" w:type="dxa"/>
            <w:vAlign w:val="bottom"/>
          </w:tcPr>
          <w:p>
            <w:pPr>
              <w:jc w:val="center"/>
              <w:ind w:left="270"/>
              <w:spacing w:after="0"/>
              <w:rPr>
                <w:sz w:val="20"/>
                <w:szCs w:val="20"/>
                <w:color w:val="auto"/>
              </w:rPr>
            </w:pPr>
            <w:r>
              <w:rPr>
                <w:rFonts w:ascii="Arial" w:cs="Arial" w:eastAsia="Arial" w:hAnsi="Arial"/>
                <w:sz w:val="18"/>
                <w:szCs w:val="18"/>
                <w:color w:val="auto"/>
                <w:w w:val="91"/>
              </w:rPr>
              <w:t>November 18, 2019</w:t>
            </w:r>
          </w:p>
        </w:tc>
      </w:tr>
      <w:tr>
        <w:trPr>
          <w:trHeight w:val="196"/>
        </w:trPr>
        <w:tc>
          <w:tcPr>
            <w:tcW w:w="7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between Applied Optoelectronics, Inc. and ROIB2</w:t>
              </w:r>
            </w:hyperlink>
          </w:p>
        </w:tc>
        <w:tc>
          <w:tcPr>
            <w:tcW w:w="460" w:type="dxa"/>
            <w:vAlign w:val="bottom"/>
            <w:tcBorders>
              <w:top w:val="single" w:sz="8" w:color="0000EE"/>
            </w:tcBorders>
            <w:gridSpan w:val="2"/>
          </w:tcPr>
          <w:p>
            <w:pPr>
              <w:spacing w:after="0"/>
              <w:rPr>
                <w:sz w:val="17"/>
                <w:szCs w:val="17"/>
                <w:color w:val="auto"/>
              </w:rPr>
            </w:pPr>
          </w:p>
        </w:tc>
        <w:tc>
          <w:tcPr>
            <w:tcW w:w="58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4680" w:type="dxa"/>
            <w:vAlign w:val="bottom"/>
            <w:gridSpan w:val="1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Breckinridge, LLC.</w:t>
              </w:r>
            </w:hyperlink>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9" w:lineRule="exact"/>
        <w:rPr>
          <w:sz w:val="20"/>
          <w:szCs w:val="20"/>
          <w:color w:val="auto"/>
        </w:rPr>
      </w:pPr>
    </w:p>
    <w:p>
      <w:pPr>
        <w:ind w:left="78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5">
        <w:r>
          <w:rPr>
            <w:rFonts w:ascii="Arial" w:cs="Arial" w:eastAsia="Arial" w:hAnsi="Arial"/>
            <w:sz w:val="16"/>
            <w:szCs w:val="16"/>
            <w:u w:val="single" w:color="auto"/>
            <w:color w:val="0000EE"/>
          </w:rPr>
          <w:t>Consent of Grant Thornton LLP</w:t>
        </w:r>
      </w:hyperlink>
    </w:p>
    <w:p>
      <w:pPr>
        <w:spacing w:after="0" w:line="225" w:lineRule="exact"/>
        <w:rPr>
          <w:sz w:val="20"/>
          <w:szCs w:val="20"/>
          <w:color w:val="auto"/>
        </w:rPr>
      </w:pPr>
    </w:p>
    <w:p>
      <w:pPr>
        <w:ind w:left="780"/>
        <w:spacing w:after="0"/>
        <w:tabs>
          <w:tab w:leader="none" w:pos="13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(see the signature page in this Annual</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0000EE"/>
        </w:rPr>
        <w:t>Report on Form 10-K).</w:t>
      </w:r>
    </w:p>
    <w:p>
      <w:pPr>
        <w:spacing w:after="0" w:line="211" w:lineRule="exact"/>
        <w:rPr>
          <w:sz w:val="20"/>
          <w:szCs w:val="20"/>
          <w:color w:val="auto"/>
        </w:rPr>
      </w:pPr>
    </w:p>
    <w:p>
      <w:pPr>
        <w:ind w:left="78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6">
        <w:r>
          <w:rPr>
            <w:rFonts w:ascii="Arial" w:cs="Arial" w:eastAsia="Arial" w:hAnsi="Arial"/>
            <w:sz w:val="16"/>
            <w:szCs w:val="16"/>
            <w:u w:val="single" w:color="auto"/>
            <w:color w:val="0000EE"/>
          </w:rPr>
          <w:t>Certification of Principal Executive Officer Required Under</w:t>
        </w:r>
      </w:hyperlink>
    </w:p>
    <w:p>
      <w:pPr>
        <w:spacing w:after="0" w:line="23" w:lineRule="exact"/>
        <w:rPr>
          <w:sz w:val="20"/>
          <w:szCs w:val="20"/>
          <w:color w:val="auto"/>
        </w:rPr>
      </w:pPr>
    </w:p>
    <w:p>
      <w:pPr>
        <w:ind w:left="13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Rule 13a-14(a) and 15d-14(a) of the Securities Exchange Act</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of 1934, as amended, as adopted pursuant to Section 302 of</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The Sarbanes-Oxley Act of 2002.</w:t>
        </w:r>
      </w:hyperlink>
    </w:p>
    <w:p>
      <w:pPr>
        <w:spacing w:after="0" w:line="211" w:lineRule="exact"/>
        <w:rPr>
          <w:sz w:val="20"/>
          <w:szCs w:val="20"/>
          <w:color w:val="auto"/>
        </w:rPr>
      </w:pPr>
    </w:p>
    <w:p>
      <w:pPr>
        <w:ind w:left="78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7">
        <w:r>
          <w:rPr>
            <w:rFonts w:ascii="Arial" w:cs="Arial" w:eastAsia="Arial" w:hAnsi="Arial"/>
            <w:sz w:val="16"/>
            <w:szCs w:val="16"/>
            <w:u w:val="single" w:color="auto"/>
            <w:color w:val="0000EE"/>
          </w:rPr>
          <w:t>Certification of Principal Financial Officer Required Under</w:t>
        </w:r>
      </w:hyperlink>
    </w:p>
    <w:p>
      <w:pPr>
        <w:spacing w:after="0" w:line="23" w:lineRule="exact"/>
        <w:rPr>
          <w:sz w:val="20"/>
          <w:szCs w:val="20"/>
          <w:color w:val="auto"/>
        </w:rPr>
      </w:pPr>
    </w:p>
    <w:p>
      <w:pPr>
        <w:ind w:left="13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Rule 13a-14(a) and 15d-14(a) of the Securities Exchange Act</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of 1934, as amended, as adopted pursuant to Section 302 of</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The Sarbanes-Oxley Act of 2002.</w:t>
        </w:r>
      </w:hyperlink>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40" w:type="dxa"/>
            <w:vAlign w:val="bottom"/>
            <w:gridSpan w:val="2"/>
          </w:tcPr>
          <w:p>
            <w:pPr>
              <w:ind w:left="720"/>
              <w:spacing w:after="0"/>
              <w:rPr>
                <w:sz w:val="20"/>
                <w:szCs w:val="20"/>
                <w:color w:val="auto"/>
              </w:rPr>
            </w:pPr>
            <w:r>
              <w:rPr>
                <w:rFonts w:ascii="Arial" w:cs="Arial" w:eastAsia="Arial" w:hAnsi="Arial"/>
                <w:sz w:val="18"/>
                <w:szCs w:val="18"/>
                <w:b w:val="1"/>
                <w:bCs w:val="1"/>
                <w:color w:val="auto"/>
                <w:w w:val="95"/>
              </w:rPr>
              <w:t>Incorporated By Reference</w:t>
            </w:r>
          </w:p>
        </w:tc>
        <w:tc>
          <w:tcPr>
            <w:tcW w:w="980" w:type="dxa"/>
            <w:vAlign w:val="bottom"/>
          </w:tcPr>
          <w:p>
            <w:pPr>
              <w:spacing w:after="0"/>
              <w:rPr>
                <w:sz w:val="24"/>
                <w:szCs w:val="24"/>
                <w:color w:val="auto"/>
              </w:rPr>
            </w:pPr>
          </w:p>
        </w:tc>
      </w:tr>
      <w:tr>
        <w:trPr>
          <w:trHeight w:val="234"/>
        </w:trPr>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3200" w:type="dxa"/>
            <w:vAlign w:val="bottom"/>
          </w:tcPr>
          <w:p>
            <w:pPr>
              <w:ind w:left="760"/>
              <w:spacing w:after="0"/>
              <w:rPr>
                <w:sz w:val="20"/>
                <w:szCs w:val="20"/>
                <w:color w:val="auto"/>
              </w:rPr>
            </w:pPr>
            <w:r>
              <w:rPr>
                <w:rFonts w:ascii="Arial" w:cs="Arial" w:eastAsia="Arial" w:hAnsi="Arial"/>
                <w:sz w:val="18"/>
                <w:szCs w:val="18"/>
                <w:b w:val="1"/>
                <w:bCs w:val="1"/>
                <w:color w:val="auto"/>
              </w:rPr>
              <w:t>Exhibit Description</w:t>
            </w:r>
          </w:p>
        </w:tc>
        <w:tc>
          <w:tcPr>
            <w:tcW w:w="1700" w:type="dxa"/>
            <w:vAlign w:val="bottom"/>
          </w:tcPr>
          <w:p>
            <w:pPr>
              <w:ind w:left="940"/>
              <w:spacing w:after="0"/>
              <w:rPr>
                <w:sz w:val="20"/>
                <w:szCs w:val="20"/>
                <w:color w:val="auto"/>
              </w:rPr>
            </w:pPr>
            <w:r>
              <w:rPr>
                <w:rFonts w:ascii="Arial" w:cs="Arial" w:eastAsia="Arial" w:hAnsi="Arial"/>
                <w:sz w:val="18"/>
                <w:szCs w:val="18"/>
                <w:b w:val="1"/>
                <w:bCs w:val="1"/>
                <w:color w:val="auto"/>
              </w:rPr>
              <w:t>Form</w:t>
            </w:r>
          </w:p>
        </w:tc>
        <w:tc>
          <w:tcPr>
            <w:tcW w:w="1260" w:type="dxa"/>
            <w:vAlign w:val="bottom"/>
          </w:tcPr>
          <w:p>
            <w:pPr>
              <w:ind w:left="340"/>
              <w:spacing w:after="0"/>
              <w:rPr>
                <w:sz w:val="20"/>
                <w:szCs w:val="20"/>
                <w:color w:val="auto"/>
              </w:rPr>
            </w:pPr>
            <w:r>
              <w:rPr>
                <w:rFonts w:ascii="Arial" w:cs="Arial" w:eastAsia="Arial" w:hAnsi="Arial"/>
                <w:sz w:val="18"/>
                <w:szCs w:val="18"/>
                <w:b w:val="1"/>
                <w:bCs w:val="1"/>
                <w:color w:val="auto"/>
              </w:rPr>
              <w:t>File No.</w:t>
            </w:r>
          </w:p>
        </w:tc>
        <w:tc>
          <w:tcPr>
            <w:tcW w:w="1680" w:type="dxa"/>
            <w:vAlign w:val="bottom"/>
          </w:tcPr>
          <w:p>
            <w:pPr>
              <w:ind w:left="320"/>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w w:val="91"/>
              </w:rPr>
              <w:t>Filing Date</w:t>
            </w:r>
          </w:p>
        </w:tc>
      </w:tr>
    </w:tbl>
    <w:p>
      <w:pPr>
        <w:spacing w:after="0" w:line="202" w:lineRule="exact"/>
        <w:rPr>
          <w:sz w:val="20"/>
          <w:szCs w:val="20"/>
          <w:color w:val="auto"/>
        </w:rPr>
      </w:pPr>
    </w:p>
    <w:p>
      <w:pPr>
        <w:ind w:left="78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88">
        <w:r>
          <w:rPr>
            <w:rFonts w:ascii="Arial" w:cs="Arial" w:eastAsia="Arial" w:hAnsi="Arial"/>
            <w:sz w:val="16"/>
            <w:szCs w:val="16"/>
            <w:u w:val="single" w:color="auto"/>
            <w:color w:val="0000EE"/>
          </w:rPr>
          <w:t>Certification of Principal Executive Officer and Principal</w:t>
        </w:r>
      </w:hyperlink>
    </w:p>
    <w:p>
      <w:pPr>
        <w:spacing w:after="0" w:line="23" w:lineRule="exact"/>
        <w:rPr>
          <w:sz w:val="20"/>
          <w:szCs w:val="20"/>
          <w:color w:val="auto"/>
        </w:rPr>
      </w:pPr>
    </w:p>
    <w:p>
      <w:pPr>
        <w:ind w:left="13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Financial Officer Required Under Rule 13a-14(a) and 15d-</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14(a) of the Securities Exchange Act of 1934, as amended,</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and 18 U.S.C. §1350 as adopted pursuant to Section 906 of</w:t>
        </w:r>
      </w:hyperlink>
    </w:p>
    <w:p>
      <w:pPr>
        <w:spacing w:after="0" w:line="9" w:lineRule="exact"/>
        <w:rPr>
          <w:sz w:val="20"/>
          <w:szCs w:val="20"/>
          <w:color w:val="auto"/>
        </w:rPr>
      </w:pPr>
    </w:p>
    <w:p>
      <w:pPr>
        <w:ind w:left="13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The Sarbanes-Oxley Act of 2002.</w:t>
        </w:r>
      </w:hyperlink>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800" w:type="dxa"/>
            <w:vAlign w:val="bottom"/>
          </w:tcPr>
          <w:p>
            <w:pPr>
              <w:jc w:val="right"/>
              <w:ind w:right="30"/>
              <w:spacing w:after="0"/>
              <w:rPr>
                <w:sz w:val="20"/>
                <w:szCs w:val="20"/>
                <w:color w:val="auto"/>
              </w:rPr>
            </w:pPr>
            <w:r>
              <w:rPr>
                <w:rFonts w:ascii="Arial" w:cs="Arial" w:eastAsia="Arial" w:hAnsi="Arial"/>
                <w:sz w:val="18"/>
                <w:szCs w:val="18"/>
                <w:color w:val="auto"/>
              </w:rPr>
              <w:t>101.INS</w:t>
            </w:r>
          </w:p>
        </w:tc>
        <w:tc>
          <w:tcPr>
            <w:tcW w:w="4280" w:type="dxa"/>
            <w:vAlign w:val="bottom"/>
          </w:tcPr>
          <w:p>
            <w:pPr>
              <w:ind w:left="12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0"/>
              </w:rPr>
              <w:t>101.SCH</w:t>
            </w:r>
          </w:p>
        </w:tc>
        <w:tc>
          <w:tcPr>
            <w:tcW w:w="4280" w:type="dxa"/>
            <w:vAlign w:val="bottom"/>
          </w:tcPr>
          <w:p>
            <w:pPr>
              <w:ind w:left="12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418"/>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4"/>
              </w:rPr>
              <w:t>101.CAL</w:t>
            </w:r>
          </w:p>
        </w:tc>
        <w:tc>
          <w:tcPr>
            <w:tcW w:w="4280" w:type="dxa"/>
            <w:vAlign w:val="bottom"/>
          </w:tcPr>
          <w:p>
            <w:pPr>
              <w:ind w:left="12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80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2"/>
              </w:rPr>
              <w:t>101.DEF</w:t>
            </w:r>
          </w:p>
        </w:tc>
        <w:tc>
          <w:tcPr>
            <w:tcW w:w="4280" w:type="dxa"/>
            <w:vAlign w:val="bottom"/>
          </w:tcPr>
          <w:p>
            <w:pPr>
              <w:ind w:left="12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80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5"/>
              </w:rPr>
              <w:t>101.LAB</w:t>
            </w:r>
          </w:p>
        </w:tc>
        <w:tc>
          <w:tcPr>
            <w:tcW w:w="428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80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800" w:type="dxa"/>
            <w:vAlign w:val="bottom"/>
          </w:tcPr>
          <w:p>
            <w:pPr>
              <w:jc w:val="right"/>
              <w:ind w:right="30"/>
              <w:spacing w:after="0"/>
              <w:rPr>
                <w:sz w:val="20"/>
                <w:szCs w:val="20"/>
                <w:color w:val="auto"/>
              </w:rPr>
            </w:pPr>
            <w:r>
              <w:rPr>
                <w:rFonts w:ascii="Arial" w:cs="Arial" w:eastAsia="Arial" w:hAnsi="Arial"/>
                <w:sz w:val="18"/>
                <w:szCs w:val="18"/>
                <w:color w:val="auto"/>
                <w:w w:val="91"/>
              </w:rPr>
              <w:t>101.PRE</w:t>
            </w:r>
          </w:p>
        </w:tc>
        <w:tc>
          <w:tcPr>
            <w:tcW w:w="4280" w:type="dxa"/>
            <w:vAlign w:val="bottom"/>
          </w:tcPr>
          <w:p>
            <w:pPr>
              <w:ind w:left="12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80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bl>
    <w:p>
      <w:pPr>
        <w:spacing w:after="0" w:line="202" w:lineRule="exact"/>
        <w:rPr>
          <w:sz w:val="20"/>
          <w:szCs w:val="20"/>
          <w:color w:val="auto"/>
        </w:rPr>
      </w:pPr>
    </w:p>
    <w:p>
      <w:pPr>
        <w:ind w:left="1340" w:right="5480" w:hanging="508"/>
        <w:spacing w:after="0" w:line="277"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February 28, 2020.</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APPLIED OPTOELECTRONICS, INC.</w:t>
      </w:r>
    </w:p>
    <w:p>
      <w:pPr>
        <w:sectPr>
          <w:pgSz w:w="11900" w:h="16838" w:orient="portrait"/>
          <w:cols w:equalWidth="0" w:num="1">
            <w:col w:w="11180"/>
          </w:cols>
          <w:pgMar w:left="240" w:top="324" w:right="479" w:bottom="0" w:gutter="0" w:footer="0" w:header="0"/>
        </w:sectPr>
      </w:pPr>
    </w:p>
    <w:bookmarkStart w:id="49" w:name="page50"/>
    <w:bookmarkEnd w:id="49"/>
    <w:tbl>
      <w:tblPr>
        <w:tblLayout w:type="fixed"/>
        <w:tblInd w:w="56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CHIH-HSIANG (THOMPSON) LIN</w:t>
            </w:r>
          </w:p>
        </w:tc>
      </w:tr>
      <w:tr>
        <w:trPr>
          <w:trHeight w:val="195"/>
        </w:trPr>
        <w:tc>
          <w:tcPr>
            <w:tcW w:w="340" w:type="dxa"/>
            <w:vAlign w:val="bottom"/>
          </w:tcPr>
          <w:p>
            <w:pPr>
              <w:spacing w:after="0"/>
              <w:rPr>
                <w:sz w:val="16"/>
                <w:szCs w:val="16"/>
                <w:color w:val="auto"/>
              </w:rPr>
            </w:pPr>
          </w:p>
        </w:tc>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98"/>
              </w:rPr>
              <w:t>CHIH-HSIANG (THOMPSON) LIN,</w:t>
            </w:r>
          </w:p>
        </w:tc>
      </w:tr>
      <w:tr>
        <w:trPr>
          <w:trHeight w:val="216"/>
        </w:trPr>
        <w:tc>
          <w:tcPr>
            <w:tcW w:w="3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w:t>
            </w:r>
          </w:p>
        </w:tc>
      </w:tr>
      <w:tr>
        <w:trPr>
          <w:trHeight w:val="230"/>
        </w:trPr>
        <w:tc>
          <w:tcPr>
            <w:tcW w:w="34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bl>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b w:val="1"/>
                <w:bCs w:val="1"/>
                <w:color w:val="auto"/>
                <w:w w:val="89"/>
              </w:rPr>
              <w:t>Signature</w:t>
            </w:r>
          </w:p>
        </w:tc>
        <w:tc>
          <w:tcPr>
            <w:tcW w:w="680" w:type="dxa"/>
            <w:vAlign w:val="bottom"/>
          </w:tcPr>
          <w:p>
            <w:pPr>
              <w:spacing w:after="0"/>
              <w:rPr>
                <w:sz w:val="20"/>
                <w:szCs w:val="20"/>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8"/>
                <w:szCs w:val="18"/>
                <w:color w:val="auto"/>
                <w:w w:val="97"/>
              </w:rPr>
              <w:t>/s/ CHIH-HSIANG (THOMPSON) LIN</w:t>
            </w:r>
          </w:p>
        </w:tc>
        <w:tc>
          <w:tcPr>
            <w:tcW w:w="680" w:type="dxa"/>
            <w:vAlign w:val="bottom"/>
            <w:tcBorders>
              <w:bottom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760" w:type="dxa"/>
            <w:vAlign w:val="bottom"/>
            <w:gridSpan w:val="6"/>
          </w:tcPr>
          <w:p>
            <w:pPr>
              <w:jc w:val="center"/>
              <w:ind w:right="600"/>
              <w:spacing w:after="0" w:line="195" w:lineRule="exact"/>
              <w:rPr>
                <w:sz w:val="20"/>
                <w:szCs w:val="20"/>
                <w:color w:val="auto"/>
              </w:rPr>
            </w:pPr>
            <w:r>
              <w:rPr>
                <w:rFonts w:ascii="Arial" w:cs="Arial" w:eastAsia="Arial" w:hAnsi="Arial"/>
                <w:sz w:val="18"/>
                <w:szCs w:val="18"/>
                <w:color w:val="auto"/>
                <w:w w:val="97"/>
              </w:rPr>
              <w:t>CHIH-HSIANG (THOMPSON) LIN,</w:t>
            </w:r>
          </w:p>
        </w:tc>
        <w:tc>
          <w:tcPr>
            <w:tcW w:w="6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60" w:type="dxa"/>
            <w:vAlign w:val="bottom"/>
            <w:gridSpan w:val="6"/>
          </w:tcPr>
          <w:p>
            <w:pPr>
              <w:jc w:val="center"/>
              <w:ind w:right="580"/>
              <w:spacing w:after="0"/>
              <w:rPr>
                <w:sz w:val="20"/>
                <w:szCs w:val="20"/>
                <w:color w:val="auto"/>
              </w:rPr>
            </w:pPr>
            <w:r>
              <w:rPr>
                <w:rFonts w:ascii="Arial" w:cs="Arial" w:eastAsia="Arial" w:hAnsi="Arial"/>
                <w:sz w:val="18"/>
                <w:szCs w:val="18"/>
                <w:i w:val="1"/>
                <w:iCs w:val="1"/>
                <w:color w:val="auto"/>
                <w:w w:val="91"/>
              </w:rPr>
              <w:t>President, Chief Executive Officer and</w:t>
            </w:r>
          </w:p>
        </w:tc>
        <w:tc>
          <w:tcPr>
            <w:tcW w:w="680" w:type="dxa"/>
            <w:vAlign w:val="bottom"/>
          </w:tcPr>
          <w:p>
            <w:pPr>
              <w:spacing w:after="0"/>
              <w:rPr>
                <w:sz w:val="18"/>
                <w:szCs w:val="18"/>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60" w:type="dxa"/>
            <w:vAlign w:val="bottom"/>
            <w:gridSpan w:val="6"/>
          </w:tcPr>
          <w:p>
            <w:pPr>
              <w:jc w:val="center"/>
              <w:ind w:right="580"/>
              <w:spacing w:after="0"/>
              <w:rPr>
                <w:sz w:val="20"/>
                <w:szCs w:val="20"/>
                <w:color w:val="auto"/>
              </w:rPr>
            </w:pPr>
            <w:r>
              <w:rPr>
                <w:rFonts w:ascii="Arial" w:cs="Arial" w:eastAsia="Arial" w:hAnsi="Arial"/>
                <w:sz w:val="18"/>
                <w:szCs w:val="18"/>
                <w:i w:val="1"/>
                <w:iCs w:val="1"/>
                <w:color w:val="auto"/>
                <w:w w:val="92"/>
              </w:rPr>
              <w:t>Chairman of the Board of Directors</w:t>
            </w:r>
          </w:p>
        </w:tc>
        <w:tc>
          <w:tcPr>
            <w:tcW w:w="6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760" w:type="dxa"/>
            <w:vAlign w:val="bottom"/>
            <w:gridSpan w:val="6"/>
          </w:tcPr>
          <w:p>
            <w:pPr>
              <w:jc w:val="center"/>
              <w:ind w:right="600"/>
              <w:spacing w:after="0"/>
              <w:rPr>
                <w:sz w:val="20"/>
                <w:szCs w:val="20"/>
                <w:color w:val="auto"/>
              </w:rPr>
            </w:pPr>
            <w:r>
              <w:rPr>
                <w:rFonts w:ascii="Arial" w:cs="Arial" w:eastAsia="Arial" w:hAnsi="Arial"/>
                <w:sz w:val="18"/>
                <w:szCs w:val="18"/>
                <w:i w:val="1"/>
                <w:iCs w:val="1"/>
                <w:color w:val="auto"/>
                <w:w w:val="93"/>
              </w:rPr>
              <w:t>(principal executive officer)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8"/>
                <w:szCs w:val="18"/>
                <w:color w:val="auto"/>
                <w:w w:val="94"/>
              </w:rPr>
              <w:t>/s/ STEFAN J. MURRY</w:t>
            </w:r>
          </w:p>
        </w:tc>
        <w:tc>
          <w:tcPr>
            <w:tcW w:w="680" w:type="dxa"/>
            <w:vAlign w:val="bottom"/>
            <w:tcBorders>
              <w:bottom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760" w:type="dxa"/>
            <w:vAlign w:val="bottom"/>
            <w:gridSpan w:val="6"/>
          </w:tcPr>
          <w:p>
            <w:pPr>
              <w:jc w:val="center"/>
              <w:ind w:right="580"/>
              <w:spacing w:after="0" w:line="195" w:lineRule="exact"/>
              <w:rPr>
                <w:sz w:val="20"/>
                <w:szCs w:val="20"/>
                <w:color w:val="auto"/>
              </w:rPr>
            </w:pPr>
            <w:r>
              <w:rPr>
                <w:rFonts w:ascii="Arial" w:cs="Arial" w:eastAsia="Arial" w:hAnsi="Arial"/>
                <w:sz w:val="18"/>
                <w:szCs w:val="18"/>
                <w:color w:val="auto"/>
                <w:w w:val="92"/>
              </w:rPr>
              <w:t>STEFAN J. MURRY,</w:t>
            </w:r>
          </w:p>
        </w:tc>
        <w:tc>
          <w:tcPr>
            <w:tcW w:w="6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60" w:type="dxa"/>
            <w:vAlign w:val="bottom"/>
            <w:gridSpan w:val="6"/>
          </w:tcPr>
          <w:p>
            <w:pPr>
              <w:jc w:val="center"/>
              <w:ind w:right="600"/>
              <w:spacing w:after="0"/>
              <w:rPr>
                <w:sz w:val="20"/>
                <w:szCs w:val="20"/>
                <w:color w:val="auto"/>
              </w:rPr>
            </w:pPr>
            <w:r>
              <w:rPr>
                <w:rFonts w:ascii="Arial" w:cs="Arial" w:eastAsia="Arial" w:hAnsi="Arial"/>
                <w:sz w:val="18"/>
                <w:szCs w:val="18"/>
                <w:i w:val="1"/>
                <w:iCs w:val="1"/>
                <w:color w:val="auto"/>
                <w:w w:val="94"/>
              </w:rPr>
              <w:t>Chief Financial Officer</w:t>
            </w:r>
          </w:p>
        </w:tc>
        <w:tc>
          <w:tcPr>
            <w:tcW w:w="680" w:type="dxa"/>
            <w:vAlign w:val="bottom"/>
          </w:tcPr>
          <w:p>
            <w:pPr>
              <w:spacing w:after="0"/>
              <w:rPr>
                <w:sz w:val="18"/>
                <w:szCs w:val="18"/>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60" w:type="dxa"/>
            <w:vAlign w:val="bottom"/>
            <w:gridSpan w:val="6"/>
          </w:tcPr>
          <w:p>
            <w:pPr>
              <w:jc w:val="center"/>
              <w:ind w:right="600"/>
              <w:spacing w:after="0"/>
              <w:rPr>
                <w:sz w:val="20"/>
                <w:szCs w:val="20"/>
                <w:color w:val="auto"/>
              </w:rPr>
            </w:pPr>
            <w:r>
              <w:rPr>
                <w:rFonts w:ascii="Arial" w:cs="Arial" w:eastAsia="Arial" w:hAnsi="Arial"/>
                <w:sz w:val="18"/>
                <w:szCs w:val="18"/>
                <w:i w:val="1"/>
                <w:iCs w:val="1"/>
                <w:color w:val="auto"/>
                <w:w w:val="96"/>
              </w:rPr>
              <w:t>(principal financial officer and</w:t>
            </w:r>
          </w:p>
        </w:tc>
        <w:tc>
          <w:tcPr>
            <w:tcW w:w="6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760" w:type="dxa"/>
            <w:vAlign w:val="bottom"/>
            <w:gridSpan w:val="6"/>
          </w:tcPr>
          <w:p>
            <w:pPr>
              <w:jc w:val="center"/>
              <w:ind w:right="600"/>
              <w:spacing w:after="0"/>
              <w:rPr>
                <w:sz w:val="20"/>
                <w:szCs w:val="20"/>
                <w:color w:val="auto"/>
              </w:rPr>
            </w:pPr>
            <w:r>
              <w:rPr>
                <w:rFonts w:ascii="Arial" w:cs="Arial" w:eastAsia="Arial" w:hAnsi="Arial"/>
                <w:sz w:val="18"/>
                <w:szCs w:val="18"/>
                <w:i w:val="1"/>
                <w:iCs w:val="1"/>
                <w:color w:val="auto"/>
                <w:w w:val="94"/>
              </w:rPr>
              <w:t>principal accounting officer)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b w:val="1"/>
                <w:bCs w:val="1"/>
                <w:color w:val="auto"/>
                <w:w w:val="89"/>
              </w:rPr>
              <w:t>Signature</w:t>
            </w:r>
          </w:p>
        </w:tc>
        <w:tc>
          <w:tcPr>
            <w:tcW w:w="680" w:type="dxa"/>
            <w:vAlign w:val="bottom"/>
          </w:tcPr>
          <w:p>
            <w:pPr>
              <w:spacing w:after="0"/>
              <w:rPr>
                <w:sz w:val="24"/>
                <w:szCs w:val="24"/>
                <w:color w:val="auto"/>
              </w:rPr>
            </w:pPr>
          </w:p>
        </w:tc>
        <w:tc>
          <w:tcPr>
            <w:tcW w:w="5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8"/>
                <w:szCs w:val="18"/>
                <w:color w:val="auto"/>
              </w:rPr>
              <w:t>/s/ WILLIAM H. YEH</w:t>
            </w:r>
          </w:p>
        </w:tc>
        <w:tc>
          <w:tcPr>
            <w:tcW w:w="680" w:type="dxa"/>
            <w:vAlign w:val="bottom"/>
            <w:tcBorders>
              <w:bottom w:val="single" w:sz="8" w:color="auto"/>
            </w:tcBorders>
          </w:tcPr>
          <w:p>
            <w:pPr>
              <w:spacing w:after="0"/>
              <w:rPr>
                <w:sz w:val="24"/>
                <w:szCs w:val="24"/>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760" w:type="dxa"/>
            <w:vAlign w:val="bottom"/>
            <w:gridSpan w:val="6"/>
          </w:tcPr>
          <w:p>
            <w:pPr>
              <w:jc w:val="center"/>
              <w:ind w:right="600"/>
              <w:spacing w:after="0" w:line="195" w:lineRule="exact"/>
              <w:rPr>
                <w:sz w:val="20"/>
                <w:szCs w:val="20"/>
                <w:color w:val="auto"/>
              </w:rPr>
            </w:pPr>
            <w:r>
              <w:rPr>
                <w:rFonts w:ascii="Arial" w:cs="Arial" w:eastAsia="Arial" w:hAnsi="Arial"/>
                <w:sz w:val="18"/>
                <w:szCs w:val="18"/>
                <w:color w:val="auto"/>
              </w:rPr>
              <w:t>WILLIAM H. YEH,</w:t>
            </w:r>
          </w:p>
        </w:tc>
        <w:tc>
          <w:tcPr>
            <w:tcW w:w="6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i w:val="1"/>
                <w:iCs w:val="1"/>
                <w:color w:val="auto"/>
                <w:w w:val="98"/>
              </w:rPr>
              <w:t>Director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97"/>
              </w:rPr>
              <w:t>/s/ RICHARD B. BLACK</w:t>
            </w:r>
          </w:p>
        </w:tc>
        <w:tc>
          <w:tcPr>
            <w:tcW w:w="680" w:type="dxa"/>
            <w:vAlign w:val="bottom"/>
            <w:tcBorders>
              <w:bottom w:val="single" w:sz="8" w:color="auto"/>
            </w:tcBorders>
          </w:tcPr>
          <w:p>
            <w:pPr>
              <w:spacing w:after="0"/>
              <w:rPr>
                <w:sz w:val="24"/>
                <w:szCs w:val="24"/>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760" w:type="dxa"/>
            <w:vAlign w:val="bottom"/>
            <w:gridSpan w:val="6"/>
          </w:tcPr>
          <w:p>
            <w:pPr>
              <w:jc w:val="center"/>
              <w:ind w:right="600"/>
              <w:spacing w:after="0" w:line="195" w:lineRule="exact"/>
              <w:rPr>
                <w:sz w:val="20"/>
                <w:szCs w:val="20"/>
                <w:color w:val="auto"/>
              </w:rPr>
            </w:pPr>
            <w:r>
              <w:rPr>
                <w:rFonts w:ascii="Arial" w:cs="Arial" w:eastAsia="Arial" w:hAnsi="Arial"/>
                <w:sz w:val="18"/>
                <w:szCs w:val="18"/>
                <w:color w:val="auto"/>
                <w:w w:val="99"/>
              </w:rPr>
              <w:t>RICHARD B. BLACK,</w:t>
            </w:r>
          </w:p>
        </w:tc>
        <w:tc>
          <w:tcPr>
            <w:tcW w:w="6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i w:val="1"/>
                <w:iCs w:val="1"/>
                <w:color w:val="auto"/>
                <w:w w:val="98"/>
              </w:rPr>
              <w:t>Director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1460"/>
              <w:spacing w:after="0"/>
              <w:rPr>
                <w:sz w:val="20"/>
                <w:szCs w:val="20"/>
                <w:color w:val="auto"/>
              </w:rPr>
            </w:pPr>
            <w:r>
              <w:rPr>
                <w:rFonts w:ascii="Arial" w:cs="Arial" w:eastAsia="Arial" w:hAnsi="Arial"/>
                <w:sz w:val="18"/>
                <w:szCs w:val="18"/>
                <w:color w:val="auto"/>
                <w:w w:val="97"/>
              </w:rPr>
              <w:t>/s/ CHE-WEI LIN</w:t>
            </w:r>
          </w:p>
        </w:tc>
        <w:tc>
          <w:tcPr>
            <w:tcW w:w="680" w:type="dxa"/>
            <w:vAlign w:val="bottom"/>
            <w:tcBorders>
              <w:bottom w:val="single" w:sz="8" w:color="auto"/>
            </w:tcBorders>
          </w:tcPr>
          <w:p>
            <w:pPr>
              <w:spacing w:after="0"/>
              <w:rPr>
                <w:sz w:val="24"/>
                <w:szCs w:val="24"/>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gridSpan w:val="5"/>
          </w:tcPr>
          <w:p>
            <w:pPr>
              <w:jc w:val="center"/>
              <w:ind w:right="1460"/>
              <w:spacing w:after="0" w:line="195" w:lineRule="exact"/>
              <w:rPr>
                <w:sz w:val="20"/>
                <w:szCs w:val="20"/>
                <w:color w:val="auto"/>
              </w:rPr>
            </w:pPr>
            <w:r>
              <w:rPr>
                <w:rFonts w:ascii="Arial" w:cs="Arial" w:eastAsia="Arial" w:hAnsi="Arial"/>
                <w:sz w:val="18"/>
                <w:szCs w:val="18"/>
                <w:color w:val="auto"/>
                <w:w w:val="99"/>
              </w:rPr>
              <w:t>CHE-WEI LIN,</w:t>
            </w:r>
          </w:p>
        </w:tc>
        <w:tc>
          <w:tcPr>
            <w:tcW w:w="6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i w:val="1"/>
                <w:iCs w:val="1"/>
                <w:color w:val="auto"/>
                <w:w w:val="98"/>
              </w:rPr>
              <w:t>Director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8"/>
                <w:szCs w:val="18"/>
                <w:color w:val="auto"/>
                <w:w w:val="99"/>
              </w:rPr>
              <w:t>/s/ ALEX IGNATIEV</w:t>
            </w:r>
          </w:p>
        </w:tc>
        <w:tc>
          <w:tcPr>
            <w:tcW w:w="680" w:type="dxa"/>
            <w:vAlign w:val="bottom"/>
            <w:tcBorders>
              <w:bottom w:val="single" w:sz="8" w:color="auto"/>
            </w:tcBorders>
          </w:tcPr>
          <w:p>
            <w:pPr>
              <w:spacing w:after="0"/>
              <w:rPr>
                <w:sz w:val="24"/>
                <w:szCs w:val="24"/>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gridSpan w:val="5"/>
          </w:tcPr>
          <w:p>
            <w:pPr>
              <w:jc w:val="center"/>
              <w:ind w:right="1440"/>
              <w:spacing w:after="0" w:line="195" w:lineRule="exact"/>
              <w:rPr>
                <w:sz w:val="20"/>
                <w:szCs w:val="20"/>
                <w:color w:val="auto"/>
              </w:rPr>
            </w:pPr>
            <w:r>
              <w:rPr>
                <w:rFonts w:ascii="Arial" w:cs="Arial" w:eastAsia="Arial" w:hAnsi="Arial"/>
                <w:sz w:val="18"/>
                <w:szCs w:val="18"/>
                <w:color w:val="auto"/>
                <w:w w:val="98"/>
              </w:rPr>
              <w:t>ALEX IGNATIEV,</w:t>
            </w:r>
          </w:p>
        </w:tc>
        <w:tc>
          <w:tcPr>
            <w:tcW w:w="6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i w:val="1"/>
                <w:iCs w:val="1"/>
                <w:color w:val="auto"/>
                <w:w w:val="98"/>
              </w:rPr>
              <w:t>Director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1460"/>
              <w:spacing w:after="0"/>
              <w:rPr>
                <w:sz w:val="20"/>
                <w:szCs w:val="20"/>
                <w:color w:val="auto"/>
              </w:rPr>
            </w:pPr>
            <w:r>
              <w:rPr>
                <w:rFonts w:ascii="Arial" w:cs="Arial" w:eastAsia="Arial" w:hAnsi="Arial"/>
                <w:sz w:val="18"/>
                <w:szCs w:val="18"/>
                <w:color w:val="auto"/>
                <w:w w:val="97"/>
              </w:rPr>
              <w:t>/s/ ALAN MOORE</w:t>
            </w:r>
          </w:p>
        </w:tc>
        <w:tc>
          <w:tcPr>
            <w:tcW w:w="680" w:type="dxa"/>
            <w:vAlign w:val="bottom"/>
            <w:tcBorders>
              <w:bottom w:val="single" w:sz="8" w:color="auto"/>
            </w:tcBorders>
          </w:tcPr>
          <w:p>
            <w:pPr>
              <w:spacing w:after="0"/>
              <w:rPr>
                <w:sz w:val="24"/>
                <w:szCs w:val="24"/>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00" w:type="dxa"/>
            <w:vAlign w:val="bottom"/>
            <w:gridSpan w:val="5"/>
          </w:tcPr>
          <w:p>
            <w:pPr>
              <w:jc w:val="center"/>
              <w:ind w:right="1460"/>
              <w:spacing w:after="0" w:line="195" w:lineRule="exact"/>
              <w:rPr>
                <w:sz w:val="20"/>
                <w:szCs w:val="20"/>
                <w:color w:val="auto"/>
              </w:rPr>
            </w:pPr>
            <w:r>
              <w:rPr>
                <w:rFonts w:ascii="Arial" w:cs="Arial" w:eastAsia="Arial" w:hAnsi="Arial"/>
                <w:sz w:val="18"/>
                <w:szCs w:val="18"/>
                <w:color w:val="auto"/>
                <w:w w:val="99"/>
              </w:rPr>
              <w:t>ALAN MOORE,</w:t>
            </w:r>
          </w:p>
        </w:tc>
        <w:tc>
          <w:tcPr>
            <w:tcW w:w="6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i w:val="1"/>
                <w:iCs w:val="1"/>
                <w:color w:val="auto"/>
                <w:w w:val="98"/>
              </w:rPr>
              <w:t>Director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8"/>
                <w:szCs w:val="18"/>
                <w:color w:val="auto"/>
                <w:w w:val="98"/>
              </w:rPr>
              <w:t>/s/ MIN-CHU (MIKE) CHEN</w:t>
            </w:r>
          </w:p>
        </w:tc>
        <w:tc>
          <w:tcPr>
            <w:tcW w:w="680" w:type="dxa"/>
            <w:vAlign w:val="bottom"/>
            <w:tcBorders>
              <w:bottom w:val="single" w:sz="8" w:color="auto"/>
            </w:tcBorders>
          </w:tcPr>
          <w:p>
            <w:pPr>
              <w:spacing w:after="0"/>
              <w:rPr>
                <w:sz w:val="24"/>
                <w:szCs w:val="24"/>
                <w:color w:val="auto"/>
              </w:rPr>
            </w:pPr>
          </w:p>
        </w:tc>
        <w:tc>
          <w:tcPr>
            <w:tcW w:w="5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February 28, 2020</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3760" w:type="dxa"/>
            <w:vAlign w:val="bottom"/>
            <w:gridSpan w:val="6"/>
          </w:tcPr>
          <w:p>
            <w:pPr>
              <w:jc w:val="center"/>
              <w:ind w:right="600"/>
              <w:spacing w:after="0" w:line="195" w:lineRule="exact"/>
              <w:rPr>
                <w:sz w:val="20"/>
                <w:szCs w:val="20"/>
                <w:color w:val="auto"/>
              </w:rPr>
            </w:pPr>
            <w:r>
              <w:rPr>
                <w:rFonts w:ascii="Arial" w:cs="Arial" w:eastAsia="Arial" w:hAnsi="Arial"/>
                <w:sz w:val="18"/>
                <w:szCs w:val="18"/>
                <w:color w:val="auto"/>
                <w:w w:val="99"/>
              </w:rPr>
              <w:t>MIN-CHU (MIKE) CHEN,</w:t>
            </w:r>
          </w:p>
        </w:tc>
        <w:tc>
          <w:tcPr>
            <w:tcW w:w="68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900" w:type="dxa"/>
            <w:vAlign w:val="bottom"/>
            <w:gridSpan w:val="5"/>
          </w:tcPr>
          <w:p>
            <w:pPr>
              <w:jc w:val="center"/>
              <w:ind w:right="1440"/>
              <w:spacing w:after="0"/>
              <w:rPr>
                <w:sz w:val="20"/>
                <w:szCs w:val="20"/>
                <w:color w:val="auto"/>
              </w:rPr>
            </w:pPr>
            <w:r>
              <w:rPr>
                <w:rFonts w:ascii="Arial" w:cs="Arial" w:eastAsia="Arial" w:hAnsi="Arial"/>
                <w:sz w:val="18"/>
                <w:szCs w:val="18"/>
                <w:i w:val="1"/>
                <w:iCs w:val="1"/>
                <w:color w:val="auto"/>
                <w:w w:val="98"/>
              </w:rPr>
              <w:t>Director</w:t>
            </w:r>
          </w:p>
        </w:tc>
        <w:tc>
          <w:tcPr>
            <w:tcW w:w="68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0" w:type="dxa"/>
            <w:vAlign w:val="bottom"/>
            <w:gridSpan w:val="2"/>
          </w:tcPr>
          <w:p>
            <w:pPr>
              <w:jc w:val="right"/>
              <w:ind w:right="4950"/>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04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040" w:type="dxa"/>
            <w:vAlign w:val="bottom"/>
            <w:gridSpan w:val="7"/>
          </w:tcPr>
          <w:p>
            <w:pPr>
              <w:spacing w:after="0"/>
              <w:rPr>
                <w:sz w:val="20"/>
                <w:szCs w:val="20"/>
                <w:color w:val="auto"/>
              </w:rPr>
            </w:pPr>
            <w:r>
              <w:rPr>
                <w:rFonts w:ascii="Arial" w:cs="Arial" w:eastAsia="Arial" w:hAnsi="Arial"/>
                <w:sz w:val="18"/>
                <w:szCs w:val="18"/>
                <w:color w:val="auto"/>
              </w:rPr>
              <w:t>INDEX TO CONSOLIDATED FINANCIAL STATEMENTS</w:t>
            </w: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Pages</w:t>
            </w:r>
          </w:p>
        </w:tc>
        <w:tc>
          <w:tcPr>
            <w:tcW w:w="0" w:type="dxa"/>
            <w:vAlign w:val="bottom"/>
          </w:tcPr>
          <w:p>
            <w:pPr>
              <w:spacing w:after="0"/>
              <w:rPr>
                <w:sz w:val="1"/>
                <w:szCs w:val="1"/>
                <w:color w:val="auto"/>
              </w:rPr>
            </w:pPr>
          </w:p>
        </w:tc>
      </w:tr>
      <w:tr>
        <w:trPr>
          <w:trHeight w:val="385"/>
        </w:trPr>
        <w:tc>
          <w:tcPr>
            <w:tcW w:w="42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Report of Independent Registered Public Accounting Firm</w:t>
              </w:r>
            </w:hyperlink>
          </w:p>
        </w:tc>
        <w:tc>
          <w:tcPr>
            <w:tcW w:w="7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412"/>
        </w:trPr>
        <w:tc>
          <w:tcPr>
            <w:tcW w:w="21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Balance Sheets</w:t>
              </w:r>
            </w:hyperlink>
          </w:p>
        </w:tc>
        <w:tc>
          <w:tcPr>
            <w:tcW w:w="290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412"/>
        </w:trPr>
        <w:tc>
          <w:tcPr>
            <w:tcW w:w="28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Consolidated Statements of Operations</w:t>
              </w:r>
            </w:hyperlink>
          </w:p>
        </w:tc>
        <w:tc>
          <w:tcPr>
            <w:tcW w:w="21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412"/>
        </w:trPr>
        <w:tc>
          <w:tcPr>
            <w:tcW w:w="43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Statements of Comprehensive Income (Loss)</w:t>
              </w:r>
            </w:hyperlink>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412"/>
        </w:trPr>
        <w:tc>
          <w:tcPr>
            <w:tcW w:w="3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Consolidated Statements of Stockholders’ Equity</w:t>
              </w:r>
            </w:hyperlink>
          </w:p>
        </w:tc>
        <w:tc>
          <w:tcPr>
            <w:tcW w:w="144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-2301875</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-2301875</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Consolidated Statements of Cash Flows</w:t>
              </w:r>
            </w:hyperlink>
          </w:p>
        </w:tc>
        <w:tc>
          <w:tcPr>
            <w:tcW w:w="280" w:type="dxa"/>
            <w:vAlign w:val="bottom"/>
          </w:tcPr>
          <w:p>
            <w:pPr>
              <w:spacing w:after="0"/>
              <w:rPr>
                <w:sz w:val="17"/>
                <w:szCs w:val="17"/>
                <w:color w:val="auto"/>
              </w:rPr>
            </w:pPr>
          </w:p>
        </w:tc>
        <w:tc>
          <w:tcPr>
            <w:tcW w:w="8220" w:type="dxa"/>
            <w:vAlign w:val="bottom"/>
          </w:tcPr>
          <w:p>
            <w:pPr>
              <w:ind w:left="7800"/>
              <w:spacing w:after="0"/>
              <w:rPr>
                <w:sz w:val="20"/>
                <w:szCs w:val="20"/>
                <w:color w:val="auto"/>
              </w:rPr>
            </w:pPr>
            <w:r>
              <w:rPr>
                <w:rFonts w:ascii="Arial" w:cs="Arial" w:eastAsia="Arial" w:hAnsi="Arial"/>
                <w:sz w:val="18"/>
                <w:szCs w:val="18"/>
                <w:color w:val="auto"/>
              </w:rPr>
              <w:t>F-7</w:t>
            </w:r>
          </w:p>
        </w:tc>
      </w:tr>
      <w:tr>
        <w:trPr>
          <w:trHeight w:val="412"/>
        </w:trPr>
        <w:tc>
          <w:tcPr>
            <w:tcW w:w="32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Notes to Consolidated Financial Statements</w:t>
              </w:r>
            </w:hyperlink>
          </w:p>
        </w:tc>
        <w:tc>
          <w:tcPr>
            <w:tcW w:w="8220" w:type="dxa"/>
            <w:vAlign w:val="bottom"/>
          </w:tcPr>
          <w:p>
            <w:pPr>
              <w:ind w:left="7800"/>
              <w:spacing w:after="0"/>
              <w:rPr>
                <w:sz w:val="20"/>
                <w:szCs w:val="20"/>
                <w:color w:val="auto"/>
              </w:rPr>
            </w:pPr>
            <w:r>
              <w:rPr>
                <w:rFonts w:ascii="Arial" w:cs="Arial" w:eastAsia="Arial" w:hAnsi="Arial"/>
                <w:sz w:val="18"/>
                <w:szCs w:val="18"/>
                <w:color w:val="auto"/>
              </w:rPr>
              <w:t>F-8</w:t>
            </w:r>
          </w:p>
        </w:tc>
      </w:tr>
      <w:tr>
        <w:trPr>
          <w:trHeight w:val="466"/>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F-1</w:t>
            </w:r>
          </w:p>
        </w:tc>
      </w:tr>
      <w:tr>
        <w:trPr>
          <w:trHeight w:val="115"/>
        </w:trPr>
        <w:tc>
          <w:tcPr>
            <w:tcW w:w="1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r>
      <w:tr>
        <w:trPr>
          <w:trHeight w:val="284"/>
        </w:trPr>
        <w:tc>
          <w:tcPr>
            <w:tcW w:w="32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22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-217805</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-217805</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Applied Optoelectronics, Inc. (a Delaware corporation) and subsidiaries (the “Company”) as of December 31, 2019 and 2018, the related consolidated statements of operations, comprehensive income (loss), changes in stockholders’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February 28, 2020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discussed in Note B to the consolidated financial statements, the Company has changed its method of accounting for leases on January 1, 2019 due to the adoption of Accounting Standards Update No. 2016-02: Leases (Topic 842).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520" w:type="dxa"/>
            <w:vAlign w:val="bottom"/>
          </w:tcPr>
          <w:p>
            <w:pPr>
              <w:jc w:val="center"/>
              <w:ind w:left="221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52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20" w:type="dxa"/>
            <w:vAlign w:val="bottom"/>
          </w:tcPr>
          <w:p>
            <w:pPr>
              <w:jc w:val="center"/>
              <w:ind w:left="221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59,977</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55,646</w:t>
            </w:r>
          </w:p>
        </w:tc>
      </w:tr>
      <w:tr>
        <w:trPr>
          <w:trHeight w:val="216"/>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r>
      <w:tr>
        <w:trPr>
          <w:trHeight w:val="216"/>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$30 and $32, respectively</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30,534</w:t>
            </w:r>
          </w:p>
        </w:tc>
      </w:tr>
      <w:tr>
        <w:trPr>
          <w:trHeight w:val="216"/>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85,028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93,256</w:t>
            </w:r>
          </w:p>
        </w:tc>
      </w:tr>
      <w:tr>
        <w:trPr>
          <w:trHeight w:val="216"/>
        </w:trPr>
        <w:tc>
          <w:tcPr>
            <w:tcW w:w="7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r>
      <w:tr>
        <w:trPr>
          <w:trHeight w:val="216"/>
        </w:trPr>
        <w:tc>
          <w:tcPr>
            <w:tcW w:w="78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11,293</w:t>
            </w:r>
          </w:p>
        </w:tc>
      </w:tr>
      <w:tr>
        <w:trPr>
          <w:trHeight w:val="20"/>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192,804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194,275</w:t>
            </w:r>
          </w:p>
        </w:tc>
      </w:tr>
    </w:tbl>
    <w:p>
      <w:pPr>
        <w:sectPr>
          <w:pgSz w:w="11900" w:h="16838" w:orient="portrait"/>
          <w:cols w:equalWidth="0" w:num="1">
            <w:col w:w="11420"/>
          </w:cols>
          <w:pgMar w:left="240" w:top="324"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248,444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use rights,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Operating right of use asset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right of use asset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4,081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466,825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Current portion of notes payable and long-term debt</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33,371</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lease liability - operating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Current lease liability - financing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91,355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and long-term debt, less current portion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Convertible senior notes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77,041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Non-current lease liability - operating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Non-current lease liability - financing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193,031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Preferred Stock; 5,000 shares authorized at $0.001 par value; no shares issued and outstanding at December</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 2019 and December 31, 2018, respectively</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45,000 shares authorized at $0.001 par value; 20,140 and 19,810 shares issued and</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outstanding at December 31, 2019 and December 31, 2018, respectively</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303,401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(30,057)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273,794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466,825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267,465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144,671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179,692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216,049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9,141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39,497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94,948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98,541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79,329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(14,662)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7,632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income (loss) per share</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19,982,363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19,646,646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19,097,355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19,982,363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19,646,646</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20,139,105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00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9"/>
              </w:rPr>
              <w:t>CONSOLIDATED STATEMENTS OF COMPREHENSIVE INCOME (LOSS)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80" w:type="dxa"/>
            <w:vAlign w:val="bottom"/>
            <w:gridSpan w:val="2"/>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(66,049)</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73,951</w:t>
            </w: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Loss on foreign currency translation adjustment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(9,141)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10,628</w:t>
            </w: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(66,221)</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(11,287)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2017, 2018 and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216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Preferred Stock</w:t>
            </w:r>
          </w:p>
        </w:tc>
        <w:tc>
          <w:tcPr>
            <w:tcW w:w="208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20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other</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080" w:type="dxa"/>
            <w:vAlign w:val="bottom"/>
            <w:tcBorders>
              <w:top w:val="single" w:sz="8" w:color="auto"/>
            </w:tcBorders>
            <w:gridSpan w:val="2"/>
          </w:tcPr>
          <w:p>
            <w:pPr>
              <w:ind w:left="100"/>
              <w:spacing w:after="0" w:line="191" w:lineRule="exact"/>
              <w:rPr>
                <w:sz w:val="20"/>
                <w:szCs w:val="20"/>
                <w:color w:val="auto"/>
              </w:rPr>
            </w:pPr>
            <w:r>
              <w:rPr>
                <w:rFonts w:ascii="Arial" w:cs="Arial" w:eastAsia="Arial" w:hAnsi="Arial"/>
                <w:sz w:val="18"/>
                <w:szCs w:val="18"/>
                <w:b w:val="1"/>
                <w:bCs w:val="1"/>
                <w:color w:val="auto"/>
              </w:rPr>
              <w:t>Number</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Number</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paid-in</w:t>
            </w: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2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of 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of 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gain (loss)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(37,013)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227,384</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Public offering of common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stock, net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21,571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21,572</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 options exercised, net</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of shares withheld for</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employee tax</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(6,623)</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5"/>
              </w:rPr>
              <w:t>Issuance of restricted stock,</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employee tax</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Share-based compensation</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Cumulative effect of</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5"/>
              </w:rPr>
              <w:t>previously unrecognized tax</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benefits</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860" w:type="dxa"/>
            <w:vAlign w:val="bottom"/>
            <w:vMerge w:val="restart"/>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10,628</w:t>
            </w:r>
          </w:p>
        </w:tc>
        <w:tc>
          <w:tcPr>
            <w:tcW w:w="14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10,628</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adjustment</w:t>
            </w:r>
          </w:p>
        </w:tc>
        <w:tc>
          <w:tcPr>
            <w:tcW w:w="86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38,138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333,276</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5"/>
              </w:rPr>
              <w:t>Stock options exercised, net</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of shares withheld for</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employee tax</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(2,073)</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restricted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employee tax</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(1,943)</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7"/>
              </w:rPr>
              <w:t>Share-based compensation</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11,120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previously unrecognized tax</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35,992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329,094</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5"/>
              </w:rPr>
              <w:t>Stock options exercised, net</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of shares withheld for</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employee tax</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restricted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employee tax</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7"/>
              </w:rPr>
              <w:t>Share-based compensation</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11,804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Foreign currency translation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(66,049)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(66,049)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(30,057)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273,794</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08" w:right="239" w:bottom="0" w:gutter="0" w:footer="0" w:header="0"/>
        </w:sectPr>
      </w:pPr>
    </w:p>
    <w:bookmarkStart w:id="53" w:name="page54"/>
    <w:bookmarkEnd w:id="53"/>
    <w:p>
      <w:pPr>
        <w:ind w:left="3940"/>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(66,049)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Lower of cost or market reserve adjustment to inventory</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7,166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24,014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 net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14,570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on disposal of assets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11,804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Unrealized foreign exchange gain (loss)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Accounts receivable, trade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29,316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(28,403)</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Operating right of use asset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Accrued income taxes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(7,390)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Lease liability</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in) by operating activities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short-term investments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(71,854)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land use rights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disposal of equipment</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 and prepaid for equipment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Proceeds from issuance of notes payable and long-term debt, net of debt issuance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13,661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47,849</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Principal payments of long-term debt and notes payable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(43,363)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(3,133)</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83,434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(88,299)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(165,569)</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bank acceptance payable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Repayments of bank acceptance payable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(11,952)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Proceeds from issuance of convertible senior notes, net of debt issuance costs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76,362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Principal payments of financing lease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Payments of tax withholding on behalf of employees related to share-based</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(4,137)</w:t>
            </w: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 offering, net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42,596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34,803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(25,944)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58,004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83,948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67,028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58,004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paid (received) for:</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8,470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investing and financing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w w:val="99"/>
              </w:rPr>
              <w:t>Net change in accounts payable related to property and equipment additions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(3,869)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(1,151)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Net change in deposits and prepaid for equipment related to property and</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equipment additions</w:t>
            </w: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580" w:right="239" w:bottom="153"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CATV, telecom and FTTH. The Company designs and manufactures a wide range of optical communications products at varying levels of integration, from components, subassemblies and modules to complete turn-key equipment.</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167"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jc w:val="both"/>
        <w:ind w:left="660" w:right="120" w:firstLine="648"/>
        <w:spacing w:after="0" w:line="264"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81"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securities with an original maturity of ninety days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in foreign accounts was approximately $15.1 million and $8.0 million at December 31, 2019 and 2018, respectively.</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2019, approximately $51.3 million of U.S. deposits were not covered by FDIC insurance. The Company has not experienced any losses and believes it is not exposed to any significant risk with such accounts.</w:t>
      </w:r>
    </w:p>
    <w:p>
      <w:pPr>
        <w:spacing w:after="0" w:line="171"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includes guarantee deposits for customs duties and compensating balances associated with credit facilities.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81"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instruments which potentially subject the Company to concentrations of credit risk include cash, cash equivalents and accounts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places all cash and cash equivalents with high-credit quality financial institutions.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2019, 2018 and 2017, its top five customers represented 80.7%, 85.7%, and 86.1% of its revenue, respectively. In 2019, Microsoft, Amazon, Facebook and Cisco represented 32.2%, 24.0%, 10.9% and 10.0% of its revenue, respectively. In 2018, Facebook, Microsoft, Amazon and Cisco represented 38.3%, 22.1%, 12.1% and 9.9% of its revenue, respectively. In 2017, Amazon, Facebook, Microsoft and Cisco represented 35.4%, 28.6%, 13.8% and 4.8% of its revenue, respectively. The five largest receivable balances for customers represented an aggregate of 82.0% and 70.2% of total accounts receivable at December 31, 2019 and 2018, respectively. As of December 31, 2019, Microsoft and Amazon represented 32.0% and 33.0% of total accounts receivable, respectively. As of December 31, 2018, Microsoft, Amazon and Facebook represented 23.2%, 18.7%, and 12.6% of total accounts receivable, respectively. No other customer represented greater than ten percent of revenue in 2019, 2018 or 2017 had greater than ten percent of total accounts receivable at December 31, 2019 or 2018.</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8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2"/>
          </w:tcPr>
          <w:p>
            <w:pPr>
              <w:ind w:left="2260"/>
              <w:spacing w:after="0"/>
              <w:rPr>
                <w:sz w:val="20"/>
                <w:szCs w:val="20"/>
                <w:color w:val="auto"/>
              </w:rPr>
            </w:pPr>
            <w:r>
              <w:rPr>
                <w:rFonts w:ascii="Arial" w:cs="Arial" w:eastAsia="Arial" w:hAnsi="Arial"/>
                <w:sz w:val="18"/>
                <w:szCs w:val="18"/>
                <w:b w:val="1"/>
                <w:bCs w:val="1"/>
                <w:color w:val="auto"/>
              </w:rPr>
              <w:t>Useful lives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20 - 42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Land improvements</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w:t>
            </w: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3</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w:t>
            </w: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9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The shorter of the life of the applicable lease or the useful life of the</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920" w:type="dxa"/>
            <w:vAlign w:val="bottom"/>
            <w:gridSpan w:val="3"/>
          </w:tcPr>
          <w:p>
            <w:pPr>
              <w:ind w:left="120"/>
              <w:spacing w:after="0"/>
              <w:rPr>
                <w:sz w:val="20"/>
                <w:szCs w:val="20"/>
                <w:color w:val="auto"/>
              </w:rPr>
            </w:pPr>
            <w:r>
              <w:rPr>
                <w:rFonts w:ascii="Arial" w:cs="Arial" w:eastAsia="Arial" w:hAnsi="Arial"/>
                <w:sz w:val="18"/>
                <w:szCs w:val="18"/>
                <w:color w:val="auto"/>
              </w:rPr>
              <w:t>improvement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5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8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Intangible assets consist of intellectual property that is stated at cost less accumulated amortization. As of December 31, 2019, the Company had 291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(“ASC 360”). Long-lived assets consist primarily of property, plant and equipment, right-of-use assets and intangible assets.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2019 or 2018.</w:t>
      </w:r>
    </w:p>
    <w:p>
      <w:pPr>
        <w:spacing w:after="0" w:line="169"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(“ASC 220”) establishes rules for reporting and display of comprehensive income and its components. ASC 220 requires that unrealized gains and losses on the Company’s foreign currency translation adjustments be included in comprehensive income (loss).</w:t>
      </w:r>
    </w:p>
    <w:p>
      <w:pPr>
        <w:spacing w:after="0" w:line="12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estimated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4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The Company derives revenue from the manufacture and sale of fiber optic networking products. Revenue recognition follows the criteria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Specifically, the Company recognizes revenue when obligations under the terms of a contract with its customer are satisfied; generally this occurs with the transfer of control of products or services.</w:t>
      </w:r>
    </w:p>
    <w:p>
      <w:pPr>
        <w:spacing w:after="0" w:line="18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in which case the cost of sales will increase in the future. As of December 31, 2019 and 2018, the amount of accrued warranty was $0.8 million and $1.0 million, respectively.</w:t>
      </w:r>
    </w:p>
    <w:p>
      <w:pPr>
        <w:spacing w:after="0" w:line="193"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$0.5 million, $0.5 million, and $0.3 million for the years ended December 31, 2019, 2018 and 2017,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Research and development costs are charged to operations as incurred. The Company receives reimbursement for certain development costs, which are capitalized when incurred, up to the reimbursable amount.</w:t>
      </w:r>
    </w:p>
    <w:p>
      <w:pPr>
        <w:spacing w:after="0" w:line="17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7" w:lineRule="exact"/>
        <w:rPr>
          <w:sz w:val="20"/>
          <w:szCs w:val="20"/>
          <w:color w:val="auto"/>
        </w:rPr>
      </w:pPr>
    </w:p>
    <w:p>
      <w:pPr>
        <w:jc w:val="both"/>
        <w:ind w:right="920" w:firstLine="648"/>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2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Recent Accounting Pronouncements Adopted in 2019</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February 25, 2016, the FASB released Accounting Standards Update ("ASU") No. 2016-02, Leases, to complete its project to overhaul lease accounting. The ASU codifies ASC 842, Leases, which will replace the guidance in ASC 840. The new standard establishes a right-of-use model ("ROU") that requires a lessee to recognize a ROU asset and lease liability on the balance sheet for all leases with a term longer than 12 months. The Company adopted this ASU on January 1, 2019 without any impact to beginning retained earnings. Upon adoption of the new lease standard, the Company elected the package of practical expedients which allowed it to carry forward the historical lease classification on existing leases at adoption. In addition, the Company elected the short-term lease recognition exemption for all leases that qualify. The Company also elected the practical expedient to not separate lease and non-lease components for all of its leases. The Company has implemented internal controls to enable the presentation of financial information on adoption. The standard has a material impact on the Company’s consolidated balance sheet, but did not have an impact in its consolidated income statements. The most significant effects of adopting the new standard relate to the recognition of new ROU assets and lease liabilities on its balance sheet for its Taiwan branch. See Note D, "Operating Leases" for additional information on the required disclosures related to the impact of adopting this standard.</w:t>
      </w:r>
    </w:p>
    <w:p>
      <w:pPr>
        <w:spacing w:after="0" w:line="16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June 2018, the FASB issued ASU 2018-07, Compensation-Stock Compensation (Topic 718): Improvements to Nonemployee Share-Based Payment Accounting, which simplifies the accounting for nonemployee share-based payment transactions. The amendments specify that Topic 718 applies to all share-based payment transactions in which a grantor acquires goods or services to be used or consumed in a grantor’s own operations by issuing share-based payment awards. The Company adopted this ASU on January 1, 2019 with no impact on its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on Financial Instruments, which changes the way entities measure credit losses for most financial assets and certain other instruments that are not measured at fair value through net earnings. The new standard is effective for annual periods beginning after December 15, 2019, including interim periods within those annual periods. Based on the composition of the Company’s investment portfolio, current market conditions, and historical credit loss activity, the adoption of ASU 2016-13 is not expected to have a material impact on its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On January 1, 2018, the Company adopted Topic 606 using the modified retrospective method. Under the modified retrospective method, the Company did not record a cumulative effect adjustment to retained earnings for initially applying the new guidance as no revenue recognition differences were identified in the timing or amount of revenue. Results for reporting periods beginning after January 1, 2018 are presented under Topic 606, while prior period amounts are not adjusted and continue to be reported in accordance with its historic accounting under Revenue Recognition ("Topic 605").</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 consideration related to the contract is allocated entirely to a performance obligation. The Company determines standalone selling price based on the price at which the performance obligation is sold separately.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R, "Segments and Geographic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7480" w:type="dxa"/>
            <w:vAlign w:val="bottom"/>
            <w:gridSpan w:val="12"/>
          </w:tcPr>
          <w:p>
            <w:pPr>
              <w:jc w:val="right"/>
              <w:ind w:right="800"/>
              <w:spacing w:after="0"/>
              <w:rPr>
                <w:sz w:val="20"/>
                <w:szCs w:val="20"/>
                <w:color w:val="auto"/>
              </w:rPr>
            </w:pPr>
            <w:r>
              <w:rPr>
                <w:rFonts w:ascii="Arial" w:cs="Arial" w:eastAsia="Arial" w:hAnsi="Arial"/>
                <w:sz w:val="18"/>
                <w:szCs w:val="18"/>
                <w:color w:val="auto"/>
                <w:w w:val="90"/>
              </w:rPr>
              <w:t>Revenue is also classified by major product category and is presented below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w w:val="91"/>
              </w:rPr>
              <w:t>Years ended December 31,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4"/>
              </w:rPr>
              <w:t>% of</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680"/>
              <w:spacing w:after="0" w:line="191"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200,236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306,712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5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37,328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51,699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60,756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8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13,159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8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190,872</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267,465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382,329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D—OPERATING LEASES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Company leases space under non-cancelable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includes or excludes from the calculation of the lease liability of the ROU asset based on management’s intentions and individual fact patterns. Several warehouses and apartments have non-cancelable lease terms of less than one-year and therefore, the Company has elected the practical expedient to exclude these short-term leases from its ROU asset and lease liabilities.</w:t>
      </w:r>
    </w:p>
    <w:p>
      <w:pPr>
        <w:spacing w:after="0" w:line="17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2019</w:t>
      </w:r>
    </w:p>
    <w:p>
      <w:pPr>
        <w:sectPr>
          <w:pgSz w:w="11900" w:h="16838" w:orient="portrait"/>
          <w:cols w:equalWidth="0" w:num="1">
            <w:col w:w="11420"/>
          </w:cols>
          <w:pgMar w:left="240" w:top="108" w:right="239" w:bottom="1440" w:gutter="0" w:footer="0" w:header="0"/>
        </w:sectPr>
      </w:pP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-107315</wp:posOffset>
            </wp:positionV>
            <wp:extent cx="579755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Financing lease expense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Short 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-108585</wp:posOffset>
            </wp:positionV>
            <wp:extent cx="579755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br w:type="column"/>
      </w:r>
    </w:p>
    <w:p>
      <w:pPr>
        <w:ind w:left="1160" w:hanging="1155"/>
        <w:spacing w:after="0"/>
        <w:tabs>
          <w:tab w:leader="none" w:pos="11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1,229</w:t>
      </w:r>
    </w:p>
    <w:p>
      <w:pPr>
        <w:spacing w:after="0" w:line="57" w:lineRule="exact"/>
        <w:rPr>
          <w:rFonts w:ascii="Arial" w:cs="Arial" w:eastAsia="Arial" w:hAnsi="Arial"/>
          <w:sz w:val="15"/>
          <w:szCs w:val="15"/>
          <w:color w:val="auto"/>
        </w:rPr>
      </w:pPr>
    </w:p>
    <w:p>
      <w:pPr>
        <w:ind w:left="1460"/>
        <w:spacing w:after="0"/>
        <w:rPr>
          <w:rFonts w:ascii="Arial" w:cs="Arial" w:eastAsia="Arial" w:hAnsi="Arial"/>
          <w:sz w:val="15"/>
          <w:szCs w:val="15"/>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9861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111</w:t>
      </w:r>
    </w:p>
    <w:p>
      <w:pPr>
        <w:spacing w:after="0" w:line="9" w:lineRule="exact"/>
        <w:rPr>
          <w:sz w:val="20"/>
          <w:szCs w:val="20"/>
          <w:color w:val="auto"/>
        </w:rPr>
      </w:pPr>
    </w:p>
    <w:p>
      <w:pPr>
        <w:ind w:left="1160" w:hanging="1155"/>
        <w:spacing w:after="0"/>
        <w:tabs>
          <w:tab w:leader="none" w:pos="11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1,345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9861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7">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wp:posOffset>
            </wp:positionV>
            <wp:extent cx="9861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7920" w:space="720"/>
            <w:col w:w="2780"/>
          </w:cols>
          <w:pgMar w:left="240" w:top="108" w:right="2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December 31,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2023</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2025 and thereafter</w:t>
            </w:r>
          </w:p>
        </w:tc>
        <w:tc>
          <w:tcPr>
            <w:tcW w:w="2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imputed interest</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Present value</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140" w:type="dxa"/>
            <w:vAlign w:val="bottom"/>
            <w:gridSpan w:val="2"/>
          </w:tcPr>
          <w:p>
            <w:pPr>
              <w:ind w:left="46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9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198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85"/>
              </w:rPr>
              <w:t>9.23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Remaining Lease Term (Years) - financing leases</w:t>
            </w:r>
          </w:p>
        </w:tc>
        <w:tc>
          <w:tcPr>
            <w:tcW w:w="1980" w:type="dxa"/>
            <w:vAlign w:val="bottom"/>
          </w:tcPr>
          <w:p>
            <w:pPr>
              <w:ind w:left="1660"/>
              <w:spacing w:after="0"/>
              <w:rPr>
                <w:sz w:val="20"/>
                <w:szCs w:val="20"/>
                <w:color w:val="auto"/>
              </w:rPr>
            </w:pPr>
            <w:r>
              <w:rPr>
                <w:rFonts w:ascii="Arial" w:cs="Arial" w:eastAsia="Arial" w:hAnsi="Arial"/>
                <w:sz w:val="18"/>
                <w:szCs w:val="18"/>
                <w:color w:val="auto"/>
                <w:w w:val="85"/>
              </w:rPr>
              <w:t>3.83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21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90"/>
              </w:rPr>
              <w:t>3.13%</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Discount Rate - financing leases</w:t>
            </w:r>
          </w:p>
        </w:tc>
        <w:tc>
          <w:tcPr>
            <w:tcW w:w="2140" w:type="dxa"/>
            <w:vAlign w:val="bottom"/>
            <w:gridSpan w:val="2"/>
          </w:tcPr>
          <w:p>
            <w:pPr>
              <w:ind w:left="1660"/>
              <w:spacing w:after="0"/>
              <w:rPr>
                <w:sz w:val="20"/>
                <w:szCs w:val="20"/>
                <w:color w:val="auto"/>
              </w:rPr>
            </w:pPr>
            <w:r>
              <w:rPr>
                <w:rFonts w:ascii="Arial" w:cs="Arial" w:eastAsia="Arial" w:hAnsi="Arial"/>
                <w:sz w:val="18"/>
                <w:szCs w:val="18"/>
                <w:color w:val="auto"/>
                <w:w w:val="90"/>
              </w:rPr>
              <w:t>5.00%</w:t>
            </w:r>
          </w:p>
        </w:tc>
        <w:tc>
          <w:tcPr>
            <w:tcW w:w="1140" w:type="dxa"/>
            <w:vAlign w:val="bottom"/>
          </w:tcPr>
          <w:p>
            <w:pPr>
              <w:spacing w:after="0"/>
              <w:rPr>
                <w:sz w:val="20"/>
                <w:szCs w:val="20"/>
                <w:color w:val="auto"/>
              </w:rPr>
            </w:pPr>
          </w:p>
        </w:tc>
      </w:tr>
      <w:tr>
        <w:trPr>
          <w:trHeight w:val="418"/>
        </w:trPr>
        <w:tc>
          <w:tcPr>
            <w:tcW w:w="1160" w:type="dxa"/>
            <w:vAlign w:val="bottom"/>
          </w:tcPr>
          <w:p>
            <w:pPr>
              <w:spacing w:after="0"/>
              <w:rPr>
                <w:sz w:val="24"/>
                <w:szCs w:val="24"/>
                <w:color w:val="auto"/>
              </w:rPr>
            </w:pPr>
          </w:p>
        </w:tc>
        <w:tc>
          <w:tcPr>
            <w:tcW w:w="6980" w:type="dxa"/>
            <w:vAlign w:val="bottom"/>
          </w:tcPr>
          <w:p>
            <w:pPr>
              <w:ind w:left="4360"/>
              <w:spacing w:after="0"/>
              <w:rPr>
                <w:sz w:val="20"/>
                <w:szCs w:val="20"/>
                <w:color w:val="auto"/>
              </w:rPr>
            </w:pPr>
            <w:r>
              <w:rPr>
                <w:rFonts w:ascii="Arial" w:cs="Arial" w:eastAsia="Arial" w:hAnsi="Arial"/>
                <w:sz w:val="18"/>
                <w:szCs w:val="18"/>
                <w:color w:val="auto"/>
              </w:rPr>
              <w:t>F- 15</w:t>
            </w: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8"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Year ended December</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1,325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financing lease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Financing cash flows from financing lease</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E—CASH, CASH EQUIVALENTS AND 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r>
      <w:tr>
        <w:trPr>
          <w:trHeight w:val="20"/>
        </w:trPr>
        <w:tc>
          <w:tcPr>
            <w:tcW w:w="7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67,028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58,004</w:t>
            </w:r>
          </w:p>
        </w:tc>
      </w:tr>
      <w:tr>
        <w:trPr>
          <w:trHeight w:val="20"/>
        </w:trPr>
        <w:tc>
          <w:tcPr>
            <w:tcW w:w="7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Restricted cash includes guarantee deposits for customs duties and compensating balances associated with certain credit facilities. As of December 31, 2019 and 2018, there was $1.9 million and $2.4 million of restricted cash required for bank acceptance notes issued to vendors, respectively. There was $4.2 million and $0.0 million certificate of deposit associated with credit facilities with a bank in China as of December 31, 2019 and 2018 respectively.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F—EARNINGS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options and restricted stock units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computation of the basic and diluted net income (loss) per share for the periods indicated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20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(66,049)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(2,146)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73,951</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w w:val="92"/>
              </w:rPr>
              <w:t>Weighted average shares used to compute net income (loss) per share</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19,097</w:t>
            </w: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Effect of dilutive options and restricted stock units</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r>
      <w:tr>
        <w:trPr>
          <w:trHeight w:val="20"/>
        </w:trPr>
        <w:tc>
          <w:tcPr>
            <w:tcW w:w="5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418"/>
        </w:trPr>
        <w:tc>
          <w:tcPr>
            <w:tcW w:w="5260" w:type="dxa"/>
            <w:vAlign w:val="bottom"/>
          </w:tcPr>
          <w:p>
            <w:pPr>
              <w:spacing w:after="0"/>
              <w:rPr>
                <w:sz w:val="24"/>
                <w:szCs w:val="24"/>
                <w:color w:val="auto"/>
              </w:rPr>
            </w:pPr>
          </w:p>
        </w:tc>
        <w:tc>
          <w:tcPr>
            <w:tcW w:w="2080" w:type="dxa"/>
            <w:vAlign w:val="bottom"/>
            <w:gridSpan w:val="2"/>
          </w:tcPr>
          <w:p>
            <w:pPr>
              <w:jc w:val="right"/>
              <w:ind w:right="1350"/>
              <w:spacing w:after="0"/>
              <w:rPr>
                <w:sz w:val="20"/>
                <w:szCs w:val="20"/>
                <w:color w:val="auto"/>
              </w:rPr>
            </w:pPr>
            <w:r>
              <w:rPr>
                <w:rFonts w:ascii="Arial" w:cs="Arial" w:eastAsia="Arial" w:hAnsi="Arial"/>
                <w:sz w:val="18"/>
                <w:szCs w:val="18"/>
                <w:color w:val="auto"/>
              </w:rPr>
              <w:t>F- 16</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diluted net income (loss) per share as their effect would have been antidilutive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As of As of December 31,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6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2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antidilutive shares</w:t>
            </w:r>
          </w:p>
        </w:tc>
        <w:tc>
          <w:tcPr>
            <w:tcW w:w="28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4,632</w:t>
            </w:r>
          </w:p>
        </w:tc>
        <w:tc>
          <w:tcPr>
            <w:tcW w:w="200" w:type="dxa"/>
            <w:vAlign w:val="bottom"/>
          </w:tcPr>
          <w:p>
            <w:pPr>
              <w:spacing w:after="0"/>
              <w:rPr>
                <w:sz w:val="18"/>
                <w:szCs w:val="18"/>
                <w:color w:val="auto"/>
              </w:rPr>
            </w:pPr>
          </w:p>
        </w:tc>
        <w:tc>
          <w:tcPr>
            <w:tcW w:w="1620" w:type="dxa"/>
            <w:vAlign w:val="bottom"/>
            <w:gridSpan w:val="4"/>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G—INVENTORIES</w:t>
            </w: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1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w w:val="94"/>
              </w:rPr>
              <w:t>At December 31, 2019 and 2018, inventories consisted of the following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50,787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49,192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inventory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85,028</w:t>
            </w:r>
          </w:p>
        </w:tc>
        <w:tc>
          <w:tcPr>
            <w:tcW w:w="18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For the years ended December 31, 2019, 2018 and 2017, the lower of cost or market reserve adjustment expensed for inventory was $6.8 million, $7.2 million, and $1.9 million , respectively. For the years December 31, 2019, 2018 and 2017, the direct inventory write-offs related to scrap, discontinued products, and damaged inventories were $13.4 million, $12.3 million, and $6.8 million, respectively.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H—PROPERTY, PLANT AND EQUIPMENT</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20" w:type="dxa"/>
            <w:vAlign w:val="bottom"/>
          </w:tcPr>
          <w:p>
            <w:pPr>
              <w:ind w:left="660"/>
              <w:spacing w:after="0"/>
              <w:rPr>
                <w:sz w:val="20"/>
                <w:szCs w:val="20"/>
                <w:color w:val="auto"/>
              </w:rPr>
            </w:pPr>
            <w:r>
              <w:rPr>
                <w:rFonts w:ascii="Arial" w:cs="Arial" w:eastAsia="Arial" w:hAnsi="Arial"/>
                <w:sz w:val="18"/>
                <w:szCs w:val="18"/>
                <w:color w:val="auto"/>
                <w:w w:val="96"/>
              </w:rPr>
              <w:t>Property, plant and equipment consisted of the following for the periods indicated (in thousands):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Pr>
          <w:p>
            <w:pPr>
              <w:spacing w:after="0"/>
              <w:rPr>
                <w:sz w:val="24"/>
                <w:szCs w:val="24"/>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83,846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80,960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214,718</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311,894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(116,979)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(95,233)</w:t>
            </w:r>
          </w:p>
        </w:tc>
      </w:tr>
      <w:tr>
        <w:trPr>
          <w:trHeight w:val="210"/>
        </w:trPr>
        <w:tc>
          <w:tcPr>
            <w:tcW w:w="8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216,661</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25,937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16,449</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248,444</w:t>
            </w:r>
          </w:p>
        </w:tc>
        <w:tc>
          <w:tcPr>
            <w:tcW w:w="14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234,211</w:t>
            </w:r>
          </w:p>
        </w:tc>
      </w:tr>
      <w:tr>
        <w:trPr>
          <w:trHeight w:val="20"/>
        </w:trPr>
        <w:tc>
          <w:tcPr>
            <w:tcW w:w="8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years ended December 31, 2019, 2018 and 2017, depreciation expense of property, plant and equipment was $23.5 million, $29.2 million and $19.9 million , respectively.</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As of December 31, 2019, the Company concluded that its continued loss history constitutes a triggering event as described in ASC 360-10-35-21,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December 31, 2019</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10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assets, net</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7,638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Trademarks</w:t>
            </w: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6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7,655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December 31, 2018</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10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assets, net</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6,983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Trademarks</w:t>
            </w: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6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6,998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For the years ended December 31, 2019, 2018 and 2017, amortization expense for intangible assets, included in general and administrative expenses on the income statement, was $0.5 million each year. The remaining weighted average amortization period for intangible assets is approximately 7 years.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At December 31, 2019,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19"/>
                <w:szCs w:val="19"/>
                <w:color w:val="auto"/>
              </w:rPr>
            </w:pPr>
          </w:p>
        </w:tc>
        <w:tc>
          <w:tcPr>
            <w:tcW w:w="8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J—FAIR VALUE OF FINANCIAL INSTRUMENTS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observable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inputs (Level</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inputs (Level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assets (Level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59,977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w:t>
            </w:r>
          </w:p>
        </w:tc>
      </w:tr>
      <w:tr>
        <w:trPr>
          <w:trHeight w:val="20"/>
        </w:trPr>
        <w:tc>
          <w:tcPr>
            <w:tcW w:w="38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67,028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67,028</w:t>
            </w:r>
          </w:p>
        </w:tc>
      </w:tr>
      <w:tr>
        <w:trPr>
          <w:trHeight w:val="20"/>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77,191</w:t>
            </w:r>
          </w:p>
        </w:tc>
      </w:tr>
      <w:tr>
        <w:trPr>
          <w:trHeight w:val="20"/>
        </w:trPr>
        <w:tc>
          <w:tcPr>
            <w:tcW w:w="38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Total liabilities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83,501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83,501</w:t>
            </w:r>
          </w:p>
        </w:tc>
      </w:tr>
      <w:tr>
        <w:trPr>
          <w:trHeight w:val="20"/>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2380" w:type="dxa"/>
            <w:vAlign w:val="bottom"/>
            <w:gridSpan w:val="2"/>
          </w:tcPr>
          <w:p>
            <w:pPr>
              <w:jc w:val="right"/>
              <w:ind w:right="190"/>
              <w:spacing w:after="0"/>
              <w:rPr>
                <w:sz w:val="20"/>
                <w:szCs w:val="20"/>
                <w:color w:val="auto"/>
              </w:rPr>
            </w:pPr>
            <w:r>
              <w:rPr>
                <w:rFonts w:ascii="Arial" w:cs="Arial" w:eastAsia="Arial" w:hAnsi="Arial"/>
                <w:sz w:val="18"/>
                <w:szCs w:val="18"/>
                <w:color w:val="auto"/>
              </w:rPr>
              <w:t>F- 18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Company’s financial instruments measured at fair value on a recurring basis as of 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Quoted prices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other</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8"/>
              </w:rPr>
              <w:t>observable</w:t>
            </w:r>
          </w:p>
        </w:tc>
        <w:tc>
          <w:tcPr>
            <w:tcW w:w="12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remaining</w:t>
            </w:r>
          </w:p>
        </w:tc>
        <w:tc>
          <w:tcPr>
            <w:tcW w:w="12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inputs (Level</w:t>
            </w:r>
          </w:p>
        </w:tc>
        <w:tc>
          <w:tcPr>
            <w:tcW w:w="12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inputs (Level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assets (Level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9"/>
              </w:rPr>
              <w:t>2)</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55,646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6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6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3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Bank acceptance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4,628</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4,628</w:t>
            </w:r>
          </w:p>
        </w:tc>
        <w:tc>
          <w:tcPr>
            <w:tcW w:w="800" w:type="dxa"/>
            <w:vAlign w:val="bottom"/>
            <w:shd w:val="clear" w:color="auto" w:fill="CCEEFF"/>
          </w:tcPr>
          <w:p>
            <w:pPr>
              <w:jc w:val="center"/>
              <w:ind w:right="6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NOTE K—NOTES PAYABLE AND LONG-TERM DEBT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gridSpan w:val="11"/>
          </w:tcPr>
          <w:p>
            <w:pPr>
              <w:ind w:left="64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0" w:type="dxa"/>
            <w:vAlign w:val="bottom"/>
            <w:gridSpan w:val="11"/>
            <w:shd w:val="clear" w:color="auto" w:fill="CCEEFF"/>
          </w:tcPr>
          <w:p>
            <w:pPr>
              <w:spacing w:after="0" w:line="195" w:lineRule="exact"/>
              <w:rPr>
                <w:sz w:val="20"/>
                <w:szCs w:val="20"/>
                <w:color w:val="auto"/>
              </w:rPr>
            </w:pPr>
            <w:r>
              <w:rPr>
                <w:rFonts w:ascii="Arial" w:cs="Arial" w:eastAsia="Arial" w:hAnsi="Arial"/>
                <w:sz w:val="18"/>
                <w:szCs w:val="18"/>
                <w:color w:val="auto"/>
              </w:rPr>
              <w:t>Revolving line of credit with a U.S. bank up to $20,000 (2019) and $60,000 (2018) with interest at LIBOR plus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1.5% (2019) and 1.4% (2018), maturing April 2, 2021</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11"/>
          </w:tcPr>
          <w:p>
            <w:pPr>
              <w:spacing w:after="0" w:line="201" w:lineRule="exact"/>
              <w:rPr>
                <w:sz w:val="20"/>
                <w:szCs w:val="20"/>
                <w:color w:val="auto"/>
              </w:rPr>
            </w:pPr>
            <w:r>
              <w:rPr>
                <w:rFonts w:ascii="Arial" w:cs="Arial" w:eastAsia="Arial" w:hAnsi="Arial"/>
                <w:sz w:val="18"/>
                <w:szCs w:val="18"/>
                <w:color w:val="auto"/>
              </w:rPr>
              <w:t>Term loan with a U.S. bank with monthly payments of principal and interest at LIBOR plus 1.15%, maturing</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April 1, 2024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Term loan with a U.S. bank with monthly payments of principal and interest at LIBOR plus 1.3%, maturing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between April 1, 2023 and December 18, 2023</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5"/>
          </w:tcPr>
          <w:p>
            <w:pPr>
              <w:spacing w:after="0"/>
              <w:rPr>
                <w:sz w:val="20"/>
                <w:szCs w:val="20"/>
                <w:color w:val="auto"/>
              </w:rPr>
            </w:pPr>
            <w:r>
              <w:rPr>
                <w:rFonts w:ascii="Arial" w:cs="Arial" w:eastAsia="Arial" w:hAnsi="Arial"/>
                <w:sz w:val="18"/>
                <w:szCs w:val="18"/>
                <w:color w:val="auto"/>
                <w:w w:val="94"/>
              </w:rPr>
              <w:t>Revolving line of credit with a Taiwan bank up to $9,767 with 2% interest, maturing May 31,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Revolving line of credit with a Taiwan bank up to $7,000 with interest ranging from 1.5% to 3.5%, matured</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July 26, 2019</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5"/>
          </w:tcPr>
          <w:p>
            <w:pPr>
              <w:spacing w:after="0"/>
              <w:rPr>
                <w:sz w:val="20"/>
                <w:szCs w:val="20"/>
                <w:color w:val="auto"/>
              </w:rPr>
            </w:pPr>
            <w:r>
              <w:rPr>
                <w:rFonts w:ascii="Arial" w:cs="Arial" w:eastAsia="Arial" w:hAnsi="Arial"/>
                <w:sz w:val="18"/>
                <w:szCs w:val="18"/>
                <w:color w:val="auto"/>
                <w:w w:val="93"/>
              </w:rPr>
              <w:t>Revolving line of credit with a Taiwan bank up to $3,336 with 2.2% interest, maturing July 31,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11"/>
            <w:shd w:val="clear" w:color="auto" w:fill="CCEEFF"/>
          </w:tcPr>
          <w:p>
            <w:pPr>
              <w:spacing w:after="0" w:line="201" w:lineRule="exact"/>
              <w:rPr>
                <w:sz w:val="20"/>
                <w:szCs w:val="20"/>
                <w:color w:val="auto"/>
              </w:rPr>
            </w:pPr>
            <w:r>
              <w:rPr>
                <w:rFonts w:ascii="Arial" w:cs="Arial" w:eastAsia="Arial" w:hAnsi="Arial"/>
                <w:sz w:val="18"/>
                <w:szCs w:val="18"/>
                <w:color w:val="auto"/>
              </w:rPr>
              <w:t>Notes payable to a finance company due in monthly installments with 3.4% interest, maturing November 30,</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11"/>
          </w:tcPr>
          <w:p>
            <w:pPr>
              <w:spacing w:after="0" w:line="201" w:lineRule="exact"/>
              <w:rPr>
                <w:sz w:val="20"/>
                <w:szCs w:val="20"/>
                <w:color w:val="auto"/>
              </w:rPr>
            </w:pPr>
            <w:r>
              <w:rPr>
                <w:rFonts w:ascii="Arial" w:cs="Arial" w:eastAsia="Arial" w:hAnsi="Arial"/>
                <w:sz w:val="18"/>
                <w:szCs w:val="18"/>
                <w:color w:val="auto"/>
              </w:rPr>
              <w:t>Notes payable to a finance company due in monthly installments with 3.1% interest, maturing January 21,</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3"/>
              </w:rPr>
              <w:t>Revolving line of credit with a Taiwan bank up to $2,668 with interest of 1.7%, maturing April 11, 2020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11"/>
          </w:tcPr>
          <w:p>
            <w:pPr>
              <w:spacing w:after="0" w:line="201" w:lineRule="exact"/>
              <w:rPr>
                <w:sz w:val="20"/>
                <w:szCs w:val="20"/>
                <w:color w:val="auto"/>
              </w:rPr>
            </w:pPr>
            <w:r>
              <w:rPr>
                <w:rFonts w:ascii="Arial" w:cs="Arial" w:eastAsia="Arial" w:hAnsi="Arial"/>
                <w:sz w:val="18"/>
                <w:szCs w:val="18"/>
                <w:color w:val="auto"/>
              </w:rPr>
              <w:t>Revolving line of credit with a China bank up to $18,599 with interest ranging from 4.1% to 4.6%, maturing</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September 21, 2023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Revolving line of credit with a China bank up to $25,449 with interest of 4.57%, maturing May 24, 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5"/>
          </w:tcPr>
          <w:p>
            <w:pPr>
              <w:spacing w:after="0"/>
              <w:rPr>
                <w:sz w:val="20"/>
                <w:szCs w:val="20"/>
                <w:color w:val="auto"/>
              </w:rPr>
            </w:pPr>
            <w:r>
              <w:rPr>
                <w:rFonts w:ascii="Arial" w:cs="Arial" w:eastAsia="Arial" w:hAnsi="Arial"/>
                <w:sz w:val="18"/>
                <w:szCs w:val="18"/>
                <w:color w:val="auto"/>
              </w:rPr>
              <w:t>Credit facility with a China bank up to $7,167 with interest of 5.7%, maturing June 20, 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debt issuance costs,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Grand 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16,552</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Bank Acceptance Notes Payable</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w w:val="95"/>
              </w:rPr>
              <w:t>Bank acceptance notes issued to vendors with a zero percent interest rate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6,310</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December 31, 2019.</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notes payable and long-term debt are as follows for the future years ending December 31 (in thousands):</w:t>
      </w:r>
    </w:p>
    <w:p>
      <w:pPr>
        <w:spacing w:after="0" w:line="24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33,371</w:t>
            </w: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18"/>
                <w:szCs w:val="18"/>
                <w:color w:val="auto"/>
              </w:rPr>
            </w:pPr>
          </w:p>
        </w:tc>
      </w:tr>
      <w:tr>
        <w:trPr>
          <w:trHeight w:val="216"/>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60" w:type="dxa"/>
            <w:vAlign w:val="bottom"/>
          </w:tcPr>
          <w:p>
            <w:pPr>
              <w:spacing w:after="0"/>
              <w:rPr>
                <w:sz w:val="20"/>
                <w:szCs w:val="20"/>
                <w:color w:val="auto"/>
              </w:rPr>
            </w:pPr>
            <w:r>
              <w:rPr>
                <w:rFonts w:ascii="Arial" w:cs="Arial" w:eastAsia="Arial" w:hAnsi="Arial"/>
                <w:sz w:val="18"/>
                <w:szCs w:val="18"/>
                <w:color w:val="auto"/>
              </w:rPr>
              <w:t>Total outstanding</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75" w:lineRule="exact"/>
        <w:rPr>
          <w:sz w:val="20"/>
          <w:szCs w:val="20"/>
          <w:color w:val="auto"/>
        </w:rPr>
      </w:pPr>
    </w:p>
    <w:p>
      <w:pPr>
        <w:ind w:right="160" w:firstLine="630"/>
        <w:spacing w:after="0" w:line="297" w:lineRule="auto"/>
        <w:rPr>
          <w:sz w:val="20"/>
          <w:szCs w:val="20"/>
          <w:color w:val="auto"/>
        </w:rPr>
      </w:pPr>
      <w:r>
        <w:rPr>
          <w:rFonts w:ascii="Arial" w:cs="Arial" w:eastAsia="Arial" w:hAnsi="Arial"/>
          <w:sz w:val="16"/>
          <w:szCs w:val="16"/>
          <w:color w:val="auto"/>
        </w:rPr>
        <w:t>On February 1, 2019, the Company executed a Second Amendment to Loan Agreement (the "Second Amendment") with BB&amp;T. The original loan agreement with BB&amp;T,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extends the CapEx Loan draw-down date from March 30, 2019 to September 30, 2019, requires the Company to provide BB&amp;T monthly financial statements and allows additional unfinanced capital expenditures.</w:t>
      </w:r>
    </w:p>
    <w:p>
      <w:pPr>
        <w:spacing w:after="0" w:line="15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March 5, 2019, the Company executed a Third Amendment to Loan Agreement (the “Third Amendment”) with BB&amp;T pursuant to which the Company has established a revolving credit line used for working capital purposes. The Third Amendment, among other things: (i) contemplates the issuance of the Notes (as defined in Note L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BB&amp;T.</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September 30, 2019, the Company executed a Fourth Amendment to Loan Agreement (the “Fourth Amendment”) with BB&amp;T.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BB&amp;T,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BB&amp;T from the most recent loan base report and otherwise in the sole discretion of BB&amp;T after consideration of collections.</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2019, the Company was in compliance with all covenants under the Loan Agreement. As of December 31, 2019, $20.0 million was outstanding under the Line of Credit.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June 19, 2018, Prime World entered into a one year revolving credit facility totaling 300 million NT dollars, or approximately $9.7 million, (the “Taiwan Credit Facility”) with Taishin International Bank in Taiwan (“Taishin”). Borrowing under the Taiwan Credit Facility would have been used for short-term working capital. Prime World could have drawn upon the Taiwan Credit Facility from June 19, 2018 until July 31, 2019. The term of each draw would have been either 90 or 120 days. Borrowings under the Taiwan Credit Facility bore interest at a rate of 2.00% for 90 day draws and 1.95% for 120 day draws. At the end of the draw term, Prime World would have been required to make payments for all principal and accrued interest. The agreements for the Taiwan Credit Facility contained representations and warranties and events of default applicable to Prime World that are customary for agreements of this type. As of December 31, 2019, the Taiwan Credit Facility has been fully repaid and the agreement has terminated.</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July 23, 2019, Prime World entered into a one-year revolving credit facility totaling 100 million NT dollars, or approximately $3.3 million, (the “NT$100M Credit Line”) and 1 million USD (the “US$1M Credit Line”) with Taishin. Borrowing under the NT$100M Credit Line will be used for short-term working capital; the borrowing under the US$1M Credit Line will be strictly used for spot transactions in the foreign exchange market. The NT$100M Credit Line and US$1M Credit Line are collectively referred to as the “Credit Facility”. Prime World may draw upon the Credit Facility from July 23, 2019 through July 31, 2020. The term of each draw shall be either 90 or 120 days. Borrowings under the NT$100M Credit Line will bear interest at a rate of 2.25% for 90 day draws and 2.2% for 120 day draws; borrowings under the US$1M Credit Line will bear interest equal to the Taishin’s foreign exchange rate effective on the day of the applicable draw. At the end of the draw term Prime World will make payment for all principal and accrued interest. Prime World’s obligations under the Credit Facility will be secured by a promissory note executed between Prime World and Taishin. The agreements for the Credit Facility contain representations and warranties, and events of default applicable to Prime World that are customary for agreements of this type. As of December 31, 2019, $3.3 million was outstanding under the Credit Facility.</w:t>
      </w:r>
    </w:p>
    <w:p>
      <w:pPr>
        <w:spacing w:after="0" w:line="20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October 3, 2018, Prime World entered into a revolving credit facility for up to $7 million, (the “Revolving Credit Facility”) with the Development Bank of Singapore (Taiwan) Ltd. (“DBS”). Borrowing under the Revolving Credit Facility will be used for short-term working capital. Prime World may draw upon the Revolving Credit Facility from October 3, 2018 until July 26, 2019. The term of each draw shall be either 60 or 90 days depending on the purpose of the draw. Borrowings under the Revolving Credit Facility bear interest at a rate equal to DBS’s cost of funds rate plus 1.25% for draws in U.S. dollars and 1.35% plus the Bank’s cost of funds rate for draws in NT dollars. As of the execution of the Revolving Credit Facility, DBS’s cost of fund’s rate is 0.77% for loans made in NT dollars and 2.54% for loans made in U.S. Dollars. DBS’s cost of fund’s rate is adjusted daily. Prime World is required to make monthly payments of accrued interest with the final monthly payment being for all principal and all accrued interest not yet paid. Prime World’s obligations under the Revolving Credit Facility is secured by promissory notes executed between Prime World and DBS at the time of each draw. The agreements for the Revolving Credit Facility contain representations and warranties and events of default applicable to the Prime World that are customary for agreements of this type. As of December 31, 2019, the Revolving Credit Facility has been fully repaid and the agreement has terminated.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29, 2018, Prime World entered into a Purchase and Sale Contract (the “Sale Contract”) and an Equipment Finance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Chailease Finance Co., Ltd. (“Chailease”) in connection with certain equipment. Pursuant to the Sale Contract, Prime World sold certain equipment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Chailease for a purchase price of NT$267,340,468, or approximately $8.7 million. Simultaneously, Prime World financed the equipment back from Chailease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 term of three-years, pursuant to the Equipment Finance Agreement. Prime World is obligated to pay an initial payment of NT$67,340,468,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$2.2 million, thereafter the monthly payments range from NT$5,571,229, or $0.2 million, to NT$6,139,188, or approximately $0.2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Based on the monthly payments made under the Equipment Finance Agreement, the annual interest rate is calculated to be 3.5%. Upon an event of default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Equipment Finance Agreement, Prime World’s payment obligation will be secured by a promissory note to Chailease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NT$210,601,605, or approximately $6.8 million, subject to certain terms and conditions. The title of the equipment will be transferred to Prime World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expiration of the Equipment Finance Agreement. As of December 31, 2019, $4.3 million was outstanding under the Equipment Finance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21, 2019, Prime World entered into a Second Purchase and Sale Contract (the “Second Sales Contract”), Promissory Note, and a second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Equipment Finance Agreement with Chailease in connection with certain equipment. Pursuant to the Second Sales Contract, Prime World sold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equipment to Chailease for a purchase price of NT$267,333,186, or approximately $8.7 million. Simultaneously, Prime World financed the equipment back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Chailease for a term of three-years, pursuant to the Second Equipment Finance Agreement. Prime World is obligated to pay an initial monthly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NT$67,333,186, or approximately $2.2 million, thereafter the monthly payments range from NT$5,570,167, or approximately $0.2 million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NT$6,082,131, or approximately $0.2 million. Based on the monthly payments made under the Second Equipment Finance Agreement, the annual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is calculated to be 3.1%. Upon an event of default under the Second Equipment Finance Agreement, Prime World’s payment obligation will be 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 promissory note to Chailease at the amount of NT$209,555,736 or approximately $6.8 million, subject to certain terms and conditions. The title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equipment will be transferred to Prime World upon expiration of the Second Equipment Finance Agreement. As of December 31, 2019, $4.6 million was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under the Second Equipment Finance Agreement.</w:t>
      </w:r>
    </w:p>
    <w:p>
      <w:pPr>
        <w:spacing w:after="0" w:line="21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December 11, 2018, Prime World entered into a one-year credit facility totaling NT$150 million, or approximately $4.9 million, (the “Credit Facility”) with CTBC Bank Co., Ltd. (“CTBC”). Borrowing under the Credit Facility will be used for short-term working capital. Prime World may draw upon the Credit Facility from December 11, 2018 until October 31, 2019. The term of each draw shall be up to 120 days. Under the Credit Facility borrowing in NT dollars will bear interest at a rate equal to CTBC’s Enterprise Swap Index Rate plus 1.2%; for all foreign currency borrowing interest bear at a rate equal to CTBC’s Cost of Fund lending rate plus 1.2%. As of the execution of the Credit Facility, CTBC’s Enterprise Swap Index Rate and Cost of Funds lending rate is 0.69% and 3.40% respectively. At the end of the draw term, Prime World is required to make payments for all principal and accrued interest. The Credit Facility contains representations and warranties, and events of default applicable to Prime World that are customary for agreements of this type. As of December 31, 2019, the Credit Facility has been fully repaid and the agreement has terminated.</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NT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a promissory note executed between Prime World and Far Eastern. As of December 31, 2019, $2.7 million was outstanding under the Far Eastern Credit Facility.</w:t>
      </w:r>
    </w:p>
    <w:p>
      <w:pPr>
        <w:spacing w:after="0" w:line="20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On September 21, 2018, the Company’s China subsidiary, Global Technology, Inc., entered into a five-year revolving credit line agreement, totaling 129,000,000 Chinese Renminbi, or RMB, or approximately $18.6 million, (the “Credit Line”) and a Security Agreement with China Construction Bank Co., Ltd., in Ningbo, China (“CCB”). Borrowing under the Credit Line will be used for general corporate and capital investment purposes, including the issuance of bank acceptance notes to Global’s vendors. Global may draw upon the Credit Line between September 21, 2018 and September 17, 2023; however, the amount of available credit under the Credit Line may be reduced by CCB without notice to Global and may be decreased subject to changes of Chinese government regulations. Each draw bears interest equal to CCB’s commercial banking interest rate effective on the day of the applicable draw. Global’s obligations under the Credit Line is secured by real property owned by Global in China and mortgaged to CCB under the terms of the Security Agreement. On May 10, 2019, Global repaid the Credit Line without penalty and terminated the agreement.</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Global may draw upon the China Merchants Credit Line from April 19, 2019 until April 18,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As of December 31, 2019, there was no outstanding balance under the China Merchants Credit Line and the outstanding balance of bank acceptance notes issued to vendors was $0.1 million.</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April 30, 2019, the Company’s China subsidiary, Global, entered into a one-year credit facility totaling 9,900,000 RMB, or approximately $1.5 million, (the “SPD ¥9.9M Credit Facility”), with Shanghai Pudong Development Bank Co.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has been replaced by the SPD Credit Line on May 24, 2019.</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May 7, 2019, the Company’s China subsidiary, Global, entered into a one-year credit facility totaling 30,000,000 RMB, or approximately $4.5 million, (the “SPD ¥30M Credit Facility”), with SPD. Borrowing under the SPD ¥30M Credit Facility will be used to repay Global’s outstanding loans with China Construction Bank. Borrowing under the SPD ¥30M Credit Facility will mature on May 7, 2020 and will bear interest equal to the Bank’s published twelve (12) month prime loan rate in effect on the date of the draw, plus 0.2475%. As of the execution of the Credit Facility agreement, the Bank’s published 12 months prime loan rate is 4.32%. Under the SPD ¥30M Credit Facility, Global will make monthly payments of accrued interest; principal shall be repaid upon maturity. Global’s obligations under the SPD ¥30M Credit Facility are unsecured. The SPD ¥30M Credit Facility has been replaced by the SPD Credit Line on May 24,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May 8, 2019, the Company’s China subsidiary, Global, entered into a six-month credit facility totaling 2,000,000 USD (the “$2M Credit Facility”) with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 2.59438%. Under the $2M Credit Facility, Global will make quarterly payments of accrued interest; principal shall be repaid upon maturity. Global’s obligations under the $2M Credit Facility are unsecured. The $2M Credit Facility has been replaced by the SPD Credit Line on May 24, 2019.</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December 31, 2019, $7.9 million was outstanding under the SPD Credit Line and the outstanding balance of bank acceptance notes issued to vendors was $5.5 million.</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As of December 31, 2019, there was no outstanding balance under the ¥100M Credit Facility.</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June 21, 2019, the Company’s China subsidiary, Global, entered into a three-year credit facility totaling 50,000,000 RMB (the “¥50M Credit Facility”), or approximately $7.1 million, with China Zheshang Bank Co., Ltd., in Ningbo City, China (“CZB”). Borrowing under the ¥50M Credit Facility will be used by Global for general corporate purposes. Global may draw upon the ¥50M Credit Facility from June 21, 2019 until June 20, 2022 (the “¥50M Credit Period”). During the ¥50M Credit Period, Global may request to draw upon the Credit Facility on an as-needed basis; however, draws under the ¥50M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¥50M Credit Facility will be secured by machinery and equipment owned by Global and mortgaged to CZB under the terms of the Machinery and Equipment Security Agreement. As of December 31, 2019, $7.2 million was outstanding under the ¥50M Credit Facility and the outstanding balance of bank acceptance notes issued to vendors was $0.8 million.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2018, the Company had $48.8 million and $69.4 million of unused borrowing capacity,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1.76% and 2.50% at December 31, 2019 and 2018, respectively.</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December 31, 2019 and 2018, there was $6.1 million and $2.4 million of restricted cash, investments or security deposit associated mainly with the loan facilities,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L—CONVERTIBLE SENIOR NOTES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BB&amp;T and the remainder will be used for general corporate purposes.</w:t>
      </w:r>
    </w:p>
    <w:p>
      <w:pPr>
        <w:spacing w:after="0" w:line="18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carrying value of the Notes for the periods indicated (in thousands):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Principal</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(3,459)</w:t>
            </w:r>
          </w:p>
        </w:tc>
      </w:tr>
      <w:tr>
        <w:trPr>
          <w:trHeight w:val="20"/>
        </w:trPr>
        <w:tc>
          <w:tcPr>
            <w:tcW w:w="30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77,041</w:t>
            </w:r>
          </w:p>
        </w:tc>
        <w:tc>
          <w:tcPr>
            <w:tcW w:w="8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Pursuant to the guidance in ASC 815-40,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xml:space="preserve">,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w:t>
      </w:r>
      <w:r>
        <w:rPr>
          <w:rFonts w:ascii="Arial" w:cs="Arial" w:eastAsia="Arial" w:hAnsi="Arial"/>
          <w:sz w:val="17"/>
          <w:szCs w:val="17"/>
          <w:i w:val="1"/>
          <w:iCs w:val="1"/>
          <w:color w:val="auto"/>
        </w:rPr>
        <w:t>Debt with Conversion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Options</w:t>
      </w:r>
      <w:r>
        <w:rPr>
          <w:rFonts w:ascii="Arial" w:cs="Arial" w:eastAsia="Arial" w:hAnsi="Arial"/>
          <w:sz w:val="17"/>
          <w:szCs w:val="17"/>
          <w:color w:val="auto"/>
        </w:rPr>
        <w:t>. The Company determined that notes should be accounted for in their entirety as a liability.</w:t>
      </w:r>
    </w:p>
    <w:p>
      <w:pPr>
        <w:spacing w:after="0" w:line="179" w:lineRule="exact"/>
        <w:rPr>
          <w:sz w:val="20"/>
          <w:szCs w:val="20"/>
          <w:color w:val="auto"/>
        </w:rPr>
      </w:pPr>
    </w:p>
    <w:p>
      <w:pPr>
        <w:ind w:left="180" w:right="80" w:firstLine="495"/>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information related to the Notes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December 31,</w:t>
            </w:r>
          </w:p>
        </w:tc>
        <w:tc>
          <w:tcPr>
            <w:tcW w:w="26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cost</w:t>
            </w:r>
          </w:p>
        </w:tc>
        <w:tc>
          <w:tcPr>
            <w:tcW w:w="11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1,191</w:t>
            </w:r>
          </w:p>
        </w:tc>
        <w:tc>
          <w:tcPr>
            <w:tcW w:w="2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24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Effective interest rate</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11,009</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rent</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1,215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Advance payments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commission expenses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17,864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NOTE N—OTHER INCOME AND EXPENSE</w:t>
            </w: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4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ind w:left="660"/>
              <w:spacing w:after="0"/>
              <w:rPr>
                <w:sz w:val="20"/>
                <w:szCs w:val="20"/>
                <w:color w:val="auto"/>
              </w:rPr>
            </w:pPr>
            <w:r>
              <w:rPr>
                <w:rFonts w:ascii="Arial" w:cs="Arial" w:eastAsia="Arial" w:hAnsi="Arial"/>
                <w:sz w:val="18"/>
                <w:szCs w:val="18"/>
                <w:color w:val="auto"/>
                <w:w w:val="91"/>
              </w:rPr>
              <w:t>Other income and expense consisted of the following for the periods indicated (in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10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1,614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0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1,840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the Company’s income (loss) from operations before income taxes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1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(35,279)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Foreign</w:t>
            </w:r>
          </w:p>
        </w:tc>
        <w:tc>
          <w:tcPr>
            <w:tcW w:w="2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67,029</w:t>
            </w:r>
          </w:p>
        </w:tc>
      </w:tr>
      <w:tr>
        <w:trPr>
          <w:trHeight w:val="20"/>
        </w:trPr>
        <w:tc>
          <w:tcPr>
            <w:tcW w:w="4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income (loss) before income taxes</w:t>
            </w:r>
          </w:p>
        </w:tc>
        <w:tc>
          <w:tcPr>
            <w:tcW w:w="2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(51,387)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(9,778)</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84,526</w:t>
            </w:r>
          </w:p>
        </w:tc>
      </w:tr>
      <w:tr>
        <w:trPr>
          <w:trHeight w:val="413"/>
        </w:trPr>
        <w:tc>
          <w:tcPr>
            <w:tcW w:w="420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ind w:left="1320"/>
              <w:spacing w:after="0"/>
              <w:rPr>
                <w:sz w:val="20"/>
                <w:szCs w:val="20"/>
                <w:color w:val="auto"/>
              </w:rPr>
            </w:pPr>
            <w:r>
              <w:rPr>
                <w:rFonts w:ascii="Arial" w:cs="Arial" w:eastAsia="Arial" w:hAnsi="Arial"/>
                <w:sz w:val="18"/>
                <w:szCs w:val="18"/>
                <w:color w:val="auto"/>
              </w:rPr>
              <w:t>F- 25</w:t>
            </w:r>
          </w:p>
        </w:tc>
        <w:tc>
          <w:tcPr>
            <w:tcW w:w="9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740" w:type="dxa"/>
            <w:vAlign w:val="bottom"/>
            <w:gridSpan w:val="9"/>
          </w:tcPr>
          <w:p>
            <w:pPr>
              <w:jc w:val="right"/>
              <w:ind w:right="1020"/>
              <w:spacing w:after="0"/>
              <w:rPr>
                <w:sz w:val="20"/>
                <w:szCs w:val="20"/>
                <w:color w:val="auto"/>
              </w:rPr>
            </w:pPr>
            <w:r>
              <w:rPr>
                <w:rFonts w:ascii="Arial" w:cs="Arial" w:eastAsia="Arial" w:hAnsi="Arial"/>
                <w:sz w:val="18"/>
                <w:szCs w:val="18"/>
                <w:color w:val="auto"/>
                <w:w w:val="97"/>
              </w:rPr>
              <w:t>The provision for income tax expense (benefit) for the years ended December 31, was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1,429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16,375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(6,391)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14,549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18"/>
                <w:szCs w:val="18"/>
                <w:color w:val="auto"/>
              </w:rPr>
            </w:pPr>
          </w:p>
        </w:tc>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w:t>
            </w:r>
          </w:p>
        </w:tc>
        <w:tc>
          <w:tcPr>
            <w:tcW w:w="26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Inventory reserves</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AMT credit</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tax credit</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ASC 842 Assets</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(25,736)</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(6,180)</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ASC 842 Liabilities</w:t>
            </w: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(7,586)</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has a U.S. net operating loss carry forward of approximately $75.9 million, $32.7 million of which, if unused, expires between 2026 and 2032 and $43.2 million of which, can be carried forward indefinitely. The Company has U.S. and state research and development tax credits of $8.3 million, which, if unused, expire between 2028 and 2038. In addition, the Company has foreign tax credits of $4.6 million, which, if unused, will expire in 2028. Utilization of U.S. net operating losses and tax credit carry forwards are subject to an annual limitation due to the ownership change limitations set forth in Internal Revenue Code Section 382.</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2019. Such objective evidence limits the ability to consider other subjective evidence, such as our projections for future growth.</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the basis of this evaluation, as of December 31, 2019, a valuation allowance of $25.7 million has been recorded to recognize only the portion of the deferred tax asset that is more likely than not to be realized. Substantially all of the the deferred taxes in the US has been reserved with the remaining deferred taxes in Taiwan and China considered more likely than not to be realizable as of December 31, 2019.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reconciliation of the U.S. federal income tax rate of 21%, 21% and 35% for the years ended December 31, 2019, 2018 and 2017, respectively, to the Company’s effective income tax rate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taxes at statutory rate</w:t>
            </w:r>
          </w:p>
        </w:tc>
        <w:tc>
          <w:tcPr>
            <w:tcW w:w="11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(10,791)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Non-deductible/non-taxable items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differences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(11,656)</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permanent differences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(1,067)</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valuation allowance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25,736</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(1,325)</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(10,348)</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Changes in tax rates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4"/>
              </w:rPr>
              <w:t>Transition tax adjustment, net of foreign tax credits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(1,777)</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(2,821)</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(1,616)</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Foreign other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1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w:t>
            </w:r>
          </w:p>
        </w:tc>
        <w:tc>
          <w:tcPr>
            <w:tcW w:w="1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provision for income taxes in 2019 was higher than 2018 primarily due to the recognition of a valuation allowance on our US and state deferred tax assets, along with excess tax expense from stock-based compensation, partially offset by differences in pre-tax income and recording research and development credits.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provision for income taxes in 2018 was lower than in 2017 primarily due to a decrease in pre-tax income and the impact of the 2017 Tax Act, partially offset by excess tax benefits from stock-based compensation, recording research and development credits, and the U.S. return-to-accrual adjustment as a result of the 2017 Tax Act as discussed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wholly owned subsidiary, Prime World is a tax-exempt entity under the Income Tax Code of the British Virgin Islands.</w:t>
      </w:r>
    </w:p>
    <w:p>
      <w:pPr>
        <w:spacing w:after="0" w:line="225"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and 2014, Global Technology, Inc. renewed its National high-tech enterprise certificate and was therefore extended its three-year tax preferential status through September 2017. In November 2017, Global Technology, Inc. again renewed its National high-tech enterprise certificate and was therefore extended its three-year tax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preferential status from November 2017 until November 2020. This tax holiday reduced its 2019, 2018 and 2017 income tax provision by approximately $1.0,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and $1.4 million respectively. This tax holiday reduced its fiscal 2019, 2018 and 2017 diluted earnings per share by approximately $0.05, $0.03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$0.07 respectively. Effective January 1, 2016, China expanded the scope of the National high-tech enterprise to include additional deductions for qualifying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11"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As of December 31, 2019, 2018 and 2017, the total amount of unrecognized tax benefit was $0.2 million, $0.2 million, and $0.2 million, respectively. The following is a tabular reconciliation of the total amounts of unrecognized tax benefits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 January 1</w:t>
            </w:r>
          </w:p>
        </w:tc>
        <w:tc>
          <w:tcPr>
            <w:tcW w:w="30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192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480" w:type="dxa"/>
            <w:vAlign w:val="bottom"/>
          </w:tcPr>
          <w:p>
            <w:pPr>
              <w:spacing w:after="0"/>
              <w:rPr>
                <w:sz w:val="24"/>
                <w:szCs w:val="24"/>
                <w:color w:val="auto"/>
              </w:rPr>
            </w:pPr>
          </w:p>
        </w:tc>
        <w:tc>
          <w:tcPr>
            <w:tcW w:w="3000" w:type="dxa"/>
            <w:vAlign w:val="bottom"/>
            <w:gridSpan w:val="2"/>
          </w:tcPr>
          <w:p>
            <w:pPr>
              <w:jc w:val="right"/>
              <w:ind w:right="1490"/>
              <w:spacing w:after="0"/>
              <w:rPr>
                <w:sz w:val="20"/>
                <w:szCs w:val="20"/>
                <w:color w:val="auto"/>
              </w:rPr>
            </w:pPr>
            <w:r>
              <w:rPr>
                <w:rFonts w:ascii="Arial" w:cs="Arial" w:eastAsia="Arial" w:hAnsi="Arial"/>
                <w:sz w:val="18"/>
                <w:szCs w:val="18"/>
                <w:color w:val="auto"/>
              </w:rPr>
              <w:t>F- 27</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it has not accrued penalties or interest during 2019 as a result of net operating losses. During 2018 or 2017, the Company also accrued no penalties or interest.</w:t>
      </w:r>
    </w:p>
    <w:p>
      <w:pPr>
        <w:spacing w:after="0" w:line="181"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The Company is subject to taxation in the United States and various states and foreign jurisdictions. The Company’s open tax years subject to examination in the U.S. federal and state jurisdictions are 2016 through 2018.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2010 forward for various foreign jurisdictions.</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 Tax Act significantly changed how the U.S. taxes corporations. The U.S. Tax Act requires complex computations to be performed that were not previously required by U.S. tax law, significant judgments to be made in interpretation of the provisions of the U.S. Tax Act, significant estimates in calculations, and the preparation and analysis of information not previously relevant or regularly produced. The U.S. Treasury Department, the IRS, and other standard-setting bodies will continue to interpret or issue guidance on how provisions of the U.S. Tax Act will be applied or otherwise administered. As future guidance is issued, the Company may make adjustments to amounts that we have previously recorded that may materially impact our provision for income taxes in the period in which the adjustments are made.</w:t>
      </w:r>
    </w:p>
    <w:p>
      <w:pPr>
        <w:spacing w:after="0" w:line="22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December 31, 2019, the Company has accumulated undistributed earnings generated by its foreign subsidiaries of approximately $27.9 million. Because $27.9 million of such earnings have previously been subject to the one-time transition tax on foreign earnings required by the U.S. Tax Act, any additional taxes due with respect to such earnings or the excess of the amount for financial reporting over the tax basis of our foreign investments would generally be limited to foreign and state taxes. The Company intends, however, to indefinitely reinvest these earnings and expects future U.S. cash generation to be sufficient to meet future U.S. cash needs.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300" w:hanging="320"/>
        <w:spacing w:after="0"/>
        <w:tabs>
          <w:tab w:leader="none" w:pos="1300" w:val="left"/>
        </w:tabs>
        <w:numPr>
          <w:ilvl w:val="0"/>
          <w:numId w:val="60"/>
        </w:numPr>
        <w:rPr>
          <w:rFonts w:ascii="MS PGothic" w:cs="MS PGothic" w:eastAsia="MS PGothic" w:hAnsi="MS PGothic"/>
          <w:sz w:val="22"/>
          <w:szCs w:val="22"/>
          <w:color w:val="auto"/>
        </w:rPr>
      </w:pPr>
      <w:r>
        <w:rPr>
          <w:rFonts w:ascii="Arial" w:cs="Arial" w:eastAsia="Arial" w:hAnsi="Arial"/>
          <w:sz w:val="18"/>
          <w:szCs w:val="18"/>
          <w:color w:val="auto"/>
        </w:rPr>
        <w:t>the 1998 Share Incentive Plan</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hanging="320"/>
        <w:spacing w:after="0"/>
        <w:tabs>
          <w:tab w:leader="none" w:pos="1300" w:val="left"/>
        </w:tabs>
        <w:numPr>
          <w:ilvl w:val="0"/>
          <w:numId w:val="61"/>
        </w:numPr>
        <w:rPr>
          <w:rFonts w:ascii="MS PGothic" w:cs="MS PGothic" w:eastAsia="MS PGothic" w:hAnsi="MS PGothic"/>
          <w:sz w:val="22"/>
          <w:szCs w:val="22"/>
          <w:color w:val="auto"/>
        </w:rPr>
      </w:pPr>
      <w:r>
        <w:rPr>
          <w:rFonts w:ascii="Arial" w:cs="Arial" w:eastAsia="Arial" w:hAnsi="Arial"/>
          <w:sz w:val="18"/>
          <w:szCs w:val="18"/>
          <w:color w:val="auto"/>
        </w:rPr>
        <w:t>the 2000 Share Incentive Plan</w:t>
      </w:r>
    </w:p>
    <w:p>
      <w:pPr>
        <w:spacing w:after="0" w:line="231" w:lineRule="exact"/>
        <w:rPr>
          <w:rFonts w:ascii="MS PGothic" w:cs="MS PGothic" w:eastAsia="MS PGothic" w:hAnsi="MS PGothic"/>
          <w:sz w:val="22"/>
          <w:szCs w:val="22"/>
          <w:color w:val="auto"/>
        </w:rPr>
      </w:pPr>
    </w:p>
    <w:p>
      <w:pPr>
        <w:ind w:left="1300" w:hanging="320"/>
        <w:spacing w:after="0"/>
        <w:tabs>
          <w:tab w:leader="none" w:pos="1300" w:val="left"/>
        </w:tabs>
        <w:numPr>
          <w:ilvl w:val="0"/>
          <w:numId w:val="61"/>
        </w:numPr>
        <w:rPr>
          <w:rFonts w:ascii="MS PGothic" w:cs="MS PGothic" w:eastAsia="MS PGothic" w:hAnsi="MS PGothic"/>
          <w:sz w:val="22"/>
          <w:szCs w:val="22"/>
          <w:color w:val="auto"/>
        </w:rPr>
      </w:pPr>
      <w:r>
        <w:rPr>
          <w:rFonts w:ascii="Arial" w:cs="Arial" w:eastAsia="Arial" w:hAnsi="Arial"/>
          <w:sz w:val="18"/>
          <w:szCs w:val="18"/>
          <w:color w:val="auto"/>
        </w:rPr>
        <w:t>the 2004 Share Incentive Plan</w:t>
      </w:r>
    </w:p>
    <w:p>
      <w:pPr>
        <w:spacing w:after="0" w:line="231" w:lineRule="exact"/>
        <w:rPr>
          <w:rFonts w:ascii="MS PGothic" w:cs="MS PGothic" w:eastAsia="MS PGothic" w:hAnsi="MS PGothic"/>
          <w:sz w:val="22"/>
          <w:szCs w:val="22"/>
          <w:color w:val="auto"/>
        </w:rPr>
      </w:pPr>
    </w:p>
    <w:p>
      <w:pPr>
        <w:ind w:left="1300" w:hanging="320"/>
        <w:spacing w:after="0"/>
        <w:tabs>
          <w:tab w:leader="none" w:pos="1300" w:val="left"/>
        </w:tabs>
        <w:numPr>
          <w:ilvl w:val="0"/>
          <w:numId w:val="61"/>
        </w:numPr>
        <w:rPr>
          <w:rFonts w:ascii="MS PGothic" w:cs="MS PGothic" w:eastAsia="MS PGothic" w:hAnsi="MS PGothic"/>
          <w:sz w:val="18"/>
          <w:szCs w:val="18"/>
          <w:color w:val="auto"/>
        </w:rPr>
      </w:pPr>
      <w:r>
        <w:rPr>
          <w:rFonts w:ascii="Arial" w:cs="Arial" w:eastAsia="Arial" w:hAnsi="Arial"/>
          <w:sz w:val="18"/>
          <w:szCs w:val="18"/>
          <w:color w:val="auto"/>
        </w:rPr>
        <w:t>the 2006 Share Incentive Plan</w:t>
      </w:r>
    </w:p>
    <w:p>
      <w:pPr>
        <w:spacing w:after="0" w:line="252" w:lineRule="exact"/>
        <w:rPr>
          <w:rFonts w:ascii="MS PGothic" w:cs="MS PGothic" w:eastAsia="MS PGothic" w:hAnsi="MS PGothic"/>
          <w:sz w:val="18"/>
          <w:szCs w:val="18"/>
          <w:color w:val="auto"/>
        </w:rPr>
      </w:pPr>
    </w:p>
    <w:p>
      <w:pPr>
        <w:ind w:left="1300" w:hanging="320"/>
        <w:spacing w:after="0"/>
        <w:tabs>
          <w:tab w:leader="none" w:pos="1300" w:val="left"/>
        </w:tabs>
        <w:numPr>
          <w:ilvl w:val="0"/>
          <w:numId w:val="61"/>
        </w:numPr>
        <w:rPr>
          <w:rFonts w:ascii="MS PGothic" w:cs="MS PGothic" w:eastAsia="MS PGothic" w:hAnsi="MS PGothic"/>
          <w:sz w:val="22"/>
          <w:szCs w:val="22"/>
          <w:color w:val="auto"/>
        </w:rPr>
      </w:pPr>
      <w:r>
        <w:rPr>
          <w:rFonts w:ascii="Arial" w:cs="Arial" w:eastAsia="Arial" w:hAnsi="Arial"/>
          <w:sz w:val="18"/>
          <w:szCs w:val="18"/>
          <w:color w:val="auto"/>
        </w:rPr>
        <w:t>the Amended and Restated 2013 Equity Incentive Plan (“2013 Plan”)</w:t>
      </w:r>
    </w:p>
    <w:p>
      <w:pPr>
        <w:spacing w:after="0" w:line="23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Share Price</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3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on Date of</w:t>
            </w: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34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1"/>
              </w:rPr>
              <w:t>(in thousands,</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w w:val="83"/>
              </w:rPr>
              <w:t>except price data)</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3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10.21</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5.32</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573</w:t>
            </w: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December 31, 2019</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10.21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573</w:t>
            </w:r>
          </w:p>
        </w:tc>
      </w:tr>
      <w:tr>
        <w:trPr>
          <w:trHeight w:val="197"/>
        </w:trPr>
        <w:tc>
          <w:tcPr>
            <w:tcW w:w="334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3.87</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573</w:t>
            </w: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there was no unrecognized stock option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9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900" w:type="dxa"/>
            <w:vAlign w:val="bottom"/>
            <w:gridSpan w:val="3"/>
          </w:tcPr>
          <w:p>
            <w:pPr>
              <w:spacing w:after="0"/>
              <w:rPr>
                <w:sz w:val="20"/>
                <w:szCs w:val="20"/>
                <w:color w:val="auto"/>
              </w:rPr>
            </w:pPr>
            <w:r>
              <w:rPr>
                <w:rFonts w:ascii="Arial" w:cs="Arial" w:eastAsia="Arial" w:hAnsi="Arial"/>
                <w:sz w:val="18"/>
                <w:szCs w:val="18"/>
                <w:i w:val="1"/>
                <w:iCs w:val="1"/>
                <w:color w:val="auto"/>
              </w:rPr>
              <w:t>Restricted Stock Unit/Awards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60" w:type="dxa"/>
            <w:vAlign w:val="bottom"/>
            <w:gridSpan w:val="5"/>
          </w:tcPr>
          <w:p>
            <w:pPr>
              <w:ind w:left="660"/>
              <w:spacing w:after="0"/>
              <w:rPr>
                <w:sz w:val="20"/>
                <w:szCs w:val="20"/>
                <w:color w:val="auto"/>
              </w:rPr>
            </w:pPr>
            <w:r>
              <w:rPr>
                <w:rFonts w:ascii="Arial" w:cs="Arial" w:eastAsia="Arial" w:hAnsi="Arial"/>
                <w:sz w:val="18"/>
                <w:szCs w:val="18"/>
                <w:color w:val="auto"/>
                <w:w w:val="96"/>
              </w:rPr>
              <w:t>The following is a summary of RSU/RSA activity (in thousands, except per share data):</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Average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of Release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1"/>
              </w:rPr>
              <w:t>(in thousands,</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86"/>
              </w:rPr>
              <w:t>except price data)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12,744</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Released</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25.95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Cancelled/Forfeited</w:t>
            </w: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50"/>
        </w:trPr>
        <w:tc>
          <w:tcPr>
            <w:tcW w:w="6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9,143</w:t>
            </w:r>
          </w:p>
        </w:tc>
      </w:tr>
      <w:tr>
        <w:trPr>
          <w:trHeight w:val="197"/>
        </w:trPr>
        <w:tc>
          <w:tcPr>
            <w:tcW w:w="6900" w:type="dxa"/>
            <w:vAlign w:val="bottom"/>
            <w:gridSpan w:val="3"/>
          </w:tcPr>
          <w:p>
            <w:pPr>
              <w:spacing w:after="0" w:line="196" w:lineRule="exact"/>
              <w:rPr>
                <w:sz w:val="20"/>
                <w:szCs w:val="20"/>
                <w:color w:val="auto"/>
              </w:rPr>
            </w:pPr>
            <w:r>
              <w:rPr>
                <w:rFonts w:ascii="Arial" w:cs="Arial" w:eastAsia="Arial" w:hAnsi="Arial"/>
                <w:sz w:val="18"/>
                <w:szCs w:val="18"/>
                <w:color w:val="auto"/>
              </w:rPr>
              <w:t>Vested and expected to vest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25.18</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9,143</w:t>
            </w: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aggregate intrinsic value of RSUs and RSAs outstanding at December 31, 2019 was $9.8 million. Unrecognized compensation expense related to these RSUs and RSAs at December 31, 2019 was $16.8 million. This expense is expected to be recognized over 1.99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recognizes compensation expense on a straight-line basis over the applicable vesting term of the award and expense is adjusted as forfeitures occur.</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years ended December 31,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Share-Based compensation - by expense type:</w:t>
            </w:r>
          </w:p>
        </w:tc>
        <w:tc>
          <w:tcPr>
            <w:tcW w:w="1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9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7,405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5,357</w:t>
            </w:r>
          </w:p>
        </w:tc>
      </w:tr>
      <w:tr>
        <w:trPr>
          <w:trHeight w:val="20"/>
        </w:trPr>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9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11,804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r>
      <w:tr>
        <w:trPr>
          <w:trHeight w:val="413"/>
        </w:trPr>
        <w:tc>
          <w:tcPr>
            <w:tcW w:w="4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Share-Based compensation - by award type:</w:t>
            </w:r>
          </w:p>
        </w:tc>
        <w:tc>
          <w:tcPr>
            <w:tcW w:w="19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4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29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11,804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6,942</w:t>
            </w:r>
          </w:p>
        </w:tc>
      </w:tr>
      <w:tr>
        <w:trPr>
          <w:trHeight w:val="20"/>
        </w:trPr>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9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11,804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r>
      <w:tr>
        <w:trPr>
          <w:trHeight w:val="413"/>
        </w:trPr>
        <w:tc>
          <w:tcPr>
            <w:tcW w:w="442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ind w:left="1100"/>
              <w:spacing w:after="0"/>
              <w:rPr>
                <w:sz w:val="20"/>
                <w:szCs w:val="20"/>
                <w:color w:val="auto"/>
              </w:rPr>
            </w:pPr>
            <w:r>
              <w:rPr>
                <w:rFonts w:ascii="Arial" w:cs="Arial" w:eastAsia="Arial" w:hAnsi="Arial"/>
                <w:sz w:val="18"/>
                <w:szCs w:val="18"/>
                <w:color w:val="auto"/>
              </w:rPr>
              <w:t>F- 30</w:t>
            </w:r>
          </w:p>
        </w:tc>
        <w:tc>
          <w:tcPr>
            <w:tcW w:w="9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8"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45,000,000 shares of common stock, all of which have been designated voting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Amended and Restated Certificate of Incorporation authorizes the issuance of up to 5,000,000 shares of preferred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October 17, 2016, the Company filed a Registration Statement on Form S-3 with the Securities and Exchange Commission effective November 1, 2016, providing for the public offer and sale of certain securities of the Company from time to time, at its discretion, up to an aggregate amount of $250 million. In connection with such Form S-3, the Company entered into an Equity Distribution Agreement with Raymond James &amp; Associates, Inc. pursuant to which the Company may issue and sell shares of the Company’s stock having an aggregate offering price of up to $50.0 million (the “Second ATM Offering”) from time to time through Raymond James &amp; Associates, Inc. On November 22, 2016, the Company commenced sales of common stock through the Second ATM Offering. The Company completed its Second ATM Offering in March 2017 and sold 1.6 million shares of common stock at a weighted average price of $31.55 per share, providing proceeds of $48.8 million, net of expenses and underwriting discounts and commissions. On October 24, 2019, the Company filed a Registration Statement on Form S-3 with the Securities and Exchange Commission effective January 9, 2020, providing for the public offer and sale of certain securities of the Company from time to time, at its discretion, up to an aggregate amount of $250 million. No shares of common stock have been sold pursuant to this Registration Statement on Form S-3.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R—SEGMENT AND GEOGRAPHIC INFORMATION</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w w:val="96"/>
              </w:rPr>
              <w:t>For the 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9,795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10,795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18,209</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97,776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113,547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241,820</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China</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83,301</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143,123</w:t>
            </w:r>
          </w:p>
        </w:tc>
        <w:tc>
          <w:tcPr>
            <w:tcW w:w="4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122,300</w:t>
            </w: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190,872</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267,465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382,329</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As of December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94,507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88,815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75,446</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73,816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65,451</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67,379</w:t>
            </w: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China</w:t>
            </w: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97,687</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89,736</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59,929</w:t>
            </w: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266,010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244,002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202,754</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serves four primary markets, the internet data center, CATV, telecom and FTTH markets. Of the Company’s total revenues in 2019, the Company earned $143.6 million, or 75.2%, from the internet data center market, $37.3 million, or 19.6%, from the CATV market, $8.4 million, or 4.4%, from the telecom market and $0.2 million, or 0.1%, from the FTTH market. Of the Company’s total revenues in 2018, the Company earned $200.2 million, or 74.9%, from the internet data center market, $51.7 million, or 19.3%, from the CATV market, $13.2 million, or 4.9%, from the telecom market and</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$0.8 million, or 0.3%, from the FTTH market. Of the Company’s total revenues in 2017, the Company earned $306.7 million, or 80.2%, from the internet data center market, $60.8 million, or 15.9%, from the CATV market, $12.9 million, or 3.4%, from the telecom market and $0.5 million, or 0.1%, from the FTTH market.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S—EMPLOYEE BENEFIT PLANS</w:t>
      </w:r>
    </w:p>
    <w:p>
      <w:pPr>
        <w:spacing w:after="0" w:line="22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$0.8 million $0.8 million, and $0.6 million to the 401(k) plan for the years ended December 31, 2019, 2018 and 2017, respectively.</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$0.7 million, $0.9 million, and $0.8 million in the years ended for the year ended December 31, 2019, 2018 and 2017, respectively.</w:t>
      </w:r>
    </w:p>
    <w:p>
      <w:pPr>
        <w:spacing w:after="0" w:line="17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Employees Prime World’s Taiwan branch participate in a pension program under the Taiwan Labor Pension Act. Pension expense for the Prime World’s Taiwan branch was $0.8 million, $0.9 million, and $0.9 million for the years ended December 31, 2019, 2018 and 2017, respectively.</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$1.3 million, $1.1 million and $1.1 million, respectively, for the years ended December 31, 2019, 2018 and 2017, respectively.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December 31, 2019, the approximate minimum rental commitments under noncancellable leases in excess of one year that expire at varying dates through 2029 were as follows (in thousands):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5,040</w:t>
            </w:r>
          </w:p>
        </w:tc>
      </w:tr>
      <w:tr>
        <w:trPr>
          <w:trHeight w:val="20"/>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10,843</w:t>
            </w:r>
          </w:p>
        </w:tc>
      </w:tr>
      <w:tr>
        <w:trPr>
          <w:trHeight w:val="20"/>
        </w:trPr>
        <w:tc>
          <w:tcPr>
            <w:tcW w:w="7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also entered into employment and indemnification agreements with one other executive officer. These agreements provide that if their employment is terminated as a result of a change of control of the Company, the Company will be required to pay a severance payment in an amount equal to six months of their annual base salary and other additional compensation due under the terms of the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 Stefan J. Murry, et al.</w:t>
      </w:r>
      <w:r>
        <w:rPr>
          <w:rFonts w:ascii="Arial" w:cs="Arial" w:eastAsia="Arial" w:hAnsi="Arial"/>
          <w:sz w:val="16"/>
          <w:szCs w:val="16"/>
          <w:color w:val="auto"/>
        </w:rPr>
        <w:t>, Case No. 4:17-cv-02399. The complaint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matter seeks class action status on behalf of the 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filed a motion to dismiss on April 4, 2018, which was denied on March 28, 2019. The Company disputes the allegations, and intends to continue to vigorously defend against these claims.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the Company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Defendants filed written objections on November 27, 2019. On December 11, 2019, Plaintiffs filed a response in opposition to Defendants’ objections, and on December 16, 2019, Defendants filed their reply brief. The court entered an order adopting the Magistrate Judge’s Memorandum and Recommendation over Defendants’ objections on December 20, 2019. Thereafter, on January 3, 2020, Defendants filed a petition for permission to appeal the class certification order to the Fifth Circuit Court of Appeals. Plaintiffs filed an answer in opposition to Defendants’ petition on January 13, 2020, and Defendants filed a reply brief in further support of the petition for permission to appeal on January 21, 2020. On January 23, 2020, Defendants filed an unopposed motion in the Fifth Circuit requesting that the court stay further proceedings for 90 days to allow the parties to conduct settlement negotiations. The Fifth Circuit entered an order granting the motion on January 24, 2020. The case is currently in the discovery phase, and fact discovery is scheduled to be completed by June 1, 2020. At this stage, The Company is not yet able to determine the likelihood of loss, if any, arising from this matter.</w:t>
      </w:r>
    </w:p>
    <w:p>
      <w:pPr>
        <w:spacing w:after="0" w:line="17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On August 7, 2018, Plaintiff Lei Jin filed a purported derivative action on behalf of nominal defendant Applied Optoelectronics, Inc. in the U.S. District Court for the Southern District of Texas against the Company’s chief executive officer, chief financial officer and board of directors (Case No. 4:18-cv-02713). This case was consolidated with a later filed derivative lawsuit filed by Plaintiff Yiu Kwong Ng in the U.S. District Court for the Southern District of Texas (Case No. 4:18-cv-4751). The allegations in the consolidated derivative complaints are substantially similar to those underlying the </w:t>
      </w:r>
      <w:r>
        <w:rPr>
          <w:rFonts w:ascii="Arial" w:cs="Arial" w:eastAsia="Arial" w:hAnsi="Arial"/>
          <w:sz w:val="18"/>
          <w:szCs w:val="18"/>
          <w:i w:val="1"/>
          <w:iCs w:val="1"/>
          <w:color w:val="auto"/>
        </w:rPr>
        <w:t xml:space="preserve">Abouzied </w:t>
      </w:r>
      <w:r>
        <w:rPr>
          <w:rFonts w:ascii="Arial" w:cs="Arial" w:eastAsia="Arial" w:hAnsi="Arial"/>
          <w:sz w:val="18"/>
          <w:szCs w:val="18"/>
          <w:color w:val="auto"/>
        </w:rPr>
        <w:t>securities class action and the</w:t>
      </w:r>
      <w:r>
        <w:rPr>
          <w:rFonts w:ascii="Arial" w:cs="Arial" w:eastAsia="Arial" w:hAnsi="Arial"/>
          <w:sz w:val="18"/>
          <w:szCs w:val="18"/>
          <w:i w:val="1"/>
          <w:iCs w:val="1"/>
          <w:color w:val="auto"/>
        </w:rPr>
        <w:t xml:space="preserve"> Taneja </w:t>
      </w:r>
      <w:r>
        <w:rPr>
          <w:rFonts w:ascii="Arial" w:cs="Arial" w:eastAsia="Arial" w:hAnsi="Arial"/>
          <w:sz w:val="18"/>
          <w:szCs w:val="18"/>
          <w:color w:val="auto"/>
        </w:rPr>
        <w:t>securities class action discussed below. The consolidated derivative action is stayed pending a ruling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defendants’ forthcoming motion to dismiss in the </w:t>
      </w:r>
      <w:r>
        <w:rPr>
          <w:rFonts w:ascii="Arial" w:cs="Arial" w:eastAsia="Arial" w:hAnsi="Arial"/>
          <w:sz w:val="18"/>
          <w:szCs w:val="18"/>
          <w:i w:val="1"/>
          <w:iCs w:val="1"/>
          <w:color w:val="auto"/>
        </w:rPr>
        <w:t>Taneja</w:t>
      </w:r>
      <w:r>
        <w:rPr>
          <w:rFonts w:ascii="Arial" w:cs="Arial" w:eastAsia="Arial" w:hAnsi="Arial"/>
          <w:sz w:val="18"/>
          <w:szCs w:val="18"/>
          <w:color w:val="auto"/>
        </w:rPr>
        <w:t xml:space="preserve"> securities class action. The Company disputes the allegations and intends to vigorously contest the matter.</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October 1, 2018, a lawsuit was filed in the U.S. District Court for the Southern District of Texas against the Company and two of its officers in </w:t>
      </w:r>
      <w:r>
        <w:rPr>
          <w:rFonts w:ascii="Arial" w:cs="Arial" w:eastAsia="Arial" w:hAnsi="Arial"/>
          <w:sz w:val="17"/>
          <w:szCs w:val="17"/>
          <w:i w:val="1"/>
          <w:iCs w:val="1"/>
          <w:color w:val="auto"/>
        </w:rPr>
        <w:t>Gaurav Taneja v. Applied Optoelectronics, Inc., Thompson Lin, and Stefan Murry</w:t>
      </w:r>
      <w:r>
        <w:rPr>
          <w:rFonts w:ascii="Arial" w:cs="Arial" w:eastAsia="Arial" w:hAnsi="Arial"/>
          <w:sz w:val="17"/>
          <w:szCs w:val="17"/>
          <w:color w:val="auto"/>
        </w:rPr>
        <w:t>, Case No. 4:18-cv-03544. The complaint in this matter seeks class action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status on behalf of the Company’s shareholders, alleging violations of Sections 10(b) and 20(a) of the Exchange Act against the Company, its chief executive officer, and its chief financial officer, arising out of its announcement on September 28, 2018 that it was revising its third quarter revenue guidance due to “an issue with a small percentage of 25G lasers within a specific customer environment.” This case was consolidated with two identical cases styled </w:t>
      </w:r>
      <w:r>
        <w:rPr>
          <w:rFonts w:ascii="Arial" w:cs="Arial" w:eastAsia="Arial" w:hAnsi="Arial"/>
          <w:sz w:val="17"/>
          <w:szCs w:val="17"/>
          <w:i w:val="1"/>
          <w:iCs w:val="1"/>
          <w:color w:val="auto"/>
        </w:rPr>
        <w:t>Davin Pokoik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Applied Optoelectronics, Inc., Chih-Hsiang Lin, and Stefan J. Murry, Case </w:t>
      </w:r>
      <w:r>
        <w:rPr>
          <w:rFonts w:ascii="Arial" w:cs="Arial" w:eastAsia="Arial" w:hAnsi="Arial"/>
          <w:sz w:val="17"/>
          <w:szCs w:val="17"/>
          <w:color w:val="auto"/>
        </w:rPr>
        <w:t>No. 4:18</w:t>
      </w:r>
      <w:r>
        <w:rPr>
          <w:rFonts w:ascii="Arial" w:cs="Arial" w:eastAsia="Arial" w:hAnsi="Arial"/>
          <w:sz w:val="17"/>
          <w:szCs w:val="17"/>
          <w:i w:val="1"/>
          <w:iCs w:val="1"/>
          <w:color w:val="auto"/>
        </w:rPr>
        <w:t>-cv-</w:t>
      </w:r>
      <w:r>
        <w:rPr>
          <w:rFonts w:ascii="Arial" w:cs="Arial" w:eastAsia="Arial" w:hAnsi="Arial"/>
          <w:sz w:val="17"/>
          <w:szCs w:val="17"/>
          <w:color w:val="auto"/>
        </w:rPr>
        <w:t>3722 and</w:t>
      </w:r>
      <w:r>
        <w:rPr>
          <w:rFonts w:ascii="Arial" w:cs="Arial" w:eastAsia="Arial" w:hAnsi="Arial"/>
          <w:sz w:val="17"/>
          <w:szCs w:val="17"/>
          <w:i w:val="1"/>
          <w:iCs w:val="1"/>
          <w:color w:val="auto"/>
        </w:rPr>
        <w:t xml:space="preserve"> Stephen McGrath v. Applied Optoelectronics, Inc., Chih-Hsiang Lin, and Stefan J. Murry</w:t>
      </w:r>
      <w:r>
        <w:rPr>
          <w:rFonts w:ascii="Arial" w:cs="Arial" w:eastAsia="Arial" w:hAnsi="Arial"/>
          <w:sz w:val="17"/>
          <w:szCs w:val="17"/>
          <w:color w:val="auto"/>
        </w:rPr>
        <w:t>. Mark Naglich was appointed as Lead Plaintiff on the consolidated matter on January 4, 2019. Lead Plaintiff filed an</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consolidated complaint on March 5, 2019, and the Company filed a motion to dismiss the amended consolidated complaint on May 6, 2019. On July 5, 2019, Plaintiff filed a response in opposition to the motion to dismiss, and the Company filed its reply brief in further support of the motion on August 5, 2019. On January 29, 2020, the district court entered an order granting Defendants’ motion to dismiss and dismissing the amended consolidated complaint with prejudice. The court also entered an order denying Lead Plaintiff’s request for leave to further amend the complaint, and entered a final judgment terminating the case. An appeal by Lead Plaintiff, if any, must be filed with the Fifth Circuit by February 28, 2020. The Company continues to dispute the allegations and intends to vigorously contest the matter should an appeal be filed.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date the financial statements were issued.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2020, the Company repaid its revolving bank link of credit of $20 million.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V—SELECTED 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a summary of the Company’s quarterly financial information for each of the four quarters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Third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2019</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46,084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goods sold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40,368</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32,873</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34,108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12,351</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Gross margin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24,220</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24,366</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22,972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(11,869)</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(13,828)</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(10,996)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(loss) before taxes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(12,948)</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(14,557)</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(10,720)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1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(10,474)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(11,366)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1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share—diluted</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F- 34</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Third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2018</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56,386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39,403</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53,959</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38,849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25,836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23,666</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24,920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27,141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2,170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(9,604)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Net income before taxes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10,330</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8,034</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(3,732)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Net income per share—basic</w:t>
            </w:r>
          </w:p>
        </w:tc>
        <w:tc>
          <w:tcPr>
            <w:tcW w:w="2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0.41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2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F-35</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82" w:name="page83"/>
    <w:bookmarkEnd w:id="82"/>
    <w:p>
      <w:pPr>
        <w:ind w:left="10620"/>
        <w:spacing w:after="0"/>
        <w:rPr>
          <w:sz w:val="20"/>
          <w:szCs w:val="20"/>
          <w:color w:val="auto"/>
        </w:rPr>
      </w:pPr>
      <w:r>
        <w:rPr>
          <w:rFonts w:ascii="Arial" w:cs="Arial" w:eastAsia="Arial" w:hAnsi="Arial"/>
          <w:sz w:val="17"/>
          <w:szCs w:val="17"/>
          <w:color w:val="auto"/>
        </w:rPr>
        <w:t>Exhibit 4.4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COMMON STOCK REGISTERED UNDER SECTION 12 OF THE EXCHANGE ACT OF 1934</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following description of the Company’s Common Stock is based upon the Company’s Amended and Restated Certificate of Incorporation (“Restated Certificate of Incorporation”), the Company’s Amended and Restated Bylaws (“Bylaws”) and applicable provisions of law. We have summarized certain portions of the Restated Certificate of Incorporation and Bylaws below. The summary is not complete and is subject to, and is qualified in its entirety by express reference to, the provisions of our Restated Certificate of Incorporation and Bylaws, each of which is filed as an exhibit to the Annual Report on Form 10-K of which this Exhibit 4.4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authorized capital shares consist of 45,000,000 shares of Common Stock, $0.001 par value per share (“Common Stock”), and 5,000,000 shares of preferred stock, $0.001 par value per share (“Preferred Stock”). The outstanding shares of our Common Stock are fully paid and nonassessable. No shares of Preferred Stock have been issued or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our common stock are entitled to one vote for each share of Common Stock held of record for the election of directors and on all matters submitted to a vote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Holders of our Common Stock are also entitled to receive dividends ratably, if any, as may be declared by our board of directors out of legally available funds, subject to any preferential dividend rights of any Preferred Stock then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Nasdaq Global Market under the trading symbol “AAOI.”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Restated Certificate of Incorporation and Bylaws and Delaware Anti-Takeover Law</w:t>
      </w:r>
    </w:p>
    <w:p>
      <w:pPr>
        <w:spacing w:after="0" w:line="229"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Our Restated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composition and filling vacancies</w:t>
      </w:r>
    </w:p>
    <w:p>
      <w:pPr>
        <w:spacing w:after="0" w:line="22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 accordance with our Restated Certificate of Incorporation, our board of directors is divided into three classes serving staggered three-year terms, with one class being elected each year. Our Restated certificate of incorporation also provides that directors may be removed only for cause and then only by the affirmative vote of the holders of 66 2/3%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written consent of stockholders</w:t>
      </w:r>
    </w:p>
    <w:p>
      <w:pPr>
        <w:spacing w:after="0" w:line="225"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Our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Meetings of stockholders</w:t>
      </w:r>
    </w:p>
    <w:p>
      <w:pPr>
        <w:spacing w:after="0" w:line="225"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Our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w:t>
      </w:r>
    </w:p>
    <w:p>
      <w:pPr>
        <w:spacing w:after="0" w:line="225"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our Bylaws.</w:t>
      </w:r>
    </w:p>
    <w:p>
      <w:pPr>
        <w:sectPr>
          <w:pgSz w:w="11900" w:h="16838" w:orient="portrait"/>
          <w:cols w:equalWidth="0" w:num="1">
            <w:col w:w="11420"/>
          </w:cols>
          <w:pgMar w:left="240" w:top="557" w:right="239" w:bottom="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Amendment to bylaws and certificate of incorporation</w:t>
      </w:r>
    </w:p>
    <w:p>
      <w:pPr>
        <w:spacing w:after="0" w:line="225" w:lineRule="exact"/>
        <w:rPr>
          <w:sz w:val="20"/>
          <w:szCs w:val="20"/>
          <w:color w:val="auto"/>
        </w:rPr>
      </w:pPr>
    </w:p>
    <w:p>
      <w:pPr>
        <w:ind w:right="20" w:firstLine="350"/>
        <w:spacing w:after="0" w:line="289" w:lineRule="auto"/>
        <w:rPr>
          <w:sz w:val="20"/>
          <w:szCs w:val="20"/>
          <w:color w:val="auto"/>
        </w:rPr>
      </w:pPr>
      <w:r>
        <w:rPr>
          <w:rFonts w:ascii="Arial" w:cs="Arial" w:eastAsia="Arial" w:hAnsi="Arial"/>
          <w:sz w:val="16"/>
          <w:szCs w:val="16"/>
          <w:color w:val="auto"/>
        </w:rPr>
        <w:t>As required by the Delaware General Corporation Law (the "DGCL"), any amendment of our Restated Certificate of Incorporation must first be approved by a majority of our board of directors and, if required by law or our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Restated Certificate of Incorporation must be approved by not less than 66 2/3% of the outstanding shares entitled to vote on the amendment, and not less than 66 2/3%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66 2/3%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Blank check preferred stock</w:t>
      </w:r>
    </w:p>
    <w:p>
      <w:pPr>
        <w:spacing w:after="0" w:line="225"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Our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22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Our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or the Company's Restated Certificate of Incorporation or Bylaws, or (iv) any action asserting a claim against the Company governed by the internal affairs doctrine. The forum selection provision in our Restated Certificate of Incorporation does not apply to suits arising under the Securities Exchange Act of 1934 but does apply to other state and federal law claims including actions arising under the Securities Act of 1933 (although our stockholders will not be deemed to have waived our compliance with the federal securities laws and the rules and regulations thereunder). With respect to suits arising under the Securities Act of 1933, the enforceability of forum selection provisions has been challenged in legal proceedings, and it is possible that, in connection with any applicable action brought against the Company, a court could find the choice of forum provisions contained in the Restated Certificate of Incorporation to be inapplicable or unenforceable in such 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Delaware General Corporation Law</w:t>
      </w:r>
    </w:p>
    <w:p>
      <w:pPr>
        <w:spacing w:after="0" w:line="229" w:lineRule="exact"/>
        <w:rPr>
          <w:sz w:val="20"/>
          <w:szCs w:val="20"/>
          <w:color w:val="auto"/>
        </w:rPr>
      </w:pPr>
    </w:p>
    <w:p>
      <w:pPr>
        <w:ind w:firstLine="357"/>
        <w:spacing w:after="0" w:line="255" w:lineRule="auto"/>
        <w:rPr>
          <w:sz w:val="20"/>
          <w:szCs w:val="20"/>
          <w:color w:val="auto"/>
        </w:rPr>
      </w:pPr>
      <w:r>
        <w:rPr>
          <w:rFonts w:ascii="Arial" w:cs="Arial" w:eastAsia="Arial" w:hAnsi="Arial"/>
          <w:sz w:val="18"/>
          <w:szCs w:val="18"/>
          <w:color w:val="auto"/>
        </w:rPr>
        <w:t>We are subject to the provisions of Section 203 of the DGCL,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9" w:lineRule="exact"/>
        <w:rPr>
          <w:sz w:val="20"/>
          <w:szCs w:val="20"/>
          <w:color w:val="auto"/>
        </w:rPr>
      </w:pPr>
    </w:p>
    <w:p>
      <w:pPr>
        <w:ind w:left="660" w:right="280" w:hanging="328"/>
        <w:spacing w:after="0" w:line="25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ind w:left="660" w:right="140" w:hanging="328"/>
        <w:spacing w:after="0" w:line="255"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90"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sectPr>
          <w:pgSz w:w="11900" w:h="16838" w:orient="portrait"/>
          <w:cols w:equalWidth="0" w:num="1">
            <w:col w:w="11400"/>
          </w:cols>
          <w:pgMar w:left="240" w:top="341" w:right="25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28, 2020, with respect to the consolidated financial statements and internal control over financial reporting included in the Annual Report of Applied Optoelectronics, Inc. on Form 10-K for the year ended December 31, 2019. We consent to the incorporation by reference of said reports in the Registration Statements of Applied Optoelectronics, Inc. on Form S-3 (File No. 333-234310) and on Forms S-8 (File No. 333-223347, File No. 333-217871, File No. 333-192407 and File No. 333-230243).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340" w:firstLine="424"/>
        <w:spacing w:after="0" w:line="342" w:lineRule="auto"/>
        <w:tabs>
          <w:tab w:leader="none" w:pos="5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24"/>
        <w:spacing w:after="0" w:line="277" w:lineRule="auto"/>
        <w:tabs>
          <w:tab w:leader="none" w:pos="5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4"/>
        <w:spacing w:after="0" w:line="264" w:lineRule="auto"/>
        <w:tabs>
          <w:tab w:leader="none" w:pos="5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20" w:right="40" w:hanging="7"/>
        <w:spacing w:after="0" w:line="264" w:lineRule="auto"/>
        <w:tabs>
          <w:tab w:leader="none" w:pos="6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20" w:hanging="7"/>
        <w:spacing w:after="0" w:line="264" w:lineRule="auto"/>
        <w:tabs>
          <w:tab w:leader="none" w:pos="6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20" w:right="80" w:hanging="7"/>
        <w:spacing w:after="0" w:line="308" w:lineRule="auto"/>
        <w:tabs>
          <w:tab w:leader="none" w:pos="654" w:val="left"/>
        </w:tabs>
        <w:numPr>
          <w:ilvl w:val="0"/>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420" w:right="100" w:hanging="7"/>
        <w:spacing w:after="0" w:line="264" w:lineRule="auto"/>
        <w:tabs>
          <w:tab w:leader="none" w:pos="6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40" w:firstLine="424"/>
        <w:spacing w:after="0" w:line="308" w:lineRule="auto"/>
        <w:tabs>
          <w:tab w:leader="none" w:pos="5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60" w:hanging="7"/>
        <w:spacing w:after="0" w:line="277" w:lineRule="auto"/>
        <w:tabs>
          <w:tab w:leader="none" w:pos="6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40" w:hanging="7"/>
        <w:spacing w:after="0" w:line="277" w:lineRule="auto"/>
        <w:tabs>
          <w:tab w:leader="none" w:pos="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340" w:firstLine="424"/>
        <w:spacing w:after="0" w:line="342" w:lineRule="auto"/>
        <w:tabs>
          <w:tab w:leader="none" w:pos="59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24"/>
        <w:spacing w:after="0" w:line="277" w:lineRule="auto"/>
        <w:tabs>
          <w:tab w:leader="none" w:pos="5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4"/>
        <w:spacing w:after="0" w:line="264" w:lineRule="auto"/>
        <w:tabs>
          <w:tab w:leader="none" w:pos="5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7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24"/>
        <w:spacing w:after="0" w:line="308" w:lineRule="auto"/>
        <w:tabs>
          <w:tab w:leader="none" w:pos="59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47" w:lineRule="exact"/>
        <w:rPr>
          <w:sz w:val="20"/>
          <w:szCs w:val="20"/>
          <w:color w:val="auto"/>
        </w:rPr>
      </w:pPr>
    </w:p>
    <w:p>
      <w:pPr>
        <w:ind w:right="280" w:firstLine="424"/>
        <w:spacing w:after="0" w:line="277" w:lineRule="auto"/>
        <w:tabs>
          <w:tab w:leader="none" w:pos="5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2019,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580" w:firstLine="424"/>
        <w:spacing w:after="0" w:line="277" w:lineRule="auto"/>
        <w:tabs>
          <w:tab w:leader="none" w:pos="5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28th day of February,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Chih-Hsiang (Thompson) Lin</w:t>
            </w:r>
          </w:p>
        </w:tc>
        <w:tc>
          <w:tcPr>
            <w:tcW w:w="280" w:type="dxa"/>
            <w:vAlign w:val="bottom"/>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J. Murry</w:t>
            </w:r>
          </w:p>
        </w:tc>
      </w:tr>
      <w:tr>
        <w:trPr>
          <w:trHeight w:val="195"/>
        </w:trPr>
        <w:tc>
          <w:tcPr>
            <w:tcW w:w="5580" w:type="dxa"/>
            <w:vAlign w:val="bottom"/>
          </w:tcPr>
          <w:p>
            <w:pPr>
              <w:spacing w:after="0" w:line="195" w:lineRule="exact"/>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280" w:type="dxa"/>
            <w:vAlign w:val="bottom"/>
          </w:tcPr>
          <w:p>
            <w:pPr>
              <w:spacing w:after="0"/>
              <w:rPr>
                <w:sz w:val="16"/>
                <w:szCs w:val="16"/>
                <w:color w:val="auto"/>
              </w:rPr>
            </w:pPr>
          </w:p>
        </w:tc>
        <w:tc>
          <w:tcPr>
            <w:tcW w:w="5560" w:type="dxa"/>
            <w:vAlign w:val="bottom"/>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28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2"/>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1)"/>
      <w:numFmt w:val="lowerRoman"/>
      <w:start w:val="3"/>
    </w:lvl>
  </w:abstractNum>
  <w:abstractNum w:abstractNumId="35">
    <w:nsid w:val="75C6C33A"/>
    <w:multiLevelType w:val="hybridMultilevel"/>
    <w:lvl w:ilvl="0">
      <w:lvlJc w:val="left"/>
      <w:lvlText w:val="%1."/>
      <w:numFmt w:val="lowerLetter"/>
      <w:start w:val="3"/>
    </w:lvl>
  </w:abstractNum>
  <w:abstractNum w:abstractNumId="36">
    <w:nsid w:val="12E685FB"/>
    <w:multiLevelType w:val="hybridMultilevel"/>
    <w:lvl w:ilvl="0">
      <w:lvlJc w:val="left"/>
      <w:lvlText w:val="*"/>
      <w:numFmt w:val="bullet"/>
      <w:start w:val="1"/>
    </w:lvl>
    <w:lvl w:ilvl="1">
      <w:lvlJc w:val="left"/>
      <w:lvlText w:val="%2"/>
      <w:numFmt w:val="decimal"/>
      <w:start w:val="104"/>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2"/>
    </w:lvl>
  </w:abstractNum>
  <w:abstractNum w:abstractNumId="40">
    <w:nsid w:val="4F4EF005"/>
    <w:multiLevelType w:val="hybridMultilevel"/>
    <w:lvl w:ilvl="0">
      <w:lvlJc w:val="left"/>
      <w:lvlText w:val="%1."/>
      <w:numFmt w:val="decimal"/>
      <w:start w:val="3"/>
    </w:lvl>
  </w:abstractNum>
  <w:abstractNum w:abstractNumId="41">
    <w:nsid w:val="23F9C13C"/>
    <w:multiLevelType w:val="hybridMultilevel"/>
    <w:lvl w:ilvl="0">
      <w:lvlJc w:val="left"/>
      <w:lvlText w:val="%1."/>
      <w:numFmt w:val="decimal"/>
      <w:start w:val="4"/>
    </w:lvl>
  </w:abstractNum>
  <w:abstractNum w:abstractNumId="42">
    <w:nsid w:val="649BB77C"/>
    <w:multiLevelType w:val="hybridMultilevel"/>
    <w:lvl w:ilvl="0">
      <w:lvlJc w:val="left"/>
      <w:lvlText w:val="%1."/>
      <w:numFmt w:val="decimal"/>
      <w:start w:val="5"/>
    </w:lvl>
  </w:abstractNum>
  <w:abstractNum w:abstractNumId="43">
    <w:nsid w:val="275AC794"/>
    <w:multiLevelType w:val="hybridMultilevel"/>
    <w:lvl w:ilvl="0">
      <w:lvlJc w:val="left"/>
      <w:lvlText w:val="%1."/>
      <w:numFmt w:val="decimal"/>
      <w:start w:val="6"/>
    </w:lvl>
  </w:abstractNum>
  <w:abstractNum w:abstractNumId="44">
    <w:nsid w:val="39386575"/>
    <w:multiLevelType w:val="hybridMultilevel"/>
    <w:lvl w:ilvl="0">
      <w:lvlJc w:val="left"/>
      <w:lvlText w:val="%1."/>
      <w:numFmt w:val="decimal"/>
      <w:start w:val="8"/>
    </w:lvl>
  </w:abstractNum>
  <w:abstractNum w:abstractNumId="45">
    <w:nsid w:val="1CF10FD8"/>
    <w:multiLevelType w:val="hybridMultilevel"/>
    <w:lvl w:ilvl="0">
      <w:lvlJc w:val="left"/>
      <w:lvlText w:val="%1."/>
      <w:numFmt w:val="decimal"/>
      <w:start w:val="9"/>
    </w:lvl>
  </w:abstractNum>
  <w:abstractNum w:abstractNumId="46">
    <w:nsid w:val="180115BE"/>
    <w:multiLevelType w:val="hybridMultilevel"/>
    <w:lvl w:ilvl="0">
      <w:lvlJc w:val="left"/>
      <w:lvlText w:val="%1."/>
      <w:numFmt w:val="decimal"/>
      <w:start w:val="10"/>
    </w:lvl>
  </w:abstractNum>
  <w:abstractNum w:abstractNumId="47">
    <w:nsid w:val="235BA861"/>
    <w:multiLevelType w:val="hybridMultilevel"/>
    <w:lvl w:ilvl="0">
      <w:lvlJc w:val="left"/>
      <w:lvlText w:val="%1."/>
      <w:numFmt w:val="decimal"/>
      <w:start w:val="11"/>
    </w:lvl>
  </w:abstractNum>
  <w:abstractNum w:abstractNumId="48">
    <w:nsid w:val="47398C89"/>
    <w:multiLevelType w:val="hybridMultilevel"/>
    <w:lvl w:ilvl="0">
      <w:lvlJc w:val="left"/>
      <w:lvlText w:val="%1."/>
      <w:numFmt w:val="decimal"/>
      <w:start w:val="12"/>
    </w:lvl>
  </w:abstractNum>
  <w:abstractNum w:abstractNumId="49">
    <w:nsid w:val="354FE9F9"/>
    <w:multiLevelType w:val="hybridMultilevel"/>
    <w:lvl w:ilvl="0">
      <w:lvlJc w:val="left"/>
      <w:lvlText w:val="%1."/>
      <w:numFmt w:val="decimal"/>
      <w:start w:val="13"/>
    </w:lvl>
  </w:abstractNum>
  <w:abstractNum w:abstractNumId="50">
    <w:nsid w:val="15B5AF5C"/>
    <w:multiLevelType w:val="hybridMultilevel"/>
    <w:lvl w:ilvl="0">
      <w:lvlJc w:val="left"/>
      <w:lvlText w:val="%1."/>
      <w:numFmt w:val="decimal"/>
      <w:start w:val="14"/>
    </w:lvl>
  </w:abstractNum>
  <w:abstractNum w:abstractNumId="51">
    <w:nsid w:val="741226BB"/>
    <w:multiLevelType w:val="hybridMultilevel"/>
    <w:lvl w:ilvl="0">
      <w:lvlJc w:val="left"/>
      <w:lvlText w:val="%1."/>
      <w:numFmt w:val="decimal"/>
      <w:start w:val="15"/>
    </w:lvl>
  </w:abstractNum>
  <w:abstractNum w:abstractNumId="52">
    <w:nsid w:val="D34B6A8"/>
    <w:multiLevelType w:val="hybridMultilevel"/>
    <w:lvl w:ilvl="0">
      <w:lvlJc w:val="left"/>
      <w:lvlText w:val="%1."/>
      <w:numFmt w:val="decimal"/>
      <w:start w:val="16"/>
    </w:lvl>
  </w:abstractNum>
  <w:abstractNum w:abstractNumId="53">
    <w:nsid w:val="10233C99"/>
    <w:multiLevelType w:val="hybridMultilevel"/>
    <w:lvl w:ilvl="0">
      <w:lvlJc w:val="left"/>
      <w:lvlText w:val="%1."/>
      <w:numFmt w:val="decimal"/>
      <w:start w:val="17"/>
    </w:lvl>
  </w:abstractNum>
  <w:abstractNum w:abstractNumId="54">
    <w:nsid w:val="3F6AB60F"/>
    <w:multiLevelType w:val="hybridMultilevel"/>
    <w:lvl w:ilvl="0">
      <w:lvlJc w:val="left"/>
      <w:lvlText w:val="%1."/>
      <w:numFmt w:val="decimal"/>
      <w:start w:val="18"/>
    </w:lvl>
  </w:abstractNum>
  <w:abstractNum w:abstractNumId="55">
    <w:nsid w:val="61574095"/>
    <w:multiLevelType w:val="hybridMultilevel"/>
    <w:lvl w:ilvl="0">
      <w:lvlJc w:val="left"/>
      <w:lvlText w:val="%1."/>
      <w:numFmt w:val="decimal"/>
      <w:start w:val="19"/>
    </w:lvl>
  </w:abstractNum>
  <w:abstractNum w:abstractNumId="56">
    <w:nsid w:val="7E0C57B1"/>
    <w:multiLevelType w:val="hybridMultilevel"/>
    <w:lvl w:ilvl="0">
      <w:lvlJc w:val="left"/>
      <w:lvlText w:val="%1."/>
      <w:numFmt w:val="decimal"/>
      <w:start w:val="20"/>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5"/>
    </w:lvl>
  </w:abstractNum>
  <w:abstractNum w:abstractNumId="65">
    <w:nsid w:val="1F48EAA1"/>
    <w:multiLevelType w:val="hybridMultilevel"/>
    <w:lvl w:ilvl="0">
      <w:lvlJc w:val="left"/>
      <w:lvlText w:val="(%1)"/>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8" Type="http://schemas.openxmlformats.org/officeDocument/2006/relationships/image" Target="media/image80.png"/><Relationship Id="rId125" Type="http://schemas.openxmlformats.org/officeDocument/2006/relationships/image" Target="media/image81.png"/><Relationship Id="rId138" Type="http://schemas.openxmlformats.org/officeDocument/2006/relationships/image" Target="media/image82.png"/><Relationship Id="rId168" Type="http://schemas.openxmlformats.org/officeDocument/2006/relationships/image" Target="media/image83.png"/><Relationship Id="rId169" Type="http://schemas.openxmlformats.org/officeDocument/2006/relationships/image" Target="media/image84.png"/><Relationship Id="rId174" Type="http://schemas.openxmlformats.org/officeDocument/2006/relationships/image" Target="media/image85.png"/><Relationship Id="rId175" Type="http://schemas.openxmlformats.org/officeDocument/2006/relationships/image" Target="media/image86.png"/><Relationship Id="rId176" Type="http://schemas.openxmlformats.org/officeDocument/2006/relationships/image" Target="media/image87.png"/><Relationship Id="rId177" Type="http://schemas.openxmlformats.org/officeDocument/2006/relationships/image" Target="media/image88.png"/><Relationship Id="rId178" Type="http://schemas.openxmlformats.org/officeDocument/2006/relationships/image" Target="media/image89.png"/><Relationship Id="rId179" Type="http://schemas.openxmlformats.org/officeDocument/2006/relationships/image" Target="media/image90.png"/><Relationship Id="rId180" Type="http://schemas.openxmlformats.org/officeDocument/2006/relationships/image" Target="media/image91.png"/><Relationship Id="rId181" Type="http://schemas.openxmlformats.org/officeDocument/2006/relationships/image" Target="media/image92.png"/><Relationship Id="rId182" Type="http://schemas.openxmlformats.org/officeDocument/2006/relationships/image" Target="media/image93.png"/><Relationship Id="rId183" Type="http://schemas.openxmlformats.org/officeDocument/2006/relationships/image" Target="media/image94.png"/><Relationship Id="rId184" Type="http://schemas.openxmlformats.org/officeDocument/2006/relationships/image" Target="media/image95.png"/><Relationship Id="rId185" Type="http://schemas.openxmlformats.org/officeDocument/2006/relationships/image" Target="media/image96.png"/><Relationship Id="rId186" Type="http://schemas.openxmlformats.org/officeDocument/2006/relationships/image" Target="media/image97.png"/><Relationship Id="rId187" Type="http://schemas.openxmlformats.org/officeDocument/2006/relationships/image" Target="media/image98.png"/><Relationship Id="rId188" Type="http://schemas.openxmlformats.org/officeDocument/2006/relationships/image" Target="media/image99.png"/><Relationship Id="rId189" Type="http://schemas.openxmlformats.org/officeDocument/2006/relationships/image" Target="media/image100.png"/><Relationship Id="rId190" Type="http://schemas.openxmlformats.org/officeDocument/2006/relationships/image" Target="media/image101.png"/><Relationship Id="rId191" Type="http://schemas.openxmlformats.org/officeDocument/2006/relationships/image" Target="media/image102.png"/><Relationship Id="rId192" Type="http://schemas.openxmlformats.org/officeDocument/2006/relationships/image" Target="media/image103.png"/><Relationship Id="rId193" Type="http://schemas.openxmlformats.org/officeDocument/2006/relationships/image" Target="media/image104.png"/><Relationship Id="rId194" Type="http://schemas.openxmlformats.org/officeDocument/2006/relationships/image" Target="media/image105.png"/><Relationship Id="rId195" Type="http://schemas.openxmlformats.org/officeDocument/2006/relationships/image" Target="media/image106.png"/><Relationship Id="rId196" Type="http://schemas.openxmlformats.org/officeDocument/2006/relationships/image" Target="media/image107.png"/><Relationship Id="rId197" Type="http://schemas.openxmlformats.org/officeDocument/2006/relationships/image" Target="media/image108.png"/><Relationship Id="rId198" Type="http://schemas.openxmlformats.org/officeDocument/2006/relationships/image" Target="media/image109.png"/><Relationship Id="rId199" Type="http://schemas.openxmlformats.org/officeDocument/2006/relationships/image" Target="media/image110.png"/><Relationship Id="rId200" Type="http://schemas.openxmlformats.org/officeDocument/2006/relationships/image" Target="media/image111.png"/><Relationship Id="rId201" Type="http://schemas.openxmlformats.org/officeDocument/2006/relationships/image" Target="media/image112.png"/><Relationship Id="rId202" Type="http://schemas.openxmlformats.org/officeDocument/2006/relationships/image" Target="media/image113.png"/><Relationship Id="rId203" Type="http://schemas.openxmlformats.org/officeDocument/2006/relationships/image" Target="media/image114.png"/><Relationship Id="rId204" Type="http://schemas.openxmlformats.org/officeDocument/2006/relationships/image" Target="media/image115.png"/><Relationship Id="rId205" Type="http://schemas.openxmlformats.org/officeDocument/2006/relationships/image" Target="media/image116.png"/><Relationship Id="rId206" Type="http://schemas.openxmlformats.org/officeDocument/2006/relationships/image" Target="media/image117.png"/><Relationship Id="rId207" Type="http://schemas.openxmlformats.org/officeDocument/2006/relationships/image" Target="media/image118.png"/><Relationship Id="rId208" Type="http://schemas.openxmlformats.org/officeDocument/2006/relationships/image" Target="media/image119.png"/><Relationship Id="rId209" Type="http://schemas.openxmlformats.org/officeDocument/2006/relationships/image" Target="media/image120.png"/><Relationship Id="rId210" Type="http://schemas.openxmlformats.org/officeDocument/2006/relationships/image" Target="media/image121.png"/><Relationship Id="rId211" Type="http://schemas.openxmlformats.org/officeDocument/2006/relationships/image" Target="media/image122.png"/><Relationship Id="rId212" Type="http://schemas.openxmlformats.org/officeDocument/2006/relationships/image" Target="media/image123.png"/><Relationship Id="rId213" Type="http://schemas.openxmlformats.org/officeDocument/2006/relationships/image" Target="media/image124.png"/><Relationship Id="rId87" Type="http://schemas.openxmlformats.org/officeDocument/2006/relationships/hyperlink" Target="http://www.sec.gov/Archives/edgar/data/1158114/000101968713004306/aaoi_10q-ex0301.htm" TargetMode="External"/><Relationship Id="rId88" Type="http://schemas.openxmlformats.org/officeDocument/2006/relationships/hyperlink" Target="http://www.sec.gov/Archives/edgar/data/1158114/000101968713004306/aaoi_10q-ex0302.htm" TargetMode="External"/><Relationship Id="rId89" Type="http://schemas.openxmlformats.org/officeDocument/2006/relationships/hyperlink" Target="http://www.sec.gov/Archives/edgar/data/1158114/000110465916157015/a16-21428_1ex4d1.htm" TargetMode="External"/><Relationship Id="rId90" Type="http://schemas.openxmlformats.org/officeDocument/2006/relationships/hyperlink" Target="http://www.sec.gov/Archives/edgar/data/1158114/000110465919012900/a19-4821_4ex4d1.htm" TargetMode="External"/><Relationship Id="rId91" Type="http://schemas.openxmlformats.org/officeDocument/2006/relationships/hyperlink" Target="http://www.sec.gov/Archives/edgar/data/1158114/000104746913008409/a2216044zex-10_1.htm" TargetMode="External"/><Relationship Id="rId92" Type="http://schemas.openxmlformats.org/officeDocument/2006/relationships/hyperlink" Target="http://www.sec.gov/Archives/edgar/data/1158114/000104746913008409/a2216044zex-10_4.htm" TargetMode="External"/><Relationship Id="rId93" Type="http://schemas.openxmlformats.org/officeDocument/2006/relationships/hyperlink" Target="http://www.sec.gov/Archives/edgar/data/1158114/000104746913008409/a2216044zex-10_41.htm" TargetMode="External"/><Relationship Id="rId94" Type="http://schemas.openxmlformats.org/officeDocument/2006/relationships/hyperlink" Target="http://www.sec.gov/Archives/edgar/data/1158114/000104746913008409/a2216044zex-10_6.htm" TargetMode="External"/><Relationship Id="rId95" Type="http://schemas.openxmlformats.org/officeDocument/2006/relationships/hyperlink" Target="http://www.sec.gov/Archives/edgar/data/1158114/000104746913008695/a2216477zex-10_51.htm" TargetMode="External"/><Relationship Id="rId96" Type="http://schemas.openxmlformats.org/officeDocument/2006/relationships/hyperlink" Target="http://www.sec.gov/Archives/edgar/data/1158114/000104746913008409/a2216044zex-10_52.htm" TargetMode="External"/><Relationship Id="rId97" Type="http://schemas.openxmlformats.org/officeDocument/2006/relationships/hyperlink" Target="http://www.sec.gov/Archives/edgar/data/1158114/000155837017001556/aaoi-20161231ex10640a0a4.htm" TargetMode="External"/><Relationship Id="rId98" Type="http://schemas.openxmlformats.org/officeDocument/2006/relationships/hyperlink" Target="http://www.sec.gov/Archives/edgar/data/1158114/000104746913008409/a2216044zex-10_61.htm" TargetMode="External"/><Relationship Id="rId99" Type="http://schemas.openxmlformats.org/officeDocument/2006/relationships/hyperlink" Target="http://www.sec.gov/Archives/edgar/data/1158114/000104746913008409/a2216044zex-10_62.htm" TargetMode="External"/><Relationship Id="rId100" Type="http://schemas.openxmlformats.org/officeDocument/2006/relationships/hyperlink" Target="http://www.sec.gov/Archives/edgar/data/1158114/000104746913008409/a2216044zex-10_63.htm" TargetMode="External"/><Relationship Id="rId101" Type="http://schemas.openxmlformats.org/officeDocument/2006/relationships/hyperlink" Target="http://www.sec.gov/Archives/edgar/data/1158114/000104746913008409/a2216044zex-10_64.htm" TargetMode="External"/><Relationship Id="rId102" Type="http://schemas.openxmlformats.org/officeDocument/2006/relationships/hyperlink" Target="http://www.sec.gov/Archives/edgar/data/1158114/000104746913008409/a2216044zex-10_12.htm" TargetMode="External"/><Relationship Id="rId103" Type="http://schemas.openxmlformats.org/officeDocument/2006/relationships/hyperlink" Target="http://www.sec.gov/Archives/edgar/data/1158114/000104746913008409/a2216044zex-10_121.htm" TargetMode="External"/><Relationship Id="rId104" Type="http://schemas.openxmlformats.org/officeDocument/2006/relationships/hyperlink" Target="http://www.sec.gov/Archives/edgar/data/1158114/000101968716007125/applied_ex1020.htm" TargetMode="External"/><Relationship Id="rId105" Type="http://schemas.openxmlformats.org/officeDocument/2006/relationships/hyperlink" Target="http://www.sec.gov/Archives/edgar/data/1158114/000101968716007125/applied_ex1021.htm" TargetMode="External"/><Relationship Id="rId106" Type="http://schemas.openxmlformats.org/officeDocument/2006/relationships/hyperlink" Target="http://www.sec.gov/Archives/edgar/data/1158114/000101968716007125/applied_ex1022.htm" TargetMode="External"/><Relationship Id="rId107" Type="http://schemas.openxmlformats.org/officeDocument/2006/relationships/hyperlink" Target="http://www.sec.gov/Archives/edgar/data/1158114/000155837018001271/aaoi-20171231ex1098811b1.htm" TargetMode="External"/><Relationship Id="rId109" Type="http://schemas.openxmlformats.org/officeDocument/2006/relationships/hyperlink" Target="http://www.sec.gov/Archives/edgar/data/1158114/000168316817002573/ao_ex1001.htm" TargetMode="External"/><Relationship Id="rId110" Type="http://schemas.openxmlformats.org/officeDocument/2006/relationships/hyperlink" Target="http://www.sec.gov/Archives/edgar/data/1158114/000168316817002573/ao_ex1002.htm" TargetMode="External"/><Relationship Id="rId111" Type="http://schemas.openxmlformats.org/officeDocument/2006/relationships/hyperlink" Target="http://www.sec.gov/Archives/edgar/data/1158114/000168316817002573/ao_ex1003.htm" TargetMode="External"/><Relationship Id="rId112" Type="http://schemas.openxmlformats.org/officeDocument/2006/relationships/hyperlink" Target="http://www.sec.gov/Archives/edgar/data/1158114/000168316817002573/ao_ex1004.htm" TargetMode="External"/><Relationship Id="rId113" Type="http://schemas.openxmlformats.org/officeDocument/2006/relationships/hyperlink" Target="http://www.sec.gov/Archives/edgar/data/1158114/000168316817002573/ao_ex1005.htm" TargetMode="External"/><Relationship Id="rId114" Type="http://schemas.openxmlformats.org/officeDocument/2006/relationships/hyperlink" Target="http://www.sec.gov/Archives/edgar/data/1158114/000168316817002573/ao_ex1006.htm" TargetMode="External"/><Relationship Id="rId115" Type="http://schemas.openxmlformats.org/officeDocument/2006/relationships/hyperlink" Target="http://www.sec.gov/Archives/edgar/data/1158114/000168316818000488/appliedopto_ex1001.htm" TargetMode="External"/><Relationship Id="rId116" Type="http://schemas.openxmlformats.org/officeDocument/2006/relationships/hyperlink" Target="http://www.sec.gov/Archives/edgar/data/1158114/000168316818000488/appliedopto_ex1002.htm" TargetMode="External"/><Relationship Id="rId117" Type="http://schemas.openxmlformats.org/officeDocument/2006/relationships/hyperlink" Target="http://www.sec.gov/Archives/edgar/data/1158114/000155837018001271/aaoi-20171231ex10309e615.htm" TargetMode="External"/><Relationship Id="rId118" Type="http://schemas.openxmlformats.org/officeDocument/2006/relationships/hyperlink" Target="http://www.sec.gov/Archives/edgar/data/1158114/000155837018001271/aaoi-20171231ex103012e87.htm" TargetMode="External"/><Relationship Id="rId119" Type="http://schemas.openxmlformats.org/officeDocument/2006/relationships/hyperlink" Target="http://www.sec.gov/Archives/edgar/data/1158114/000155837018004322/aaoi-20180331ex105416272.htm" TargetMode="External"/><Relationship Id="rId120" Type="http://schemas.openxmlformats.org/officeDocument/2006/relationships/hyperlink" Target="http://www.sec.gov/Archives/edgar/data/1158114/000168316818000934/appliedopto_8k-ex1001.htm" TargetMode="External"/><Relationship Id="rId121" Type="http://schemas.openxmlformats.org/officeDocument/2006/relationships/hyperlink" Target="http://www.sec.gov/Archives/edgar/data/1158114/000168316818000934/appliedopto_8k-ex1002.htm" TargetMode="External"/><Relationship Id="rId122" Type="http://schemas.openxmlformats.org/officeDocument/2006/relationships/hyperlink" Target="http://www.sec.gov/Archives/edgar/data/1158114/000168316818000934/appliedopto_8k-ex1003.htm" TargetMode="External"/><Relationship Id="rId123" Type="http://schemas.openxmlformats.org/officeDocument/2006/relationships/hyperlink" Target="http://www.sec.gov/Archives/edgar/data/1158114/000168316818000934/appliedopto_8k-ex1004.htm" TargetMode="External"/><Relationship Id="rId124" Type="http://schemas.openxmlformats.org/officeDocument/2006/relationships/hyperlink" Target="http://www.sec.gov/Archives/edgar/data/1158114/000168316818000934/appliedopto_8k-ex1005.htm" TargetMode="External"/><Relationship Id="rId126" Type="http://schemas.openxmlformats.org/officeDocument/2006/relationships/hyperlink" Target="http://www.sec.gov/Archives/edgar/data/1158114/000168316818000934/appliedopto_8k-ex1006.htm" TargetMode="External"/><Relationship Id="rId127" Type="http://schemas.openxmlformats.org/officeDocument/2006/relationships/hyperlink" Target="http://www.sec.gov/Archives/edgar/data/1158114/000168316818000934/appliedopto_8k-ex1007.htm" TargetMode="External"/><Relationship Id="rId128" Type="http://schemas.openxmlformats.org/officeDocument/2006/relationships/hyperlink" Target="http://www.sec.gov/Archives/edgar/data/1158114/000168316818000934/appliedopto_8k-ex1008.htm" TargetMode="External"/><Relationship Id="rId129" Type="http://schemas.openxmlformats.org/officeDocument/2006/relationships/hyperlink" Target="http://www.sec.gov/Archives/edgar/data/1158114/000168316818000934/appliedopto_8k-ex1009.htm" TargetMode="External"/><Relationship Id="rId130" Type="http://schemas.openxmlformats.org/officeDocument/2006/relationships/hyperlink" Target="http://www.sec.gov/Archives/edgar/data/1158114/000168316818000934/appliedopto_8k-ex1010.htm" TargetMode="External"/><Relationship Id="rId131" Type="http://schemas.openxmlformats.org/officeDocument/2006/relationships/hyperlink" Target="http://www.sec.gov/Archives/edgar/data/1158114/000168316818001780/appliedopto_ex1001.htm" TargetMode="External"/><Relationship Id="rId132" Type="http://schemas.openxmlformats.org/officeDocument/2006/relationships/hyperlink" Target="http://www.sec.gov/Archives/edgar/data/1158114/000168316818001780/appliedopto_ex1002.htm" TargetMode="External"/><Relationship Id="rId133" Type="http://schemas.openxmlformats.org/officeDocument/2006/relationships/hyperlink" Target="http://www.sec.gov/Archives/edgar/data/1158114/000168316818001780/appliedopto_ex1003.htm" TargetMode="External"/><Relationship Id="rId134" Type="http://schemas.openxmlformats.org/officeDocument/2006/relationships/hyperlink" Target="http://www.sec.gov/Archives/edgar/data/1158114/000168316818001780/appliedopto_ex1004.htm" TargetMode="External"/><Relationship Id="rId135" Type="http://schemas.openxmlformats.org/officeDocument/2006/relationships/hyperlink" Target="http://www.sec.gov/Archives/edgar/data/1158114/000168316818002871/applied_8k-ex1001.htm" TargetMode="External"/><Relationship Id="rId136" Type="http://schemas.openxmlformats.org/officeDocument/2006/relationships/hyperlink" Target="http://www.sec.gov/Archives/edgar/data/1158114/000168316818002871/applied_8k-ex1002.htm" TargetMode="External"/><Relationship Id="rId137" Type="http://schemas.openxmlformats.org/officeDocument/2006/relationships/hyperlink" Target="http://www.sec.gov/Archives/edgar/data/1158114/000168316818003000/applied_8k-ex1001.htm" TargetMode="External"/><Relationship Id="rId139" Type="http://schemas.openxmlformats.org/officeDocument/2006/relationships/hyperlink" Target="http://www.sec.gov/Archives/edgar/data/1158114/000168316818003000/applied_8k-ex1002.htm" TargetMode="External"/><Relationship Id="rId140" Type="http://schemas.openxmlformats.org/officeDocument/2006/relationships/hyperlink" Target="http://www.sec.gov/Archives/edgar/data/1158114/000168316818003035/appliedopto_ex1001.htm" TargetMode="External"/><Relationship Id="rId141" Type="http://schemas.openxmlformats.org/officeDocument/2006/relationships/hyperlink" Target="http://www.sec.gov/Archives/edgar/data/1158114/000168316818003627/applied_8k-ex1001.htm" TargetMode="External"/><Relationship Id="rId142" Type="http://schemas.openxmlformats.org/officeDocument/2006/relationships/hyperlink" Target="http://www.sec.gov/Archives/edgar/data/1158114/000168316818003728/aaoi_ex1001.htm" TargetMode="External"/><Relationship Id="rId143" Type="http://schemas.openxmlformats.org/officeDocument/2006/relationships/hyperlink" Target="http://www.sec.gov/Archives/edgar/data/1158114/000168316818003728/aaoi_ex1002.htm" TargetMode="External"/><Relationship Id="rId144" Type="http://schemas.openxmlformats.org/officeDocument/2006/relationships/hyperlink" Target="http://www.sec.gov/Archives/edgar/data/1158114/000168316818003728/aaoi_ex1003.htm" TargetMode="External"/><Relationship Id="rId145" Type="http://schemas.openxmlformats.org/officeDocument/2006/relationships/hyperlink" Target="http://www.sec.gov/Archives/edgar/data/1158114/000168316818003728/aaoi_ex1004.htm" TargetMode="External"/><Relationship Id="rId146" Type="http://schemas.openxmlformats.org/officeDocument/2006/relationships/hyperlink" Target="http://www.sec.gov/Archives/edgar/data/1158114/000168316819000203/applied_ex1001.htm" TargetMode="External"/><Relationship Id="rId147" Type="http://schemas.openxmlformats.org/officeDocument/2006/relationships/hyperlink" Target="http://www.sec.gov/Archives/edgar/data/1158114/000168316819000287/applied_ex1001.htm" TargetMode="External"/><Relationship Id="rId148" Type="http://schemas.openxmlformats.org/officeDocument/2006/relationships/hyperlink" Target="http://www.sec.gov/Archives/edgar/data/1158114/000110465919012900/a19-4821_4ex10d1.htm" TargetMode="External"/><Relationship Id="rId149" Type="http://schemas.openxmlformats.org/officeDocument/2006/relationships/hyperlink" Target="http://www.sec.gov/Archives/edgar/data/1158114/000110465919012900/a19-4821_4ex10d2.htm" TargetMode="External"/><Relationship Id="rId150" Type="http://schemas.openxmlformats.org/officeDocument/2006/relationships/hyperlink" Target="http://www.sec.gov/Archives/edgar/data/1158114/000168316819001100/aaoi_8k-ex1001.htm" TargetMode="External"/><Relationship Id="rId151" Type="http://schemas.openxmlformats.org/officeDocument/2006/relationships/hyperlink" Target="http://www.sec.gov/Archives/edgar/data/1158114/000168316819001100/aaoi_8k-ex1002.htm" TargetMode="External"/><Relationship Id="rId152" Type="http://schemas.openxmlformats.org/officeDocument/2006/relationships/hyperlink" Target="http://www.sec.gov/Archives/edgar/data/1158114/000168316819001100/aaoi_8k-ex1003.htm" TargetMode="External"/><Relationship Id="rId153" Type="http://schemas.openxmlformats.org/officeDocument/2006/relationships/hyperlink" Target="http://www.sec.gov/Archives/edgar/data/1158114/000168316819001100/aaoi_8k-ex1004.htm" TargetMode="External"/><Relationship Id="rId154" Type="http://schemas.openxmlformats.org/officeDocument/2006/relationships/hyperlink" Target="http://www.sec.gov/Archives/edgar/data/1158114/000168316819001188/aaoi_ex1001.htm" TargetMode="External"/><Relationship Id="rId155" Type="http://schemas.openxmlformats.org/officeDocument/2006/relationships/hyperlink" Target="http://www.sec.gov/Archives/edgar/data/1158114/000168316819001379/applied_8k-1001.htm" TargetMode="External"/><Relationship Id="rId156" Type="http://schemas.openxmlformats.org/officeDocument/2006/relationships/hyperlink" Target="http://www.sec.gov/Archives/edgar/data/1158114/000168316819001485/aaoi_8k-ex1001.htm" TargetMode="External"/><Relationship Id="rId157" Type="http://schemas.openxmlformats.org/officeDocument/2006/relationships/hyperlink" Target="http://www.sec.gov/Archives/edgar/data/1158114/000168316819001485/aaoi_8k-ex1002.htm" TargetMode="External"/><Relationship Id="rId158" Type="http://schemas.openxmlformats.org/officeDocument/2006/relationships/hyperlink" Target="http://www.sec.gov/Archives/edgar/data/1158114/000168316819001761/appliedopto_ex1001.htm" TargetMode="External"/><Relationship Id="rId159" Type="http://schemas.openxmlformats.org/officeDocument/2006/relationships/hyperlink" Target="http://www.sec.gov/Archives/edgar/data/1158114/000168316819001761/appliedopto_ex1002.htm" TargetMode="External"/><Relationship Id="rId160" Type="http://schemas.openxmlformats.org/officeDocument/2006/relationships/hyperlink" Target="http://www.sec.gov/Archives/edgar/data/1158114/000168316819002034/appliedopto_ex1001.htm" TargetMode="External"/><Relationship Id="rId161" Type="http://schemas.openxmlformats.org/officeDocument/2006/relationships/hyperlink" Target="http://www.sec.gov/Archives/edgar/data/1158114/000168316819002034/appliedopto_ex1002.htm" TargetMode="External"/><Relationship Id="rId162" Type="http://schemas.openxmlformats.org/officeDocument/2006/relationships/hyperlink" Target="http://www.sec.gov/Archives/edgar/data/1158114/000168316819002034/appliedopto_ex1003.htm" TargetMode="External"/><Relationship Id="rId163" Type="http://schemas.openxmlformats.org/officeDocument/2006/relationships/hyperlink" Target="http://www.sec.gov/Archives/edgar/data/1158114/000168316819002034/appliedopto_ex1004.htm" TargetMode="External"/><Relationship Id="rId164" Type="http://schemas.openxmlformats.org/officeDocument/2006/relationships/hyperlink" Target="http://www.sec.gov/Archives/edgar/data/1158114/000155837019007685/aaoi-20190630ex1011018df.htm" TargetMode="External"/><Relationship Id="rId165" Type="http://schemas.openxmlformats.org/officeDocument/2006/relationships/hyperlink" Target="http://www.sec.gov/Archives/edgar/data/1158114/000155837019007685/aaoi-20190630ex1012c18ae.htm" TargetMode="External"/><Relationship Id="rId166" Type="http://schemas.openxmlformats.org/officeDocument/2006/relationships/hyperlink" Target="http://www.sec.gov/Archives/edgar/data/1158114/000155837019007685/aaoi-20190630ex10135090a.htm" TargetMode="External"/><Relationship Id="rId167" Type="http://schemas.openxmlformats.org/officeDocument/2006/relationships/hyperlink" Target="http://www.sec.gov/Archives/edgar/data/1158114/000155837019007685/aaoi-20190630ex10144a251.htm" TargetMode="External"/><Relationship Id="rId170" Type="http://schemas.openxmlformats.org/officeDocument/2006/relationships/hyperlink" Target="http://www.sec.gov/Archives/edgar/data/1158114/000168316819003174/appliedopto_ex1001.htm" TargetMode="External"/><Relationship Id="rId171" Type="http://schemas.openxmlformats.org/officeDocument/2006/relationships/hyperlink" Target="http://www.sec.gov/Archives/edgar/data/1158114/000168316819003174/appliedopto_ex1002.htm" TargetMode="External"/><Relationship Id="rId172" Type="http://schemas.openxmlformats.org/officeDocument/2006/relationships/hyperlink" Target="http://www.sec.gov/Archives/edgar/data/1158114/000168316819003174/appliedopto_ex1003.htm" TargetMode="External"/><Relationship Id="rId173" Type="http://schemas.openxmlformats.org/officeDocument/2006/relationships/hyperlink" Target="http://www.sec.gov/Archives/edgar/data/1158114/000168316819003720/aaoi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2020-02-28T15:13:14Z</dcterms:created>
  <dcterms:modified xsi:type="dcterms:W3CDTF">2020-02-28T15:13:14Z</dcterms:modified>
</cp:coreProperties>
</file>