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 Chih-Hsiang (Thompson)</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APPLIED OPTOELECTRONICS,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AAOI </w:t>
            </w:r>
            <w:r>
              <w:rPr>
                <w:rFonts w:ascii="Times New Roman" w:cs="Times New Roman" w:eastAsia="Times New Roman" w:hAnsi="Times New Roman"/>
                <w:sz w:val="21"/>
                <w:szCs w:val="21"/>
                <w:color w:val="000000"/>
              </w:rPr>
              <w:t>]</w:t>
            </w: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APPLIED OPTOELECTRONICS,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13139 JESS PIRTLE BLVD.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72"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SUGAR LAND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77478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43"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tcPr>
          <w:p>
            <w:pPr>
              <w:jc w:val="center"/>
              <w:ind w:left="2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40" w:type="dxa"/>
            <w:vAlign w:val="bottom"/>
            <w:tcBorders>
              <w:bottom w:val="single" w:sz="8" w:color="2C2C2C"/>
            </w:tcBorders>
          </w:tcPr>
          <w:p>
            <w:pPr>
              <w:jc w:val="center"/>
              <w:ind w:left="265"/>
              <w:spacing w:after="0"/>
              <w:rPr>
                <w:sz w:val="20"/>
                <w:szCs w:val="20"/>
                <w:color w:val="auto"/>
              </w:rPr>
            </w:pPr>
            <w:r>
              <w:rPr>
                <w:rFonts w:ascii="Times New Roman" w:cs="Times New Roman" w:eastAsia="Times New Roman" w:hAnsi="Times New Roman"/>
                <w:sz w:val="17"/>
                <w:szCs w:val="17"/>
                <w:color w:val="0000FF"/>
              </w:rPr>
              <w:t>10/22/2026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9,331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1,286,716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40" w:type="dxa"/>
            <w:vAlign w:val="bottom"/>
            <w:tcBorders>
              <w:bottom w:val="single" w:sz="8" w:color="2C2C2C"/>
            </w:tcBorders>
          </w:tcPr>
          <w:p>
            <w:pPr>
              <w:jc w:val="center"/>
              <w:ind w:left="265"/>
              <w:spacing w:after="0"/>
              <w:rPr>
                <w:sz w:val="20"/>
                <w:szCs w:val="20"/>
                <w:color w:val="auto"/>
              </w:rPr>
            </w:pPr>
            <w:r>
              <w:rPr>
                <w:rFonts w:ascii="Times New Roman" w:cs="Times New Roman" w:eastAsia="Times New Roman" w:hAnsi="Times New Roman"/>
                <w:sz w:val="17"/>
                <w:szCs w:val="17"/>
                <w:color w:val="0000FF"/>
              </w:rPr>
              <w:t>10/22/2026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2,486</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1,284,230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40" w:type="dxa"/>
            <w:vAlign w:val="bottom"/>
            <w:tcBorders>
              <w:bottom w:val="single" w:sz="8" w:color="2C2C2C"/>
            </w:tcBorders>
          </w:tcPr>
          <w:p>
            <w:pPr>
              <w:jc w:val="center"/>
              <w:ind w:left="265"/>
              <w:spacing w:after="0"/>
              <w:rPr>
                <w:sz w:val="20"/>
                <w:szCs w:val="20"/>
                <w:color w:val="auto"/>
              </w:rPr>
            </w:pPr>
            <w:r>
              <w:rPr>
                <w:rFonts w:ascii="Times New Roman" w:cs="Times New Roman" w:eastAsia="Times New Roman" w:hAnsi="Times New Roman"/>
                <w:sz w:val="17"/>
                <w:szCs w:val="17"/>
                <w:color w:val="0000FF"/>
              </w:rPr>
              <w:t>10/22/2026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2,691</w:t>
            </w:r>
            <w:r>
              <w:rPr>
                <w:rFonts w:ascii="Times New Roman" w:cs="Times New Roman" w:eastAsia="Times New Roman" w:hAnsi="Times New Roman"/>
                <w:sz w:val="22"/>
                <w:szCs w:val="22"/>
                <w:color w:val="008000"/>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1,281,539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40" w:type="dxa"/>
            <w:vAlign w:val="bottom"/>
            <w:tcBorders>
              <w:bottom w:val="single" w:sz="8" w:color="2C2C2C"/>
            </w:tcBorders>
          </w:tcPr>
          <w:p>
            <w:pPr>
              <w:jc w:val="center"/>
              <w:ind w:left="265"/>
              <w:spacing w:after="0"/>
              <w:rPr>
                <w:sz w:val="20"/>
                <w:szCs w:val="20"/>
                <w:color w:val="auto"/>
              </w:rPr>
            </w:pPr>
            <w:r>
              <w:rPr>
                <w:rFonts w:ascii="Times New Roman" w:cs="Times New Roman" w:eastAsia="Times New Roman" w:hAnsi="Times New Roman"/>
                <w:sz w:val="17"/>
                <w:szCs w:val="17"/>
                <w:color w:val="0000FF"/>
              </w:rPr>
              <w:t>10/22/2026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2,165</w:t>
            </w:r>
            <w:r>
              <w:rPr>
                <w:rFonts w:ascii="Times New Roman" w:cs="Times New Roman" w:eastAsia="Times New Roman" w:hAnsi="Times New Roman"/>
                <w:sz w:val="22"/>
                <w:szCs w:val="22"/>
                <w:color w:val="008000"/>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1,279,374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Thompson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807,602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surrendered to the Issuer to satisfy tax-withholding obligations upon the vesting of restricted stock unit award granted on June 26,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surrendered to the Issuer to satisfy tax-withholding obligations upon the vesting of restricted stock unit award granted on April 29,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surrendered to the Issuer to satisfy tax-withholding obligations upon the vesting of restricted stock unit award granted on April 11,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surrendered to the Issuer to satisfy tax-withholding obligations upon the vesting of restricted stock unit award granted on February 9, 2026.</w:t>
      </w:r>
    </w:p>
    <w:p>
      <w:pPr>
        <w:spacing w:after="0" w:line="50" w:lineRule="exact"/>
        <w:rPr>
          <w:rFonts w:ascii="Times New Roman" w:cs="Times New Roman" w:eastAsia="Times New Roman" w:hAnsi="Times New Roman"/>
          <w:sz w:val="13"/>
          <w:szCs w:val="13"/>
          <w:color w:val="008000"/>
        </w:rPr>
      </w:pPr>
    </w:p>
    <w:p>
      <w:pPr>
        <w:ind w:left="40" w:right="1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indirectly held in the Family Trust through the ownership of interests in the LLC are for the benefit of the reporting person's heirs. The reporting person is the settlor of the irrevocable Family Trust, where The Bryn Mawr Trust Company of Delaware serves as trustee which may be replaced at the discretion of the reporting person. The reporting person disclaims beneficial ownership of these securities except to the extent of his voting power therein, and the inclusion of these shares in this report shall not be deemed an admission of beneficial ownership of all of the reported shares for purposes of Section 16 or for any other purpose.</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C. Kuo,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Chih-Hsiang</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23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7420" TargetMode="External"/><Relationship Id="rId14"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2026-10-26T15:07:22Z</dcterms:created>
  <dcterms:modified xsi:type="dcterms:W3CDTF">2026-10-26T15:07:22Z</dcterms:modified>
</cp:coreProperties>
</file>