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240" w:hanging="204"/>
        <w:spacing w:after="0"/>
        <w:tabs>
          <w:tab w:leader="none" w:pos="12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 xml:space="preserve">For the transition period from __________ to </w:t>
      </w:r>
      <w:r>
        <w:rPr>
          <w:rFonts w:ascii="Arial" w:cs="Arial" w:eastAsia="Arial" w:hAnsi="Arial"/>
          <w:sz w:val="18"/>
          <w:szCs w:val="18"/>
          <w:color w:val="auto"/>
        </w:rPr>
        <w:t>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22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11"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type w:val="continuous"/>
        </w:sectPr>
      </w:pP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2280" w:space="720"/>
            <w:col w:w="4180" w:space="720"/>
            <w:col w:w="2240" w:space="720"/>
            <w:col w:w="560"/>
          </w:cols>
          <w:pgMar w:left="240" w:top="22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2280" w:space="720"/>
            <w:col w:w="4180" w:space="720"/>
            <w:col w:w="2240" w:space="720"/>
            <w:col w:w="560"/>
          </w:cols>
          <w:pgMar w:left="240" w:top="229" w:right="239" w:bottom="1440" w:gutter="0" w:footer="0" w:header="0"/>
          <w:type w:val="continuous"/>
        </w:sectPr>
      </w:pPr>
    </w:p>
    <w:p>
      <w:pPr>
        <w:spacing w:after="0" w:line="16" w:lineRule="exact"/>
        <w:rPr>
          <w:sz w:val="24"/>
          <w:szCs w:val="24"/>
          <w:color w:val="auto"/>
        </w:rPr>
      </w:pPr>
    </w:p>
    <w:p>
      <w:pPr>
        <w:ind w:left="4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41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3, 2016 there were 17,198,121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10860" w:type="dxa"/>
            <w:vAlign w:val="bottom"/>
            <w:gridSpan w:val="4"/>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Item 1. 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Condensed Consolidated Balance Sheets as of September 30, 2016 (Unaudited) and December 31, 2015</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w w:val="96"/>
              </w:rPr>
              <w:t>Condensed Consolidated Statements of Operations for the Three and Nine Months ended September 30, 2016 and 2015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40" w:type="dxa"/>
            <w:vAlign w:val="bottom"/>
            <w:gridSpan w:val="3"/>
            <w:shd w:val="clear" w:color="auto" w:fill="EEEEEE"/>
          </w:tcPr>
          <w:p>
            <w:pPr>
              <w:ind w:left="560"/>
              <w:spacing w:after="0" w:line="201" w:lineRule="exact"/>
              <w:rPr>
                <w:sz w:val="20"/>
                <w:szCs w:val="20"/>
                <w:color w:val="auto"/>
              </w:rPr>
            </w:pPr>
            <w:r>
              <w:rPr>
                <w:rFonts w:ascii="Arial" w:cs="Arial" w:eastAsia="Arial" w:hAnsi="Arial"/>
                <w:sz w:val="18"/>
                <w:szCs w:val="18"/>
                <w:color w:val="auto"/>
                <w:w w:val="96"/>
              </w:rPr>
              <w:t>Condensed Consolidated Statements of Comprehensive Income for the Three and Nine Months Ended September 30, 2016 and 2015</w:t>
            </w:r>
          </w:p>
        </w:tc>
        <w:tc>
          <w:tcPr>
            <w:tcW w:w="5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4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(Unaudited)</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Condensed Consolidated Statements of Stockholders’ Equity for the Nine Months Ended September 30, 2016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Condensed Consolidated Statements of Cash Flows for the Nine Months ended September 30, 2016 and 2015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Notes To 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Item 4. Controls and Procedures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3"/>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Part II. Other Information</w:t>
            </w: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Item 1. Legal Proceedings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84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Item   Risk Factors</w:t>
            </w:r>
          </w:p>
        </w:tc>
        <w:tc>
          <w:tcPr>
            <w:tcW w:w="5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1A.</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Item 3. Defaults Upon Senior Securities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Item 4. Mine Safety Disclosures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Item 5. Other Information</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Item 6. Exhibits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Signatures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September 30, 2016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December 31, 2015</w:t>
            </w:r>
          </w:p>
        </w:tc>
      </w:tr>
      <w:tr>
        <w:trPr>
          <w:trHeight w:val="210"/>
        </w:trPr>
        <w:tc>
          <w:tcPr>
            <w:tcW w:w="73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EEEEEE"/>
          </w:tcPr>
          <w:p>
            <w:pPr>
              <w:spacing w:after="0"/>
              <w:rPr>
                <w:sz w:val="18"/>
                <w:szCs w:val="18"/>
                <w:color w:val="auto"/>
              </w:rPr>
            </w:pPr>
          </w:p>
        </w:tc>
        <w:tc>
          <w:tcPr>
            <w:tcW w:w="172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55,907</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28,074</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4,285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4,719</w:t>
            </w:r>
          </w:p>
        </w:tc>
      </w:tr>
      <w:tr>
        <w:trPr>
          <w:trHeight w:val="216"/>
        </w:trPr>
        <w:tc>
          <w:tcPr>
            <w:tcW w:w="73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7,886</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Accounts receivable - trade, net</w:t>
            </w:r>
          </w:p>
        </w:tc>
        <w:tc>
          <w:tcPr>
            <w:tcW w:w="1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44,242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38,775</w:t>
            </w:r>
          </w:p>
        </w:tc>
      </w:tr>
      <w:tr>
        <w:trPr>
          <w:trHeight w:val="216"/>
        </w:trPr>
        <w:tc>
          <w:tcPr>
            <w:tcW w:w="73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54,919</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66,238</w:t>
            </w:r>
          </w:p>
        </w:tc>
      </w:tr>
      <w:tr>
        <w:trPr>
          <w:trHeight w:val="230"/>
        </w:trPr>
        <w:tc>
          <w:tcPr>
            <w:tcW w:w="73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4,761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8,236</w:t>
            </w:r>
          </w:p>
        </w:tc>
      </w:tr>
      <w:tr>
        <w:trPr>
          <w:trHeight w:val="210"/>
        </w:trPr>
        <w:tc>
          <w:tcPr>
            <w:tcW w:w="7320" w:type="dxa"/>
            <w:vAlign w:val="bottom"/>
            <w:tcBorders>
              <w:top w:val="single" w:sz="8" w:color="EEEEEE"/>
            </w:tcBorders>
            <w:shd w:val="clear" w:color="auto" w:fill="EEEEEE"/>
          </w:tcPr>
          <w:p>
            <w:pPr>
              <w:ind w:left="3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EEEEEE"/>
          </w:tcPr>
          <w:p>
            <w:pPr>
              <w:spacing w:after="0"/>
              <w:rPr>
                <w:sz w:val="18"/>
                <w:szCs w:val="18"/>
                <w:color w:val="auto"/>
              </w:rPr>
            </w:pPr>
          </w:p>
        </w:tc>
        <w:tc>
          <w:tcPr>
            <w:tcW w:w="17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164,161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153,928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Cash restricted for construction in progress</w:t>
            </w:r>
          </w:p>
        </w:tc>
        <w:tc>
          <w:tcPr>
            <w:tcW w:w="1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847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140,516</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109,699</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Land use rights, net</w:t>
            </w:r>
          </w:p>
        </w:tc>
        <w:tc>
          <w:tcPr>
            <w:tcW w:w="1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r>
      <w:tr>
        <w:trPr>
          <w:trHeight w:val="216"/>
        </w:trPr>
        <w:tc>
          <w:tcPr>
            <w:tcW w:w="73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4,004</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Deferred income tax assets</w:t>
            </w:r>
          </w:p>
        </w:tc>
        <w:tc>
          <w:tcPr>
            <w:tcW w:w="1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11,856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EEEEEE"/>
          </w:tcPr>
          <w:p>
            <w:pPr>
              <w:spacing w:after="0"/>
              <w:rPr>
                <w:sz w:val="19"/>
                <w:szCs w:val="19"/>
                <w:color w:val="auto"/>
              </w:rPr>
            </w:pPr>
          </w:p>
        </w:tc>
        <w:tc>
          <w:tcPr>
            <w:tcW w:w="1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4,593</w:t>
            </w:r>
          </w:p>
        </w:tc>
        <w:tc>
          <w:tcPr>
            <w:tcW w:w="1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5,094</w:t>
            </w:r>
          </w:p>
        </w:tc>
      </w:tr>
      <w:tr>
        <w:trPr>
          <w:trHeight w:val="263"/>
        </w:trPr>
        <w:tc>
          <w:tcPr>
            <w:tcW w:w="732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326,791</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273,475</w:t>
            </w:r>
          </w:p>
        </w:tc>
        <w:tc>
          <w:tcPr>
            <w:tcW w:w="100" w:type="dxa"/>
            <w:vAlign w:val="bottom"/>
            <w:tcBorders>
              <w:bottom w:val="single" w:sz="8" w:color="EEEEEE"/>
            </w:tcBorders>
          </w:tcPr>
          <w:p>
            <w:pPr>
              <w:spacing w:after="0"/>
              <w:rPr>
                <w:sz w:val="22"/>
                <w:szCs w:val="22"/>
                <w:color w:val="auto"/>
              </w:rPr>
            </w:pPr>
          </w:p>
        </w:tc>
      </w:tr>
      <w:tr>
        <w:trPr>
          <w:trHeight w:val="197"/>
        </w:trPr>
        <w:tc>
          <w:tcPr>
            <w:tcW w:w="732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Current portion of notes payable and long-term debt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25,092</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30,908</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32,413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28,668</w:t>
            </w:r>
          </w:p>
        </w:tc>
      </w:tr>
      <w:tr>
        <w:trPr>
          <w:trHeight w:val="216"/>
        </w:trPr>
        <w:tc>
          <w:tcPr>
            <w:tcW w:w="73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Bank acceptance payable</w:t>
            </w:r>
          </w:p>
        </w:tc>
        <w:tc>
          <w:tcPr>
            <w:tcW w:w="12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3,231</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2,998</w:t>
            </w:r>
          </w:p>
        </w:tc>
      </w:tr>
      <w:tr>
        <w:trPr>
          <w:trHeight w:val="230"/>
        </w:trPr>
        <w:tc>
          <w:tcPr>
            <w:tcW w:w="73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11,316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11,506</w:t>
            </w:r>
          </w:p>
        </w:tc>
      </w:tr>
      <w:tr>
        <w:trPr>
          <w:trHeight w:val="210"/>
        </w:trPr>
        <w:tc>
          <w:tcPr>
            <w:tcW w:w="7320" w:type="dxa"/>
            <w:vAlign w:val="bottom"/>
            <w:tcBorders>
              <w:top w:val="single" w:sz="8" w:color="EEEEEE"/>
            </w:tcBorders>
            <w:shd w:val="clear" w:color="auto" w:fill="EEEEEE"/>
          </w:tcPr>
          <w:p>
            <w:pPr>
              <w:ind w:left="3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EEEEEE"/>
          </w:tcPr>
          <w:p>
            <w:pPr>
              <w:spacing w:after="0"/>
              <w:rPr>
                <w:sz w:val="18"/>
                <w:szCs w:val="18"/>
                <w:color w:val="auto"/>
              </w:rPr>
            </w:pPr>
          </w:p>
        </w:tc>
        <w:tc>
          <w:tcPr>
            <w:tcW w:w="17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72,052</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74,080</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320" w:type="dxa"/>
            <w:vAlign w:val="bottom"/>
          </w:tcPr>
          <w:p>
            <w:pPr>
              <w:ind w:left="160"/>
              <w:spacing w:after="0"/>
              <w:rPr>
                <w:sz w:val="20"/>
                <w:szCs w:val="20"/>
                <w:color w:val="auto"/>
              </w:rPr>
            </w:pPr>
            <w:r>
              <w:rPr>
                <w:rFonts w:ascii="Arial" w:cs="Arial" w:eastAsia="Arial" w:hAnsi="Arial"/>
                <w:sz w:val="18"/>
                <w:szCs w:val="18"/>
                <w:color w:val="auto"/>
              </w:rPr>
              <w:t>Notes payable and long-term debt, less current portion</w:t>
            </w:r>
          </w:p>
        </w:tc>
        <w:tc>
          <w:tcPr>
            <w:tcW w:w="12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67,201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33,997</w:t>
            </w:r>
          </w:p>
        </w:tc>
      </w:tr>
      <w:tr>
        <w:trPr>
          <w:trHeight w:val="210"/>
        </w:trPr>
        <w:tc>
          <w:tcPr>
            <w:tcW w:w="732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139,253</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6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108,077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20" w:type="dxa"/>
            <w:vAlign w:val="bottom"/>
            <w:shd w:val="clear" w:color="auto" w:fill="EEEEEE"/>
          </w:tcPr>
          <w:p>
            <w:pPr>
              <w:ind w:left="300"/>
              <w:spacing w:after="0" w:line="201" w:lineRule="exact"/>
              <w:rPr>
                <w:sz w:val="20"/>
                <w:szCs w:val="20"/>
                <w:color w:val="auto"/>
              </w:rPr>
            </w:pPr>
            <w:r>
              <w:rPr>
                <w:rFonts w:ascii="Arial" w:cs="Arial" w:eastAsia="Arial" w:hAnsi="Arial"/>
                <w:sz w:val="18"/>
                <w:szCs w:val="18"/>
                <w:color w:val="auto"/>
                <w:w w:val="93"/>
              </w:rPr>
              <w:t>Preferred Stock: 5,000 shares authorized; no shares issued and outstanding at September 30,</w:t>
            </w:r>
          </w:p>
        </w:tc>
        <w:tc>
          <w:tcPr>
            <w:tcW w:w="12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7320" w:type="dxa"/>
            <w:vAlign w:val="bottom"/>
            <w:shd w:val="clear" w:color="auto" w:fill="EEEEEE"/>
          </w:tcPr>
          <w:p>
            <w:pPr>
              <w:spacing w:after="0"/>
              <w:rPr>
                <w:sz w:val="20"/>
                <w:szCs w:val="20"/>
                <w:color w:val="auto"/>
              </w:rPr>
            </w:pPr>
            <w:r>
              <w:rPr>
                <w:rFonts w:ascii="Arial" w:cs="Arial" w:eastAsia="Arial" w:hAnsi="Arial"/>
                <w:sz w:val="18"/>
                <w:szCs w:val="18"/>
                <w:color w:val="auto"/>
              </w:rPr>
              <w:t>2016 and December 31, 2015, $0.001 par value</w:t>
            </w:r>
          </w:p>
        </w:tc>
        <w:tc>
          <w:tcPr>
            <w:tcW w:w="120" w:type="dxa"/>
            <w:vAlign w:val="bottom"/>
            <w:shd w:val="clear" w:color="auto" w:fill="EEEEEE"/>
          </w:tcPr>
          <w:p>
            <w:pPr>
              <w:spacing w:after="0"/>
              <w:rPr>
                <w:sz w:val="20"/>
                <w:szCs w:val="20"/>
                <w:color w:val="auto"/>
              </w:rPr>
            </w:pPr>
          </w:p>
        </w:tc>
        <w:tc>
          <w:tcPr>
            <w:tcW w:w="1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320" w:type="dxa"/>
            <w:vAlign w:val="bottom"/>
          </w:tcPr>
          <w:p>
            <w:pPr>
              <w:ind w:left="300"/>
              <w:spacing w:after="0" w:line="201" w:lineRule="exact"/>
              <w:rPr>
                <w:sz w:val="20"/>
                <w:szCs w:val="20"/>
                <w:color w:val="auto"/>
              </w:rPr>
            </w:pPr>
            <w:r>
              <w:rPr>
                <w:rFonts w:ascii="Arial" w:cs="Arial" w:eastAsia="Arial" w:hAnsi="Arial"/>
                <w:sz w:val="18"/>
                <w:szCs w:val="18"/>
                <w:color w:val="auto"/>
                <w:w w:val="93"/>
              </w:rPr>
              <w:t>Common Stock: 45,000 shares authorized; 17,192 and 16,839 shares issued and outstanding</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at September 30, 2016 and at December 31, 2015, $0.001 par value</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73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236,646</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233,336</w:t>
            </w:r>
          </w:p>
        </w:tc>
      </w:tr>
      <w:tr>
        <w:trPr>
          <w:trHeight w:val="216"/>
        </w:trPr>
        <w:tc>
          <w:tcPr>
            <w:tcW w:w="7320" w:type="dxa"/>
            <w:vAlign w:val="bottom"/>
          </w:tcPr>
          <w:p>
            <w:pPr>
              <w:ind w:left="300"/>
              <w:spacing w:after="0"/>
              <w:rPr>
                <w:sz w:val="20"/>
                <w:szCs w:val="20"/>
                <w:color w:val="auto"/>
              </w:rPr>
            </w:pPr>
            <w:r>
              <w:rPr>
                <w:rFonts w:ascii="Arial" w:cs="Arial" w:eastAsia="Arial" w:hAnsi="Arial"/>
                <w:sz w:val="18"/>
                <w:szCs w:val="18"/>
                <w:color w:val="auto"/>
              </w:rPr>
              <w:t>Accumulated other comprehensive gain</w:t>
            </w:r>
          </w:p>
        </w:tc>
        <w:tc>
          <w:tcPr>
            <w:tcW w:w="1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2,113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r>
      <w:tr>
        <w:trPr>
          <w:trHeight w:val="230"/>
        </w:trPr>
        <w:tc>
          <w:tcPr>
            <w:tcW w:w="73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EEEEEE"/>
          </w:tcPr>
          <w:p>
            <w:pPr>
              <w:spacing w:after="0"/>
              <w:rPr>
                <w:sz w:val="19"/>
                <w:szCs w:val="19"/>
                <w:color w:val="auto"/>
              </w:rPr>
            </w:pPr>
          </w:p>
        </w:tc>
        <w:tc>
          <w:tcPr>
            <w:tcW w:w="1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(51,238)</w:t>
            </w:r>
          </w:p>
        </w:tc>
        <w:tc>
          <w:tcPr>
            <w:tcW w:w="1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(68,247)</w:t>
            </w:r>
          </w:p>
        </w:tc>
      </w:tr>
      <w:tr>
        <w:trPr>
          <w:trHeight w:val="210"/>
        </w:trPr>
        <w:tc>
          <w:tcPr>
            <w:tcW w:w="732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187,538</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165,398</w:t>
            </w:r>
          </w:p>
        </w:tc>
        <w:tc>
          <w:tcPr>
            <w:tcW w:w="100" w:type="dxa"/>
            <w:vAlign w:val="bottom"/>
            <w:tcBorders>
              <w:bottom w:val="single" w:sz="8" w:color="EEEEEE"/>
            </w:tcBorders>
          </w:tcPr>
          <w:p>
            <w:pPr>
              <w:spacing w:after="0"/>
              <w:rPr>
                <w:sz w:val="18"/>
                <w:szCs w:val="18"/>
                <w:color w:val="auto"/>
              </w:rPr>
            </w:pPr>
          </w:p>
        </w:tc>
      </w:tr>
      <w:tr>
        <w:trPr>
          <w:trHeight w:val="223"/>
        </w:trPr>
        <w:tc>
          <w:tcPr>
            <w:tcW w:w="732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326,791</w:t>
            </w:r>
          </w:p>
        </w:tc>
        <w:tc>
          <w:tcPr>
            <w:tcW w:w="2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273,475</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89"/>
              </w:rPr>
              <w:t>Three months ended September 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70,137</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57,085</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175,813</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136,951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46,976</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39,032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121,097</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92,116</w:t>
            </w:r>
          </w:p>
        </w:tc>
        <w:tc>
          <w:tcPr>
            <w:tcW w:w="0" w:type="dxa"/>
            <w:vAlign w:val="bottom"/>
          </w:tcPr>
          <w:p>
            <w:pPr>
              <w:spacing w:after="0"/>
              <w:rPr>
                <w:sz w:val="1"/>
                <w:szCs w:val="1"/>
                <w:color w:val="auto"/>
              </w:rPr>
            </w:pPr>
          </w:p>
        </w:tc>
      </w:tr>
      <w:tr>
        <w:trPr>
          <w:trHeight w:val="210"/>
        </w:trPr>
        <w:tc>
          <w:tcPr>
            <w:tcW w:w="4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23,161</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18,053</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54,716</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44,835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8,362</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5,386</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24,572</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1,594</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4,884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6,445</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4,963</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18,084</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16,401</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11,931</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47,540</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34,140</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6,760</w:t>
            </w:r>
          </w:p>
        </w:tc>
        <w:tc>
          <w:tcPr>
            <w:tcW w:w="34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6,122</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bottom w:val="single" w:sz="8" w:color="auto"/>
            </w:tcBorders>
            <w:shd w:val="clear" w:color="auto" w:fill="EEEEEE"/>
          </w:tcPr>
          <w:p>
            <w:pPr>
              <w:spacing w:after="0"/>
              <w:rPr>
                <w:sz w:val="18"/>
                <w:szCs w:val="18"/>
                <w:color w:val="auto"/>
              </w:rPr>
            </w:pP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7,176</w:t>
            </w:r>
          </w:p>
        </w:tc>
        <w:tc>
          <w:tcPr>
            <w:tcW w:w="32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10,695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(1,313)</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EEEEEE"/>
          </w:tcPr>
          <w:p>
            <w:pPr>
              <w:spacing w:after="0"/>
              <w:rPr>
                <w:sz w:val="19"/>
                <w:szCs w:val="19"/>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(2,747)</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(532)</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Total other expense</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6,404</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5,537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11,332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11,472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17,736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2,700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17,009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8,114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0.97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0.95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to</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compute net income per share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17,151,031</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15,868,989</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17,057,687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15,220,301</w:t>
            </w:r>
          </w:p>
        </w:tc>
        <w:tc>
          <w:tcPr>
            <w:tcW w:w="0" w:type="dxa"/>
            <w:vAlign w:val="bottom"/>
          </w:tcPr>
          <w:p>
            <w:pPr>
              <w:spacing w:after="0"/>
              <w:rPr>
                <w:sz w:val="1"/>
                <w:szCs w:val="1"/>
                <w:color w:val="auto"/>
              </w:rPr>
            </w:pPr>
          </w:p>
        </w:tc>
      </w:tr>
      <w:tr>
        <w:trPr>
          <w:trHeight w:val="230"/>
        </w:trPr>
        <w:tc>
          <w:tcPr>
            <w:tcW w:w="48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18,360,531</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16,693,656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17,954,229</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16,184,991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COMPREHENSIVE INCOME (Unaudited,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4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4"/>
              </w:rPr>
              <w:t>Three months ended September 30,</w:t>
            </w:r>
          </w:p>
        </w:tc>
        <w:tc>
          <w:tcPr>
            <w:tcW w:w="140" w:type="dxa"/>
            <w:vAlign w:val="bottom"/>
          </w:tcPr>
          <w:p>
            <w:pPr>
              <w:spacing w:after="0"/>
              <w:rPr>
                <w:sz w:val="20"/>
                <w:szCs w:val="20"/>
                <w:color w:val="auto"/>
              </w:rPr>
            </w:pPr>
          </w:p>
        </w:tc>
        <w:tc>
          <w:tcPr>
            <w:tcW w:w="30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820" w:type="dxa"/>
            <w:vAlign w:val="bottom"/>
            <w:tcBorders>
              <w:bottom w:val="single" w:sz="8" w:color="EEEEEE"/>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EEEEEE"/>
            </w:tcBorders>
          </w:tcPr>
          <w:p>
            <w:pPr>
              <w:spacing w:after="0"/>
              <w:rPr>
                <w:sz w:val="19"/>
                <w:szCs w:val="19"/>
                <w:color w:val="auto"/>
              </w:rPr>
            </w:pPr>
          </w:p>
        </w:tc>
      </w:tr>
      <w:tr>
        <w:trPr>
          <w:trHeight w:val="21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EEEEEE"/>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17,736</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2,700</w:t>
            </w: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17,009</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8,114</w:t>
            </w:r>
          </w:p>
        </w:tc>
        <w:tc>
          <w:tcPr>
            <w:tcW w:w="100" w:type="dxa"/>
            <w:vAlign w:val="bottom"/>
            <w:shd w:val="clear" w:color="auto" w:fill="EEEEEE"/>
          </w:tcPr>
          <w:p>
            <w:pPr>
              <w:spacing w:after="0"/>
              <w:rPr>
                <w:sz w:val="18"/>
                <w:szCs w:val="18"/>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w w:val="99"/>
              </w:rPr>
              <w:t>(Loss) gain on foreign currency translation adjustment, net of</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820" w:type="dxa"/>
            <w:vAlign w:val="bottom"/>
          </w:tcPr>
          <w:p>
            <w:pPr>
              <w:ind w:left="200"/>
              <w:spacing w:after="0"/>
              <w:rPr>
                <w:sz w:val="20"/>
                <w:szCs w:val="20"/>
                <w:color w:val="auto"/>
              </w:rPr>
            </w:pPr>
            <w:r>
              <w:rPr>
                <w:rFonts w:ascii="Arial" w:cs="Arial" w:eastAsia="Arial" w:hAnsi="Arial"/>
                <w:sz w:val="18"/>
                <w:szCs w:val="18"/>
                <w:color w:val="auto"/>
              </w:rPr>
              <w:t>tax</w:t>
            </w:r>
          </w:p>
        </w:tc>
        <w:tc>
          <w:tcPr>
            <w:tcW w:w="880" w:type="dxa"/>
            <w:vAlign w:val="bottom"/>
          </w:tcPr>
          <w:p>
            <w:pPr>
              <w:spacing w:after="0"/>
              <w:rPr>
                <w:sz w:val="21"/>
                <w:szCs w:val="21"/>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1,323</w:t>
            </w:r>
          </w:p>
        </w:tc>
        <w:tc>
          <w:tcPr>
            <w:tcW w:w="3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1,821</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(913)</w:t>
            </w:r>
          </w:p>
        </w:tc>
      </w:tr>
      <w:tr>
        <w:trPr>
          <w:trHeight w:val="223"/>
        </w:trPr>
        <w:tc>
          <w:tcPr>
            <w:tcW w:w="4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bottom w:val="single" w:sz="8" w:color="auto"/>
            </w:tcBorders>
            <w:shd w:val="clear" w:color="auto" w:fill="EEEEEE"/>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19,059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1,691</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18,830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paid-in</w:t>
            </w:r>
          </w:p>
        </w:tc>
        <w:tc>
          <w:tcPr>
            <w:tcW w:w="1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shares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capital</w:t>
            </w:r>
          </w:p>
        </w:tc>
        <w:tc>
          <w:tcPr>
            <w:tcW w:w="1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gain</w:t>
            </w: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0"/>
        </w:trPr>
        <w:tc>
          <w:tcPr>
            <w:tcW w:w="27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January 1, 2016</w:t>
            </w:r>
          </w:p>
        </w:tc>
        <w:tc>
          <w:tcPr>
            <w:tcW w:w="116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16,839</w:t>
            </w:r>
          </w:p>
        </w:tc>
        <w:tc>
          <w:tcPr>
            <w:tcW w:w="320" w:type="dxa"/>
            <w:vAlign w:val="bottom"/>
            <w:tcBorders>
              <w:top w:val="single" w:sz="8" w:color="EEEEEE"/>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17</w:t>
            </w: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233,336</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292</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(68,247)</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165,398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94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shares under equity</w:t>
            </w:r>
          </w:p>
        </w:tc>
        <w:tc>
          <w:tcPr>
            <w:tcW w:w="1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plans</w:t>
            </w:r>
          </w:p>
        </w:tc>
        <w:tc>
          <w:tcPr>
            <w:tcW w:w="148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273</w:t>
            </w:r>
          </w:p>
        </w:tc>
        <w:tc>
          <w:tcPr>
            <w:tcW w:w="940" w:type="dxa"/>
            <w:vAlign w:val="bottom"/>
            <w:shd w:val="clear" w:color="auto" w:fill="EEEEEE"/>
          </w:tcPr>
          <w:p>
            <w:pPr>
              <w:spacing w:after="0"/>
              <w:rPr>
                <w:sz w:val="20"/>
                <w:szCs w:val="20"/>
                <w:color w:val="auto"/>
              </w:rPr>
            </w:pPr>
          </w:p>
        </w:tc>
        <w:tc>
          <w:tcPr>
            <w:tcW w:w="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spacing w:after="0"/>
              <w:rPr>
                <w:sz w:val="20"/>
                <w:szCs w:val="20"/>
                <w:color w:val="auto"/>
              </w:rPr>
            </w:pPr>
          </w:p>
        </w:tc>
        <w:tc>
          <w:tcPr>
            <w:tcW w:w="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1,285</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Reclassified realized loss on</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00"/>
              <w:spacing w:after="0"/>
              <w:rPr>
                <w:sz w:val="20"/>
                <w:szCs w:val="20"/>
                <w:color w:val="auto"/>
              </w:rPr>
            </w:pPr>
            <w:r>
              <w:rPr>
                <w:rFonts w:ascii="Arial" w:cs="Arial" w:eastAsia="Arial" w:hAnsi="Arial"/>
                <w:sz w:val="18"/>
                <w:szCs w:val="18"/>
                <w:color w:val="auto"/>
              </w:rPr>
              <w:t>foreign currency transaction</w:t>
            </w:r>
          </w:p>
        </w:tc>
        <w:tc>
          <w:tcPr>
            <w:tcW w:w="14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17,009</w:t>
            </w: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17,009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September 30, 2016</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17,192</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236,646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(51,238</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7780" w:type="dxa"/>
            <w:vAlign w:val="bottom"/>
            <w:tcBorders>
              <w:bottom w:val="single" w:sz="8" w:color="EEEEE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EEEEEE"/>
            </w:tcBorders>
          </w:tcPr>
          <w:p>
            <w:pPr>
              <w:spacing w:after="0"/>
              <w:rPr>
                <w:sz w:val="19"/>
                <w:szCs w:val="19"/>
                <w:color w:val="auto"/>
              </w:rPr>
            </w:pPr>
          </w:p>
        </w:tc>
        <w:tc>
          <w:tcPr>
            <w:tcW w:w="16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EEEEEE"/>
            </w:tcBorders>
          </w:tcPr>
          <w:p>
            <w:pPr>
              <w:spacing w:after="0"/>
              <w:rPr>
                <w:sz w:val="19"/>
                <w:szCs w:val="19"/>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17,009</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8,114</w:t>
            </w: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Provision for obsolete inventory</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2,799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2,177</w:t>
            </w: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9,926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6,733</w:t>
            </w: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(11,856)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Loss on disposal of assets</w:t>
            </w:r>
          </w:p>
        </w:tc>
        <w:tc>
          <w:tcPr>
            <w:tcW w:w="2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2,830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1,567</w:t>
            </w: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Unrealized foreign exchange (gain) loss</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(3,509)</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2,193</w:t>
            </w: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(5,412)</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(9,767)</w:t>
            </w: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Bank acceptance receivable</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9,423</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(30,578)</w:t>
            </w: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Other current assets and other receivables</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3,450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(4,073)</w:t>
            </w: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3,886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1,657</w:t>
            </w:r>
          </w:p>
        </w:tc>
      </w:tr>
      <w:tr>
        <w:trPr>
          <w:trHeight w:val="230"/>
        </w:trPr>
        <w:tc>
          <w:tcPr>
            <w:tcW w:w="778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3,246</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28,368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(17,738</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short-term investments</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Maturities of short-term investments</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7,749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Change in restricted cash for construction in progress</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(953)</w:t>
            </w: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2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(40,333)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(31,932)</w:t>
            </w: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disposal of equipment</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1,306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Deposits and prepaid charges</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(2,370)</w:t>
            </w:r>
          </w:p>
        </w:tc>
      </w:tr>
      <w:tr>
        <w:trPr>
          <w:trHeight w:val="230"/>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intangible assets</w:t>
            </w:r>
          </w:p>
        </w:tc>
        <w:tc>
          <w:tcPr>
            <w:tcW w:w="2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(331)</w:t>
            </w:r>
          </w:p>
        </w:tc>
      </w:tr>
      <w:tr>
        <w:trPr>
          <w:trHeight w:val="210"/>
        </w:trPr>
        <w:tc>
          <w:tcPr>
            <w:tcW w:w="77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(31,906</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(35,657</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Proceeds from issuance of notes payable and long-term debt</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28,858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8,357</w:t>
            </w: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Principal payments of long-term debt and notes payable</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(3,995)</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(1,727)</w:t>
            </w: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Proceeds from line of credit borrowings</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115,798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99,923</w:t>
            </w: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Repayments of line of credit borrowings</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(114,542)</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(84,727)</w:t>
            </w: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Proceeds from bank acceptance payable</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5,850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5,680</w:t>
            </w: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Repayments of bank acceptance payable</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(5,531)</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(3,723)</w:t>
            </w: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Repayments of notes payable</w:t>
            </w:r>
          </w:p>
        </w:tc>
        <w:tc>
          <w:tcPr>
            <w:tcW w:w="2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Increase (decrease) in restricted cash</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(3,108)</w:t>
            </w: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r>
      <w:tr>
        <w:trPr>
          <w:trHeight w:val="230"/>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common stock offering, net</w:t>
            </w:r>
          </w:p>
        </w:tc>
        <w:tc>
          <w:tcPr>
            <w:tcW w:w="2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38,692</w:t>
            </w: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59,047</w:t>
            </w:r>
          </w:p>
        </w:tc>
        <w:tc>
          <w:tcPr>
            <w:tcW w:w="100" w:type="dxa"/>
            <w:vAlign w:val="bottom"/>
          </w:tcPr>
          <w:p>
            <w:pPr>
              <w:spacing w:after="0"/>
              <w:rPr>
                <w:sz w:val="18"/>
                <w:szCs w:val="18"/>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4,817</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(235)</w:t>
            </w: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Net increase in cash</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5,417</w:t>
            </w:r>
          </w:p>
        </w:tc>
        <w:tc>
          <w:tcPr>
            <w:tcW w:w="100" w:type="dxa"/>
            <w:vAlign w:val="bottom"/>
          </w:tcPr>
          <w:p>
            <w:pPr>
              <w:spacing w:after="0"/>
              <w:rPr>
                <w:sz w:val="18"/>
                <w:szCs w:val="18"/>
                <w:color w:val="auto"/>
              </w:rPr>
            </w:pP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28,074</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32,175</w:t>
            </w:r>
          </w:p>
        </w:tc>
      </w:tr>
      <w:tr>
        <w:trPr>
          <w:trHeight w:val="263"/>
        </w:trPr>
        <w:tc>
          <w:tcPr>
            <w:tcW w:w="77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55,907</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37,592</w:t>
            </w:r>
          </w:p>
        </w:tc>
        <w:tc>
          <w:tcPr>
            <w:tcW w:w="100" w:type="dxa"/>
            <w:vAlign w:val="bottom"/>
            <w:tcBorders>
              <w:bottom w:val="single" w:sz="8" w:color="EEEEEE"/>
            </w:tcBorders>
          </w:tcPr>
          <w:p>
            <w:pPr>
              <w:spacing w:after="0"/>
              <w:rPr>
                <w:sz w:val="22"/>
                <w:szCs w:val="22"/>
                <w:color w:val="auto"/>
              </w:rPr>
            </w:pPr>
          </w:p>
        </w:tc>
      </w:tr>
      <w:tr>
        <w:trPr>
          <w:trHeight w:val="197"/>
        </w:trPr>
        <w:tc>
          <w:tcPr>
            <w:tcW w:w="778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26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Cash paid for:</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 net of capitalized amounts</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1,277</w:t>
            </w:r>
          </w:p>
        </w:tc>
        <w:tc>
          <w:tcPr>
            <w:tcW w:w="50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843</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jc w:val="center"/>
        <w:ind w:left="280" w:right="2720"/>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Applied Optoelectronics, Inc., or AOI, was originally incorporated in Texas in February of 1997 and then converted to a Delaware corporation in March of 2013. AOI together with its wholly-owned subsidiaries are collectively referred to as the Company. The Company is a leading, vertically integrated provider of fiber-optic networking products, primarily for four networking end-markets: internet data centers, cable television, fiber-to-the-home and telecommunications.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(incorporated in the British Virgin Islands). Prime World International Holdings, Ltd. is the parent of Global Technology, Inc. (incorporated in the People’s Republic of China). Through Global Technology Inc., the Company primarily manufactures certain of our data center transceiver products, including subassemblies, as well as Cable TV Broadband (“CATV”) systems and equipment, and performs research and development activities for the CATV products. The Company also operates a division, AOI-Taiwan, which primarily manufactures transceivers for both the data center and fiber-to-the-home (“FTTH”) markets and performs research and development activities for the transceiver products. The Company recently contributed to Prime World International Holdings, Ltd., the Company's business assets, liabilities and contracts relating to AOI—Taiwan. Upon approval by the Department of Commerce, Ministry of Economic Affairs of Taiwan, AOI—Taiwan will operate as a Taiwan branch of Prime World International Holdings, Ltd. The Company also has an additional research and development center in Lawrenceville, Georgia. The Company’s research and development functions are partnered with its manufacturing locations.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unaudited condensed consolidated financial statements of the Company as of September 30, 2016 and December 31, 2015 and for the three and nine months ended September 30, 2016 and September 30, 2015,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10-K (“Annual Report”) for the fiscal year ended December 31, 2015. The results of operations for the three and nine months ended September 30, 2016 are not necessarily indicative of the results expected for the entire fiscal year. All significant intercompany accounts and transactions have been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valuation allowances for deferred tax assets, inventory reserve, share-based compensation expense, estimated useful lives of property and equipment, and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and nine months ended September 30, 2016, as compared to the significant accounting policies described in its 2015 Annual Report,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At the end of each interim period, the Company makes its best estimate of the effective tax rate expected to be applicable for the full fiscal year. This estimate reflects, among other items, the Company’s best estimate of operating results and foreign currency exchange rates. The Company’s quarterly income tax rate may differ from its estimated annual effective tax rate because accounting standards require the Company to exclude the actual results of certain entities expected to generate a pretax loss when applying the estimated annual effective tax rate to the Company’s consolidated pretax results in interim periods. In estimating the annual effective tax rate, the Company does not include the estimated impact of unusual and/or infrequent items, including the reversal of certain valuation allowances, which may cause significant variations in the customary relationship between income tax expense (benefit) and pretax income (loss) in quarterly and year-to-date periods. The income tax expense (benefit) for such unusual and/or infrequent items is recorded in the quarterly period such items are incurred.</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routinely reviews valuation allowances recorded against deferred tax assets on a more likely than not basis in evaluating whether the Company has the ability to realize the deferred tax assets. In making such a determination, the Company takes into consideration all available and appropriate positive and negative evidence, including projected future taxable income, future reversals of existing taxable temporary differences, available tax planning strategies and taxable income in prior carryback years, if available. Considering these factors, a possibility exists that the Company may record or release a portion of a valuation allowance against some deferred tax assets each quarterly period, which could create volatility in the Company’s future effective tax rate.</w:t>
      </w:r>
    </w:p>
    <w:p>
      <w:pPr>
        <w:spacing w:after="0" w:line="19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recorded an income tax benefit of $11.3 million and $11.5 million for the three and nine months ended September 30, 2016, respectively, and an income tax provision of $0.4 million and $0.5 million for the three and nine months ended September 30, 2015, respectively. The income tax benefit for the three and nine months ended September 30, 2016 includes the release of $11.9 million of the Company’s existing valuation allowance against its U.S. deferred tax assets and additional foreign, U.S. federal, and state income tax expenses. The Company considered all available positive and negative evidence in making a determination to release a portion of its existing valuation allowance. Such evidence included, among others, the Company’s history of profitability and losses, jurisdictional income recognition trends, forecasted income by jurisdiction and three years of cumulative taxable income in the U.S. federal tax jurisdiction as of September 30, 2016.</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Therefore, the Company determined that there is sufficient positive evidence to conclude that it is more likely than not that it will utilize its U.S. deferred tax assets. As a result of the valuation allowance release, a deferred tax asset of $11.9 million is reflected on the accompanying condensed consolidated balance sheet as of September 30, 2016. The related $11.9 million effect on the accompanying condensed consolidated statement of operations for the fiscal period ended September 30, 2016 is a non-cash income tax benefit.</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Company’s income tax expense and resulting effective tax rate are based upon the respective estimated annual effective tax rates applicable for the respective periods adjusted for the effects of items required to be treated as discrete to the period, including changes in the aforementioned valuation allowance, stock option expenses due to disqualifying disposition of incentive stock options, changes in tax laws, changes in estimated exposures for uncertain tax positions and other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to simplify several aspects of accounting for share-based payment transactions, including the following areas: accounting for excess tax benefits and tax deficiencies; classifying excess tax benefits on the statement of cash flows; accounting for forfeitures; classifying awards that permit share repurchases to satisfy statutory tax withholding requirements; classifying tax payments on behalf of employees on the statement of cash flows; and, for nonpublic entities only, determining the expected term and electing the intrinsic value measurement alternative for stock option awards. The new guidance is effective for public business entities in fiscal years beginning after December 15, 2016, and in the interim periods within those fiscal years. The guidance requires a mix of prospective, modified retrospective and retrospective transition. The Company is evaluating the impact of the accounting standard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9" w:name="page10"/>
    <w:bookmarkEnd w:id="9"/>
    <w:p>
      <w:pPr>
        <w:ind w:right="40" w:firstLine="648"/>
        <w:spacing w:after="0" w:line="279" w:lineRule="auto"/>
        <w:rPr>
          <w:sz w:val="20"/>
          <w:szCs w:val="20"/>
          <w:color w:val="auto"/>
        </w:rPr>
      </w:pPr>
      <w:r>
        <w:rPr>
          <w:rFonts w:ascii="Arial" w:cs="Arial" w:eastAsia="Arial" w:hAnsi="Arial"/>
          <w:sz w:val="17"/>
          <w:szCs w:val="17"/>
          <w:color w:val="auto"/>
        </w:rPr>
        <w:t xml:space="preserve">On February 25, 2016, the FASB released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 complete its project to overhaul lease accounting. The ASU codifies ASC 842, Leases, which will replace the guidance in ASC 840. The new guidance will require lessees to recognize most leases on the balance sheet for capital and operating leases. The new guidance is effective for public business entities in fiscal years beginning after December 15, 2018. The Company is evaluating the impact of the accounting standard on its financial statements.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FASB issued ASU No.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The new guidance is intended to improve the recognition and measurement of financial instruments. The ASU affects public and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not-for-profit organizations, and employee benefit plans that hold financial assets or owe financial liabilities. The new guidance is effective for public companies for fiscal years beginning after December 15, 2017, including interim periods within those fiscal years. The Company is evaluating the impact of the accounting standard on its financial statements.</w:t>
      </w:r>
    </w:p>
    <w:p>
      <w:pPr>
        <w:spacing w:after="0" w:line="18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The FASB issued ASU No.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xml:space="preserve"> during November 2015</w:t>
      </w:r>
      <w:r>
        <w:rPr>
          <w:rFonts w:ascii="Arial" w:cs="Arial" w:eastAsia="Arial" w:hAnsi="Arial"/>
          <w:sz w:val="18"/>
          <w:szCs w:val="18"/>
          <w:i w:val="1"/>
          <w:iCs w:val="1"/>
          <w:color w:val="auto"/>
        </w:rPr>
        <w:t>,</w:t>
      </w:r>
      <w:r>
        <w:rPr>
          <w:rFonts w:ascii="Arial" w:cs="Arial" w:eastAsia="Arial" w:hAnsi="Arial"/>
          <w:sz w:val="18"/>
          <w:szCs w:val="18"/>
          <w:color w:val="auto"/>
        </w:rPr>
        <w:t xml:space="preserve"> which simplifies the presentation of deferred income taxes. This ASU provides presentation requirements to classify deferred tax assets and liabilities as noncurrent in a statement of financial position. The standard is effective for fiscal years beginning after December 15, 2016, including interim periods within that reporting period. Early adoption is permitted for any interim and annual financial statements that have not yet been issued. The ASU may be applied either prospectively to all deferred tax liabilities and assets or retrospectively to all periods presented. The Company early adopted this standard effective December 31, 2015 on a retrospective basis which resulted in a reclassification of our net current deferred tax asset to the net non-current deferred tax asset as of December 31, 2015. The adoption of this ASU had no impact on the balance sheet or income statement as the Company had a full valuation allowance as of December 31, 2015.</w:t>
      </w:r>
    </w:p>
    <w:p>
      <w:pPr>
        <w:spacing w:after="0" w:line="192"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The FASB issued ASU No. 2015-11, </w:t>
      </w:r>
      <w:r>
        <w:rPr>
          <w:rFonts w:ascii="Arial" w:cs="Arial" w:eastAsia="Arial" w:hAnsi="Arial"/>
          <w:sz w:val="18"/>
          <w:szCs w:val="18"/>
          <w:i w:val="1"/>
          <w:iCs w:val="1"/>
          <w:color w:val="auto"/>
        </w:rPr>
        <w:t>Inventory</w:t>
      </w:r>
      <w:r>
        <w:rPr>
          <w:rFonts w:ascii="Arial" w:cs="Arial" w:eastAsia="Arial" w:hAnsi="Arial"/>
          <w:sz w:val="18"/>
          <w:szCs w:val="18"/>
          <w:color w:val="auto"/>
        </w:rPr>
        <w:t xml:space="preserve"> in July 2015 to require entity to measure inventory at the lower of cost or market. Market could be replacement cost, net realizable value, or net realizable value less an approximately normal profit margin. The Company early adopted this ASU which had no material impact on the financial statements.</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 - Imputation of Interest (Subtopic 835-30): Simplifying the Presentation of Debt Issuance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Costs, </w:t>
      </w:r>
      <w:r>
        <w:rPr>
          <w:rFonts w:ascii="Arial" w:cs="Arial" w:eastAsia="Arial" w:hAnsi="Arial"/>
          <w:sz w:val="17"/>
          <w:szCs w:val="17"/>
          <w:color w:val="auto"/>
        </w:rPr>
        <w:t>which requires the presentation of debt issuance costs related to a recognized debt liability as a direct deduction from the carrying amount of that debt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ASU 2015-03 does not address presentation or subsequent measurement of debt issuance costs related to line-of-credit arrangements. Given the absence of authoritative guidance within ASU 2015-03 for debt issuance costs related to line-of-credit arrangements,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early adopted this ASU which had no material impact on the financial statements.</w:t>
      </w:r>
    </w:p>
    <w:p>
      <w:pPr>
        <w:spacing w:after="0" w:line="17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 The Company continues to evaluate the impact of the accounting standard on its financial statements. The Company plans to adopt the new standards after December 15,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for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As of September 30, 2016</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As of December 31, 2015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2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Cash and cash</w:t>
            </w: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55,907</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55,907</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28,074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28,074</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4,719</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02"/>
        </w:trPr>
        <w:tc>
          <w:tcPr>
            <w:tcW w:w="1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Short term</w:t>
            </w: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EEEEEE"/>
          </w:tcPr>
          <w:p>
            <w:pPr>
              <w:spacing w:after="0"/>
              <w:rPr>
                <w:sz w:val="20"/>
                <w:szCs w:val="20"/>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spacing w:after="0"/>
              <w:rPr>
                <w:sz w:val="20"/>
                <w:szCs w:val="20"/>
                <w:color w:val="auto"/>
              </w:rPr>
            </w:pPr>
          </w:p>
        </w:tc>
        <w:tc>
          <w:tcPr>
            <w:tcW w:w="46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0"/>
                <w:szCs w:val="20"/>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7,886</w:t>
            </w:r>
          </w:p>
        </w:tc>
        <w:tc>
          <w:tcPr>
            <w:tcW w:w="12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26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63"/>
        </w:trPr>
        <w:tc>
          <w:tcPr>
            <w:tcW w:w="16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60,239</w:t>
            </w:r>
          </w:p>
        </w:tc>
        <w:tc>
          <w:tcPr>
            <w:tcW w:w="36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EEEEE"/>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60,239</w:t>
            </w:r>
          </w:p>
        </w:tc>
        <w:tc>
          <w:tcPr>
            <w:tcW w:w="3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40,679</w:t>
            </w:r>
          </w:p>
        </w:tc>
        <w:tc>
          <w:tcPr>
            <w:tcW w:w="32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40,679</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62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Bank acceptance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100"/>
              <w:spacing w:after="0"/>
              <w:rPr>
                <w:sz w:val="20"/>
                <w:szCs w:val="20"/>
                <w:color w:val="auto"/>
              </w:rPr>
            </w:pPr>
            <w:r>
              <w:rPr>
                <w:rFonts w:ascii="Arial" w:cs="Arial" w:eastAsia="Arial" w:hAnsi="Arial"/>
                <w:sz w:val="18"/>
                <w:szCs w:val="18"/>
                <w:color w:val="auto"/>
              </w:rPr>
              <w:t>payable</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3,231</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2,998</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23"/>
        </w:trPr>
        <w:tc>
          <w:tcPr>
            <w:tcW w:w="16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3,231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820" w:type="dxa"/>
            <w:vAlign w:val="bottom"/>
            <w:tcBorders>
              <w:top w:val="single" w:sz="8" w:color="auto"/>
              <w:bottom w:val="single" w:sz="8" w:color="auto"/>
            </w:tcBorders>
            <w:shd w:val="clear" w:color="auto" w:fill="EEEEEE"/>
          </w:tcPr>
          <w:p>
            <w:pPr>
              <w:jc w:val="right"/>
              <w:ind w:right="6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EEEEEE"/>
          </w:tcPr>
          <w:p>
            <w:pPr>
              <w:ind w:left="2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3,231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2,998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800" w:type="dxa"/>
            <w:vAlign w:val="bottom"/>
            <w:tcBorders>
              <w:top w:val="single" w:sz="8" w:color="auto"/>
              <w:bottom w:val="single" w:sz="8" w:color="auto"/>
            </w:tcBorders>
            <w:shd w:val="clear" w:color="auto" w:fill="EEEEEE"/>
          </w:tcPr>
          <w:p>
            <w:pPr>
              <w:jc w:val="right"/>
              <w:ind w:right="64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EEEEEE"/>
          </w:tcPr>
          <w:p>
            <w:pPr>
              <w:ind w:left="2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 w:name="page11"/>
    <w:bookmarkEnd w:id="10"/>
    <w:p>
      <w:pPr>
        <w:jc w:val="both"/>
        <w:ind w:right="80" w:firstLine="648"/>
        <w:spacing w:after="0" w:line="264" w:lineRule="auto"/>
        <w:rPr>
          <w:sz w:val="20"/>
          <w:szCs w:val="20"/>
          <w:color w:val="auto"/>
        </w:rPr>
      </w:pPr>
      <w:r>
        <w:rPr>
          <w:rFonts w:ascii="Arial" w:cs="Arial" w:eastAsia="Arial" w:hAnsi="Arial"/>
          <w:sz w:val="18"/>
          <w:szCs w:val="18"/>
          <w:color w:val="auto"/>
        </w:rPr>
        <w:t>The carrying value amounts of accounts receivable, prepaid expenses and other current assets, accounts payable, accrued expenses and other current liabilities approximate fair value because of the short-term maturity of these instruments. The carrying value of the term loans approximate fair value due to the variable interest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Basic net income per share has been computed using the weighted-average number of shares of common stock outstanding during the period. Diluted net income per share has been computed using the weighted-average number of shares of common stock and dilutive potential common shares from stock options and restricted stock units/awards outstanding during the period.</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income (loss) per share for the periods indicated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September 30,</w:t>
            </w:r>
          </w:p>
        </w:tc>
        <w:tc>
          <w:tcPr>
            <w:tcW w:w="3320" w:type="dxa"/>
            <w:vAlign w:val="bottom"/>
            <w:gridSpan w:val="7"/>
          </w:tcPr>
          <w:p>
            <w:pPr>
              <w:ind w:left="1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89"/>
              </w:rPr>
              <w:t>2016</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17,736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2,700</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17,009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Denominator:</w:t>
            </w:r>
          </w:p>
        </w:tc>
        <w:tc>
          <w:tcPr>
            <w:tcW w:w="88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2"/>
              </w:rPr>
              <w:t>Weighted average shares used to compute net income per share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17,151</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15,869</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17,058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Effective of dilutive securities</w:t>
            </w:r>
          </w:p>
        </w:tc>
        <w:tc>
          <w:tcPr>
            <w:tcW w:w="8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1,210</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897</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18,361</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16,694</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17,954</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16,185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per share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0.17</w:t>
            </w:r>
          </w:p>
        </w:tc>
        <w:tc>
          <w:tcPr>
            <w:tcW w:w="4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0.97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0.95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securities that were excluded from the computation of diluted net income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2016</w:t>
            </w:r>
          </w:p>
        </w:tc>
        <w:tc>
          <w:tcPr>
            <w:tcW w:w="14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2015</w:t>
            </w:r>
          </w:p>
        </w:tc>
      </w:tr>
      <w:tr>
        <w:trPr>
          <w:trHeight w:val="210"/>
        </w:trPr>
        <w:tc>
          <w:tcPr>
            <w:tcW w:w="360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Raw materials</w:t>
            </w:r>
          </w:p>
        </w:tc>
        <w:tc>
          <w:tcPr>
            <w:tcW w:w="8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7,326</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22,240</w:t>
            </w: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600" w:type="dxa"/>
            <w:vAlign w:val="bottom"/>
          </w:tcPr>
          <w:p>
            <w:pPr>
              <w:ind w:left="160"/>
              <w:spacing w:after="0"/>
              <w:rPr>
                <w:sz w:val="20"/>
                <w:szCs w:val="20"/>
                <w:color w:val="auto"/>
              </w:rPr>
            </w:pPr>
            <w:r>
              <w:rPr>
                <w:rFonts w:ascii="Arial" w:cs="Arial" w:eastAsia="Arial" w:hAnsi="Arial"/>
                <w:sz w:val="18"/>
                <w:szCs w:val="18"/>
                <w:color w:val="auto"/>
              </w:rPr>
              <w:t>Work in process and sub-assemblies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28,852</w:t>
            </w:r>
          </w:p>
        </w:tc>
        <w:tc>
          <w:tcPr>
            <w:tcW w:w="1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30,766</w:t>
            </w:r>
          </w:p>
        </w:tc>
        <w:tc>
          <w:tcPr>
            <w:tcW w:w="100" w:type="dxa"/>
            <w:vAlign w:val="bottom"/>
          </w:tcPr>
          <w:p>
            <w:pPr>
              <w:spacing w:after="0"/>
              <w:rPr>
                <w:sz w:val="18"/>
                <w:szCs w:val="18"/>
                <w:color w:val="auto"/>
              </w:rPr>
            </w:pPr>
          </w:p>
        </w:tc>
      </w:tr>
      <w:tr>
        <w:trPr>
          <w:trHeight w:val="230"/>
        </w:trPr>
        <w:tc>
          <w:tcPr>
            <w:tcW w:w="36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Finished goods</w:t>
            </w:r>
          </w:p>
        </w:tc>
        <w:tc>
          <w:tcPr>
            <w:tcW w:w="8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18,741</w:t>
            </w:r>
          </w:p>
        </w:tc>
        <w:tc>
          <w:tcPr>
            <w:tcW w:w="14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13,232</w:t>
            </w:r>
          </w:p>
        </w:tc>
        <w:tc>
          <w:tcPr>
            <w:tcW w:w="100" w:type="dxa"/>
            <w:vAlign w:val="bottom"/>
            <w:shd w:val="clear" w:color="auto" w:fill="EEEEEE"/>
          </w:tcPr>
          <w:p>
            <w:pPr>
              <w:spacing w:after="0"/>
              <w:rPr>
                <w:sz w:val="19"/>
                <w:szCs w:val="19"/>
                <w:color w:val="auto"/>
              </w:rPr>
            </w:pPr>
          </w:p>
        </w:tc>
      </w:tr>
      <w:tr>
        <w:trPr>
          <w:trHeight w:val="223"/>
        </w:trPr>
        <w:tc>
          <w:tcPr>
            <w:tcW w:w="3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54,919</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66,238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lower of cost or market adjustment expensed for inventory for the three months ended September 30, 2016 and 2015 was $0.9 million for each period. The lower of cost or market adjustment expensed for inventory for the nine months ended September 30, 2016 and 2015 was $2.8 million and $2.2 million,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September 30, 2016</w:t>
            </w:r>
          </w:p>
        </w:tc>
        <w:tc>
          <w:tcPr>
            <w:tcW w:w="140" w:type="dxa"/>
            <w:vAlign w:val="bottom"/>
          </w:tcPr>
          <w:p>
            <w:pPr>
              <w:spacing w:after="0"/>
              <w:rPr>
                <w:sz w:val="20"/>
                <w:szCs w:val="20"/>
                <w:color w:val="auto"/>
              </w:rPr>
            </w:pPr>
          </w:p>
        </w:tc>
        <w:tc>
          <w:tcPr>
            <w:tcW w:w="18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1"/>
              </w:rPr>
              <w:t>December 31, 2015</w:t>
            </w:r>
          </w:p>
        </w:tc>
      </w:tr>
      <w:tr>
        <w:trPr>
          <w:trHeight w:val="210"/>
        </w:trPr>
        <w:tc>
          <w:tcPr>
            <w:tcW w:w="446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Land improvements</w:t>
            </w: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863</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863</w:t>
            </w: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67,716</w:t>
            </w:r>
          </w:p>
        </w:tc>
        <w:tc>
          <w:tcPr>
            <w:tcW w:w="1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27,255</w:t>
            </w:r>
          </w:p>
        </w:tc>
        <w:tc>
          <w:tcPr>
            <w:tcW w:w="100" w:type="dxa"/>
            <w:vAlign w:val="bottom"/>
          </w:tcPr>
          <w:p>
            <w:pPr>
              <w:spacing w:after="0"/>
              <w:rPr>
                <w:sz w:val="18"/>
                <w:szCs w:val="18"/>
                <w:color w:val="auto"/>
              </w:rPr>
            </w:pPr>
          </w:p>
        </w:tc>
      </w:tr>
      <w:tr>
        <w:trPr>
          <w:trHeight w:val="216"/>
        </w:trPr>
        <w:tc>
          <w:tcPr>
            <w:tcW w:w="44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105,723</w:t>
            </w:r>
          </w:p>
        </w:tc>
        <w:tc>
          <w:tcPr>
            <w:tcW w:w="1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88,882</w:t>
            </w:r>
          </w:p>
        </w:tc>
        <w:tc>
          <w:tcPr>
            <w:tcW w:w="100" w:type="dxa"/>
            <w:vAlign w:val="bottom"/>
            <w:shd w:val="clear" w:color="auto" w:fill="EEEEEE"/>
          </w:tcPr>
          <w:p>
            <w:pPr>
              <w:spacing w:after="0"/>
              <w:rPr>
                <w:sz w:val="18"/>
                <w:szCs w:val="18"/>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4,323</w:t>
            </w:r>
          </w:p>
        </w:tc>
        <w:tc>
          <w:tcPr>
            <w:tcW w:w="1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18"/>
                <w:szCs w:val="18"/>
                <w:color w:val="auto"/>
              </w:rPr>
            </w:pPr>
          </w:p>
        </w:tc>
      </w:tr>
      <w:tr>
        <w:trPr>
          <w:trHeight w:val="216"/>
        </w:trPr>
        <w:tc>
          <w:tcPr>
            <w:tcW w:w="44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Computer equipment and software</w:t>
            </w:r>
          </w:p>
        </w:tc>
        <w:tc>
          <w:tcPr>
            <w:tcW w:w="12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6,526</w:t>
            </w:r>
          </w:p>
        </w:tc>
        <w:tc>
          <w:tcPr>
            <w:tcW w:w="1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5,615</w:t>
            </w:r>
          </w:p>
        </w:tc>
        <w:tc>
          <w:tcPr>
            <w:tcW w:w="100" w:type="dxa"/>
            <w:vAlign w:val="bottom"/>
            <w:shd w:val="clear" w:color="auto" w:fill="EEEEEE"/>
          </w:tcPr>
          <w:p>
            <w:pPr>
              <w:spacing w:after="0"/>
              <w:rPr>
                <w:sz w:val="18"/>
                <w:szCs w:val="18"/>
                <w:color w:val="auto"/>
              </w:rPr>
            </w:pPr>
          </w:p>
        </w:tc>
      </w:tr>
      <w:tr>
        <w:trPr>
          <w:trHeight w:val="230"/>
        </w:trPr>
        <w:tc>
          <w:tcPr>
            <w:tcW w:w="4460" w:type="dxa"/>
            <w:vAlign w:val="bottom"/>
          </w:tcPr>
          <w:p>
            <w:pPr>
              <w:ind w:left="160"/>
              <w:spacing w:after="0"/>
              <w:rPr>
                <w:sz w:val="20"/>
                <w:szCs w:val="20"/>
                <w:color w:val="auto"/>
              </w:rPr>
            </w:pPr>
            <w:r>
              <w:rPr>
                <w:rFonts w:ascii="Arial" w:cs="Arial" w:eastAsia="Arial" w:hAnsi="Arial"/>
                <w:sz w:val="18"/>
                <w:szCs w:val="18"/>
                <w:color w:val="auto"/>
              </w:rPr>
              <w:t>Transportation equipment</w:t>
            </w:r>
          </w:p>
        </w:tc>
        <w:tc>
          <w:tcPr>
            <w:tcW w:w="120" w:type="dxa"/>
            <w:vAlign w:val="bottom"/>
          </w:tcPr>
          <w:p>
            <w:pPr>
              <w:spacing w:after="0"/>
              <w:rPr>
                <w:sz w:val="19"/>
                <w:szCs w:val="19"/>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r>
      <w:tr>
        <w:trPr>
          <w:trHeight w:val="210"/>
        </w:trPr>
        <w:tc>
          <w:tcPr>
            <w:tcW w:w="44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185,395</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125,331</w:t>
            </w: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460" w:type="dxa"/>
            <w:vAlign w:val="bottom"/>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9"/>
                <w:szCs w:val="19"/>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(47,095)</w:t>
            </w:r>
          </w:p>
        </w:tc>
        <w:tc>
          <w:tcPr>
            <w:tcW w:w="140" w:type="dxa"/>
            <w:vAlign w:val="bottom"/>
          </w:tcPr>
          <w:p>
            <w:pPr>
              <w:spacing w:after="0"/>
              <w:rPr>
                <w:sz w:val="19"/>
                <w:szCs w:val="19"/>
                <w:color w:val="auto"/>
              </w:rPr>
            </w:pP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(37,970)</w:t>
            </w:r>
          </w:p>
        </w:tc>
      </w:tr>
      <w:tr>
        <w:trPr>
          <w:trHeight w:val="210"/>
        </w:trPr>
        <w:tc>
          <w:tcPr>
            <w:tcW w:w="44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138,300</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87,361</w:t>
            </w: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1,115</w:t>
            </w:r>
          </w:p>
        </w:tc>
        <w:tc>
          <w:tcPr>
            <w:tcW w:w="1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21,237</w:t>
            </w:r>
          </w:p>
        </w:tc>
        <w:tc>
          <w:tcPr>
            <w:tcW w:w="100" w:type="dxa"/>
            <w:vAlign w:val="bottom"/>
          </w:tcPr>
          <w:p>
            <w:pPr>
              <w:spacing w:after="0"/>
              <w:rPr>
                <w:sz w:val="18"/>
                <w:szCs w:val="18"/>
                <w:color w:val="auto"/>
              </w:rPr>
            </w:pPr>
          </w:p>
        </w:tc>
      </w:tr>
      <w:tr>
        <w:trPr>
          <w:trHeight w:val="230"/>
        </w:trPr>
        <w:tc>
          <w:tcPr>
            <w:tcW w:w="44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EEEEEE"/>
          </w:tcPr>
          <w:p>
            <w:pPr>
              <w:spacing w:after="0"/>
              <w:rPr>
                <w:sz w:val="19"/>
                <w:szCs w:val="19"/>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1,101</w:t>
            </w:r>
          </w:p>
        </w:tc>
        <w:tc>
          <w:tcPr>
            <w:tcW w:w="14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EEEEEE"/>
          </w:tcPr>
          <w:p>
            <w:pPr>
              <w:spacing w:after="0"/>
              <w:rPr>
                <w:sz w:val="19"/>
                <w:szCs w:val="19"/>
                <w:color w:val="auto"/>
              </w:rPr>
            </w:pPr>
          </w:p>
        </w:tc>
      </w:tr>
      <w:tr>
        <w:trPr>
          <w:trHeight w:val="223"/>
        </w:trPr>
        <w:tc>
          <w:tcPr>
            <w:tcW w:w="446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140,516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109,699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three months ended September 30, 2016 and 2015, depreciation expense of property, plant and equipment was $3.6 million and $2.3 million, respectively. For the nine months ended September 30, 2016 and 2015, depreciation expense of property, plant and equipment was $9.6 million and $6.4 million, respectively.</w:t>
      </w:r>
    </w:p>
    <w:p>
      <w:pPr>
        <w:spacing w:after="0" w:line="18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Included in depreciation expense was $2.1 million and $1.4 million recorded as cost of sales for the three months ended September 30, 2016 and 2015, respectively. Included in depreciation expense was $6.0 million and $3.8 million recorded as cost of sales for the nine months ended September 30, 2016 and 2015, respectively.</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At September 30, 2016 and December 31, 2015, there was $167,000 and $121,000 of capitalized interest recorded in construction in progress and building,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September 30, 2016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220" w:type="dxa"/>
            <w:vAlign w:val="bottom"/>
          </w:tcPr>
          <w:p>
            <w:pPr>
              <w:spacing w:after="0"/>
              <w:rPr>
                <w:sz w:val="16"/>
                <w:szCs w:val="16"/>
                <w:color w:val="auto"/>
              </w:rPr>
            </w:pPr>
          </w:p>
        </w:tc>
        <w:tc>
          <w:tcPr>
            <w:tcW w:w="1140" w:type="dxa"/>
            <w:vAlign w:val="bottom"/>
          </w:tcPr>
          <w:p>
            <w:pPr>
              <w:ind w:left="120"/>
              <w:spacing w:after="0" w:line="191" w:lineRule="exact"/>
              <w:rPr>
                <w:sz w:val="20"/>
                <w:szCs w:val="20"/>
                <w:color w:val="auto"/>
              </w:rPr>
            </w:pPr>
            <w:r>
              <w:rPr>
                <w:rFonts w:ascii="Arial" w:cs="Arial" w:eastAsia="Arial" w:hAnsi="Arial"/>
                <w:sz w:val="18"/>
                <w:szCs w:val="18"/>
                <w:b w:val="1"/>
                <w:bCs w:val="1"/>
                <w:color w:val="auto"/>
              </w:rPr>
              <w:t>Intangible</w:t>
            </w:r>
          </w:p>
        </w:tc>
        <w:tc>
          <w:tcPr>
            <w:tcW w:w="12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Amount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assets, net</w:t>
            </w:r>
          </w:p>
        </w:tc>
      </w:tr>
      <w:tr>
        <w:trPr>
          <w:trHeight w:val="210"/>
        </w:trPr>
        <w:tc>
          <w:tcPr>
            <w:tcW w:w="362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Patents</w:t>
            </w: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5,894</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(1,893)</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4,001</w:t>
            </w:r>
          </w:p>
        </w:tc>
        <w:tc>
          <w:tcPr>
            <w:tcW w:w="120" w:type="dxa"/>
            <w:vAlign w:val="bottom"/>
            <w:tcBorders>
              <w:top w:val="single" w:sz="8" w:color="EEEEEE"/>
            </w:tcBorders>
            <w:shd w:val="clear" w:color="auto" w:fill="EEEEEE"/>
          </w:tcPr>
          <w:p>
            <w:pPr>
              <w:spacing w:after="0"/>
              <w:rPr>
                <w:sz w:val="18"/>
                <w:szCs w:val="18"/>
                <w:color w:val="auto"/>
              </w:rPr>
            </w:pPr>
          </w:p>
        </w:tc>
      </w:tr>
      <w:tr>
        <w:trPr>
          <w:trHeight w:val="230"/>
        </w:trPr>
        <w:tc>
          <w:tcPr>
            <w:tcW w:w="362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23"/>
        </w:trPr>
        <w:tc>
          <w:tcPr>
            <w:tcW w:w="362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Total intangible assets, net</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5,908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(1,904</w:t>
            </w:r>
          </w:p>
        </w:tc>
        <w:tc>
          <w:tcPr>
            <w:tcW w:w="340" w:type="dxa"/>
            <w:vAlign w:val="bottom"/>
            <w:tcBorders>
              <w:top w:val="single" w:sz="8" w:color="EEEEEE"/>
              <w:bottom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2015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6"/>
                <w:szCs w:val="16"/>
                <w:color w:val="auto"/>
              </w:rPr>
            </w:pPr>
          </w:p>
        </w:tc>
        <w:tc>
          <w:tcPr>
            <w:tcW w:w="1140" w:type="dxa"/>
            <w:vAlign w:val="bottom"/>
          </w:tcPr>
          <w:p>
            <w:pPr>
              <w:ind w:left="120"/>
              <w:spacing w:after="0" w:line="191" w:lineRule="exact"/>
              <w:rPr>
                <w:sz w:val="20"/>
                <w:szCs w:val="20"/>
                <w:color w:val="auto"/>
              </w:rPr>
            </w:pPr>
            <w:r>
              <w:rPr>
                <w:rFonts w:ascii="Arial" w:cs="Arial" w:eastAsia="Arial" w:hAnsi="Arial"/>
                <w:sz w:val="18"/>
                <w:szCs w:val="18"/>
                <w:b w:val="1"/>
                <w:bCs w:val="1"/>
                <w:color w:val="auto"/>
              </w:rPr>
              <w:t>Intangible</w:t>
            </w:r>
          </w:p>
        </w:tc>
        <w:tc>
          <w:tcPr>
            <w:tcW w:w="12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Amount</w:t>
            </w:r>
          </w:p>
        </w:tc>
        <w:tc>
          <w:tcPr>
            <w:tcW w:w="20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amortization</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assets, net</w:t>
            </w:r>
          </w:p>
        </w:tc>
      </w:tr>
      <w:tr>
        <w:trPr>
          <w:trHeight w:val="210"/>
        </w:trPr>
        <w:tc>
          <w:tcPr>
            <w:tcW w:w="362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Patents</w:t>
            </w: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5,446</w:t>
            </w: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(1,551)</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3,895</w:t>
            </w:r>
          </w:p>
        </w:tc>
        <w:tc>
          <w:tcPr>
            <w:tcW w:w="120" w:type="dxa"/>
            <w:vAlign w:val="bottom"/>
            <w:tcBorders>
              <w:top w:val="single" w:sz="8" w:color="EEEEEE"/>
            </w:tcBorders>
            <w:shd w:val="clear" w:color="auto" w:fill="EEEEEE"/>
          </w:tcPr>
          <w:p>
            <w:pPr>
              <w:spacing w:after="0"/>
              <w:rPr>
                <w:sz w:val="18"/>
                <w:szCs w:val="18"/>
                <w:color w:val="auto"/>
              </w:rPr>
            </w:pPr>
          </w:p>
        </w:tc>
      </w:tr>
      <w:tr>
        <w:trPr>
          <w:trHeight w:val="230"/>
        </w:trPr>
        <w:tc>
          <w:tcPr>
            <w:tcW w:w="362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23"/>
        </w:trPr>
        <w:tc>
          <w:tcPr>
            <w:tcW w:w="362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Total intangible assets, net</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5,460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(1,560</w:t>
            </w:r>
          </w:p>
        </w:tc>
        <w:tc>
          <w:tcPr>
            <w:tcW w:w="340" w:type="dxa"/>
            <w:vAlign w:val="bottom"/>
            <w:tcBorders>
              <w:top w:val="single" w:sz="8" w:color="EEEEEE"/>
              <w:bottom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For the three months ended September 30, 2016 and 2015, amortization expense for intangible assets, included in general and administrative expenses on the income statement, was $115,000 and $104,000, respectively. For the nine months ended September 30, 2016 and 2015, amortization expense for intangible assets, included in general and administrative expenses on the income statement, was $337,000 and $305,000,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weighted average amortization period for intangible assets is approximately 9 years.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Note 8.  Notes Payable and Long-Term Debt</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80" w:type="dxa"/>
            <w:vAlign w:val="bottom"/>
            <w:gridSpan w:val="3"/>
          </w:tcPr>
          <w:p>
            <w:pPr>
              <w:ind w:left="660"/>
              <w:spacing w:after="0"/>
              <w:rPr>
                <w:sz w:val="20"/>
                <w:szCs w:val="20"/>
                <w:color w:val="auto"/>
              </w:rPr>
            </w:pPr>
            <w:r>
              <w:rPr>
                <w:rFonts w:ascii="Arial" w:cs="Arial" w:eastAsia="Arial" w:hAnsi="Arial"/>
                <w:sz w:val="18"/>
                <w:szCs w:val="18"/>
                <w:color w:val="auto"/>
                <w:w w:val="96"/>
              </w:rPr>
              <w:t>Notes payable and long-term debt consisted of the following for the periods indicated (in thousands):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September 30, 2016</w:t>
            </w:r>
          </w:p>
        </w:tc>
        <w:tc>
          <w:tcPr>
            <w:tcW w:w="160" w:type="dxa"/>
            <w:vAlign w:val="bottom"/>
          </w:tcPr>
          <w:p>
            <w:pPr>
              <w:spacing w:after="0"/>
              <w:rPr>
                <w:sz w:val="24"/>
                <w:szCs w:val="24"/>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December 31, 2015</w:t>
            </w:r>
          </w:p>
        </w:tc>
        <w:tc>
          <w:tcPr>
            <w:tcW w:w="0" w:type="dxa"/>
            <w:vAlign w:val="bottom"/>
          </w:tcPr>
          <w:p>
            <w:pPr>
              <w:spacing w:after="0"/>
              <w:rPr>
                <w:sz w:val="1"/>
                <w:szCs w:val="1"/>
                <w:color w:val="auto"/>
              </w:rPr>
            </w:pPr>
          </w:p>
        </w:tc>
      </w:tr>
      <w:tr>
        <w:trPr>
          <w:trHeight w:val="182"/>
        </w:trPr>
        <w:tc>
          <w:tcPr>
            <w:tcW w:w="7780" w:type="dxa"/>
            <w:vAlign w:val="bottom"/>
            <w:tcBorders>
              <w:top w:val="single" w:sz="8" w:color="EEEEEE"/>
            </w:tcBorders>
            <w:gridSpan w:val="2"/>
            <w:shd w:val="clear" w:color="auto" w:fill="EEEEEE"/>
          </w:tcPr>
          <w:p>
            <w:pPr>
              <w:spacing w:after="0" w:line="182" w:lineRule="exact"/>
              <w:rPr>
                <w:sz w:val="20"/>
                <w:szCs w:val="20"/>
                <w:color w:val="auto"/>
              </w:rPr>
            </w:pPr>
            <w:r>
              <w:rPr>
                <w:rFonts w:ascii="Arial" w:cs="Arial" w:eastAsia="Arial" w:hAnsi="Arial"/>
                <w:sz w:val="18"/>
                <w:szCs w:val="18"/>
                <w:color w:val="auto"/>
                <w:w w:val="96"/>
              </w:rPr>
              <w:t>Revolving line of credit with a U.S. bank up to $40,000 with interest at LIBOR plus 2%, maturing June</w:t>
            </w:r>
          </w:p>
        </w:tc>
        <w:tc>
          <w:tcPr>
            <w:tcW w:w="600" w:type="dxa"/>
            <w:vAlign w:val="bottom"/>
            <w:tcBorders>
              <w:top w:val="single" w:sz="8" w:color="auto"/>
            </w:tcBorders>
            <w:shd w:val="clear" w:color="auto" w:fill="EEEEEE"/>
          </w:tcPr>
          <w:p>
            <w:pPr>
              <w:spacing w:after="0"/>
              <w:rPr>
                <w:sz w:val="15"/>
                <w:szCs w:val="15"/>
                <w:color w:val="auto"/>
              </w:rPr>
            </w:pPr>
          </w:p>
        </w:tc>
        <w:tc>
          <w:tcPr>
            <w:tcW w:w="100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540" w:type="dxa"/>
            <w:vAlign w:val="bottom"/>
            <w:tcBorders>
              <w:top w:val="single" w:sz="8" w:color="auto"/>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30, 2018</w:t>
            </w:r>
          </w:p>
        </w:tc>
        <w:tc>
          <w:tcPr>
            <w:tcW w:w="240" w:type="dxa"/>
            <w:vAlign w:val="bottom"/>
            <w:shd w:val="clear" w:color="auto" w:fill="EEEEEE"/>
          </w:tcPr>
          <w:p>
            <w:pPr>
              <w:spacing w:after="0"/>
              <w:rPr>
                <w:sz w:val="20"/>
                <w:szCs w:val="20"/>
                <w:color w:val="auto"/>
              </w:rPr>
            </w:pPr>
          </w:p>
        </w:tc>
        <w:tc>
          <w:tcPr>
            <w:tcW w:w="600" w:type="dxa"/>
            <w:vAlign w:val="bottom"/>
            <w:shd w:val="clear" w:color="auto" w:fill="EEEEEE"/>
          </w:tcPr>
          <w:p>
            <w:pPr>
              <w:jc w:val="right"/>
              <w:ind w:right="44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30,000</w:t>
            </w:r>
          </w:p>
        </w:tc>
        <w:tc>
          <w:tcPr>
            <w:tcW w:w="700" w:type="dxa"/>
            <w:vAlign w:val="bottom"/>
            <w:gridSpan w:val="2"/>
            <w:shd w:val="clear" w:color="auto" w:fill="EEEEEE"/>
          </w:tcPr>
          <w:p>
            <w:pPr>
              <w:jc w:val="right"/>
              <w:ind w:right="37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rPr>
              <w:t>Term loan with a U.S. bank with monthly payments of principal and interest at LIBOR plus 2%,</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100"/>
              <w:spacing w:after="0"/>
              <w:rPr>
                <w:sz w:val="20"/>
                <w:szCs w:val="20"/>
                <w:color w:val="auto"/>
              </w:rPr>
            </w:pPr>
            <w:r>
              <w:rPr>
                <w:rFonts w:ascii="Arial" w:cs="Arial" w:eastAsia="Arial" w:hAnsi="Arial"/>
                <w:sz w:val="18"/>
                <w:szCs w:val="18"/>
                <w:color w:val="auto"/>
              </w:rPr>
              <w:t>maturing July 31, 2019</w:t>
            </w:r>
          </w:p>
        </w:tc>
        <w:tc>
          <w:tcPr>
            <w:tcW w:w="6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3,208</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Term loan with a U.S. bank with monthly payments of principal and interest at LIBOR plus 2%,</w:t>
            </w:r>
          </w:p>
        </w:tc>
        <w:tc>
          <w:tcPr>
            <w:tcW w:w="6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maturing June 30, 2020</w:t>
            </w:r>
          </w:p>
        </w:tc>
        <w:tc>
          <w:tcPr>
            <w:tcW w:w="60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9,750</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w w:val="96"/>
              </w:rPr>
              <w:t>Construction loan with a U.S. bank with monthly payments of principal and interest at LIBOR plus 2%</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100"/>
              <w:spacing w:after="0"/>
              <w:rPr>
                <w:sz w:val="20"/>
                <w:szCs w:val="20"/>
                <w:color w:val="auto"/>
              </w:rPr>
            </w:pPr>
            <w:r>
              <w:rPr>
                <w:rFonts w:ascii="Arial" w:cs="Arial" w:eastAsia="Arial" w:hAnsi="Arial"/>
                <w:sz w:val="18"/>
                <w:szCs w:val="18"/>
                <w:color w:val="auto"/>
              </w:rPr>
              <w:t>maturing January 26, 2022</w:t>
            </w:r>
          </w:p>
        </w:tc>
        <w:tc>
          <w:tcPr>
            <w:tcW w:w="6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21,826</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6"/>
              </w:rPr>
              <w:t>Revolving line of credit with a Taiwan bank up to $10,333 with interest based on the bank's corporate</w:t>
            </w:r>
          </w:p>
        </w:tc>
        <w:tc>
          <w:tcPr>
            <w:tcW w:w="6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interest rate index plus 1.5%, or 1.70% maturing on November 30, 2016</w:t>
            </w:r>
          </w:p>
        </w:tc>
        <w:tc>
          <w:tcPr>
            <w:tcW w:w="60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6,303</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w w:val="99"/>
              </w:rPr>
              <w:t>Revolving line of credit with a Taiwan bank up to $6,600 with interest at Taiwan deposit index plus</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100"/>
              <w:spacing w:after="0"/>
              <w:rPr>
                <w:sz w:val="20"/>
                <w:szCs w:val="20"/>
                <w:color w:val="auto"/>
              </w:rPr>
            </w:pPr>
            <w:r>
              <w:rPr>
                <w:rFonts w:ascii="Arial" w:cs="Arial" w:eastAsia="Arial" w:hAnsi="Arial"/>
                <w:sz w:val="18"/>
                <w:szCs w:val="18"/>
                <w:color w:val="auto"/>
              </w:rPr>
              <w:t>0.41% or LIBOR plus 1.7% maturing on February 6, 2017</w:t>
            </w:r>
          </w:p>
        </w:tc>
        <w:tc>
          <w:tcPr>
            <w:tcW w:w="6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2,204</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6"/>
              </w:rPr>
              <w:t>Revolving line of credit with a Taiwan bank up to $6,000 with interest at Taiwan Time Deposit Interest</w:t>
            </w:r>
          </w:p>
        </w:tc>
        <w:tc>
          <w:tcPr>
            <w:tcW w:w="6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Rate Index plus 1% or LIBOR plus 1% maturing on November 27, 2016</w:t>
            </w:r>
          </w:p>
        </w:tc>
        <w:tc>
          <w:tcPr>
            <w:tcW w:w="60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1,983</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w w:val="97"/>
              </w:rPr>
              <w:t>Revolving line of credit with the Taiwan branch of a China bank up to $10,000 with interest at LIBOR</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100"/>
              <w:spacing w:after="0"/>
              <w:rPr>
                <w:sz w:val="20"/>
                <w:szCs w:val="20"/>
                <w:color w:val="auto"/>
              </w:rPr>
            </w:pPr>
            <w:r>
              <w:rPr>
                <w:rFonts w:ascii="Arial" w:cs="Arial" w:eastAsia="Arial" w:hAnsi="Arial"/>
                <w:sz w:val="18"/>
                <w:szCs w:val="18"/>
                <w:color w:val="auto"/>
              </w:rPr>
              <w:t>plus 1.5% or Taiwan Interbank Offered Rate plus 0.9% , maturing March 15, 2017</w:t>
            </w:r>
          </w:p>
        </w:tc>
        <w:tc>
          <w:tcPr>
            <w:tcW w:w="6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6,856</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9,418</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6"/>
              </w:rPr>
              <w:t>Note payable to a finance company due in monthly installments with 4.5% interest, maturing May 27,</w:t>
            </w:r>
          </w:p>
        </w:tc>
        <w:tc>
          <w:tcPr>
            <w:tcW w:w="6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2018 and June 30, 2018</w:t>
            </w:r>
          </w:p>
        </w:tc>
        <w:tc>
          <w:tcPr>
            <w:tcW w:w="60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3,521</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w w:val="96"/>
              </w:rPr>
              <w:t>Note payable to a finance company due in monthly installments with 4% interest, maturing March 31,</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0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6,642</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Revolving line of credit with a China bank up to $13,300 with interest of 3.15% for 3-month term</w:t>
            </w:r>
          </w:p>
        </w:tc>
        <w:tc>
          <w:tcPr>
            <w:tcW w:w="6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10"/>
        </w:trPr>
        <w:tc>
          <w:tcPr>
            <w:tcW w:w="77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Less current portion</w:t>
            </w:r>
          </w:p>
        </w:tc>
        <w:tc>
          <w:tcPr>
            <w:tcW w:w="6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(25,092)</w:t>
            </w:r>
          </w:p>
        </w:tc>
        <w:tc>
          <w:tcPr>
            <w:tcW w:w="1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(30,908)</w:t>
            </w:r>
          </w:p>
        </w:tc>
        <w:tc>
          <w:tcPr>
            <w:tcW w:w="0" w:type="dxa"/>
            <w:vAlign w:val="bottom"/>
          </w:tcPr>
          <w:p>
            <w:pPr>
              <w:spacing w:after="0"/>
              <w:rPr>
                <w:sz w:val="1"/>
                <w:szCs w:val="1"/>
                <w:color w:val="auto"/>
              </w:rPr>
            </w:pPr>
          </w:p>
        </w:tc>
      </w:tr>
      <w:tr>
        <w:trPr>
          <w:trHeight w:val="223"/>
        </w:trPr>
        <w:tc>
          <w:tcPr>
            <w:tcW w:w="7780" w:type="dxa"/>
            <w:vAlign w:val="bottom"/>
            <w:gridSpan w:val="2"/>
          </w:tcPr>
          <w:p>
            <w:pPr>
              <w:ind w:left="160"/>
              <w:spacing w:after="0"/>
              <w:rPr>
                <w:sz w:val="20"/>
                <w:szCs w:val="20"/>
                <w:color w:val="auto"/>
              </w:rPr>
            </w:pPr>
            <w:r>
              <w:rPr>
                <w:rFonts w:ascii="Arial" w:cs="Arial" w:eastAsia="Arial" w:hAnsi="Arial"/>
                <w:sz w:val="18"/>
                <w:szCs w:val="18"/>
                <w:color w:val="auto"/>
              </w:rPr>
              <w:t>Non-current portion</w:t>
            </w:r>
          </w:p>
        </w:tc>
        <w:tc>
          <w:tcPr>
            <w:tcW w:w="6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67,201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2540"/>
              <w:spacing w:after="0"/>
              <w:rPr>
                <w:sz w:val="20"/>
                <w:szCs w:val="20"/>
                <w:color w:val="auto"/>
              </w:rPr>
            </w:pPr>
            <w:r>
              <w:rPr>
                <w:rFonts w:ascii="Arial" w:cs="Arial" w:eastAsia="Arial" w:hAnsi="Arial"/>
                <w:sz w:val="18"/>
                <w:szCs w:val="18"/>
                <w:b w:val="1"/>
                <w:bCs w:val="1"/>
                <w:color w:val="auto"/>
              </w:rPr>
              <w:t>Bank Acceptance Notes Payable</w:t>
            </w: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540" w:type="dxa"/>
            <w:vAlign w:val="bottom"/>
            <w:tcBorders>
              <w:top w:val="single" w:sz="8" w:color="auto"/>
            </w:tcBorders>
            <w:shd w:val="clear" w:color="auto" w:fill="EEEEEE"/>
          </w:tcPr>
          <w:p>
            <w:pPr>
              <w:spacing w:after="0" w:line="195" w:lineRule="exact"/>
              <w:rPr>
                <w:sz w:val="20"/>
                <w:szCs w:val="20"/>
                <w:color w:val="auto"/>
              </w:rPr>
            </w:pPr>
            <w:r>
              <w:rPr>
                <w:rFonts w:ascii="Arial" w:cs="Arial" w:eastAsia="Arial" w:hAnsi="Arial"/>
                <w:sz w:val="18"/>
                <w:szCs w:val="18"/>
                <w:color w:val="auto"/>
                <w:w w:val="91"/>
              </w:rPr>
              <w:t>Bank acceptance notes issued to vendors with a zero percent interest rate, a 30% guarantee deposit of</w:t>
            </w:r>
          </w:p>
        </w:tc>
        <w:tc>
          <w:tcPr>
            <w:tcW w:w="240" w:type="dxa"/>
            <w:vAlign w:val="bottom"/>
            <w:tcBorders>
              <w:top w:val="single" w:sz="8" w:color="EEEEEE"/>
            </w:tcBorders>
            <w:shd w:val="clear" w:color="auto" w:fill="EEEEEE"/>
          </w:tcPr>
          <w:p>
            <w:pPr>
              <w:spacing w:after="0"/>
              <w:rPr>
                <w:sz w:val="16"/>
                <w:szCs w:val="16"/>
                <w:color w:val="auto"/>
              </w:rPr>
            </w:pPr>
          </w:p>
        </w:tc>
        <w:tc>
          <w:tcPr>
            <w:tcW w:w="600" w:type="dxa"/>
            <w:vAlign w:val="bottom"/>
            <w:tcBorders>
              <w:top w:val="single" w:sz="8" w:color="EEEEEE"/>
            </w:tcBorders>
            <w:shd w:val="clear" w:color="auto" w:fill="EEEEEE"/>
          </w:tcPr>
          <w:p>
            <w:pPr>
              <w:spacing w:after="0"/>
              <w:rPr>
                <w:sz w:val="16"/>
                <w:szCs w:val="16"/>
                <w:color w:val="auto"/>
              </w:rPr>
            </w:pPr>
          </w:p>
        </w:tc>
        <w:tc>
          <w:tcPr>
            <w:tcW w:w="1000" w:type="dxa"/>
            <w:vAlign w:val="bottom"/>
            <w:tcBorders>
              <w:top w:val="single" w:sz="8" w:color="EEEEEE"/>
            </w:tcBorders>
            <w:shd w:val="clear" w:color="auto" w:fill="EEEEEE"/>
          </w:tcPr>
          <w:p>
            <w:pPr>
              <w:spacing w:after="0"/>
              <w:rPr>
                <w:sz w:val="16"/>
                <w:szCs w:val="16"/>
                <w:color w:val="auto"/>
              </w:rPr>
            </w:pPr>
          </w:p>
        </w:tc>
        <w:tc>
          <w:tcPr>
            <w:tcW w:w="200" w:type="dxa"/>
            <w:vAlign w:val="bottom"/>
            <w:tcBorders>
              <w:top w:val="single" w:sz="8" w:color="EEEEEE"/>
            </w:tcBorders>
            <w:shd w:val="clear" w:color="auto" w:fill="EEEEEE"/>
          </w:tcPr>
          <w:p>
            <w:pPr>
              <w:spacing w:after="0"/>
              <w:rPr>
                <w:sz w:val="16"/>
                <w:szCs w:val="16"/>
                <w:color w:val="auto"/>
              </w:rPr>
            </w:pPr>
          </w:p>
        </w:tc>
        <w:tc>
          <w:tcPr>
            <w:tcW w:w="160" w:type="dxa"/>
            <w:vAlign w:val="bottom"/>
            <w:tcBorders>
              <w:top w:val="single" w:sz="8" w:color="EEEEEE"/>
            </w:tcBorders>
            <w:shd w:val="clear" w:color="auto" w:fill="EEEEEE"/>
          </w:tcPr>
          <w:p>
            <w:pPr>
              <w:spacing w:after="0"/>
              <w:rPr>
                <w:sz w:val="16"/>
                <w:szCs w:val="16"/>
                <w:color w:val="auto"/>
              </w:rPr>
            </w:pPr>
          </w:p>
        </w:tc>
        <w:tc>
          <w:tcPr>
            <w:tcW w:w="540" w:type="dxa"/>
            <w:vAlign w:val="bottom"/>
            <w:tcBorders>
              <w:top w:val="single" w:sz="8" w:color="EEEEEE"/>
            </w:tcBorders>
            <w:shd w:val="clear" w:color="auto" w:fill="EEEEEE"/>
          </w:tcPr>
          <w:p>
            <w:pPr>
              <w:spacing w:after="0"/>
              <w:rPr>
                <w:sz w:val="16"/>
                <w:szCs w:val="16"/>
                <w:color w:val="auto"/>
              </w:rPr>
            </w:pPr>
          </w:p>
        </w:tc>
        <w:tc>
          <w:tcPr>
            <w:tcW w:w="1040" w:type="dxa"/>
            <w:vAlign w:val="bottom"/>
            <w:tcBorders>
              <w:top w:val="single" w:sz="8" w:color="EEEEEE"/>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$730, and maturity dates ranging from October 2016 to January 2017</w:t>
            </w:r>
          </w:p>
        </w:tc>
        <w:tc>
          <w:tcPr>
            <w:tcW w:w="60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3,231</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September 30, 2016. The one-month London Interbank Offered Rate (LIBOR) was 0.4939% on September 30,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long-term debt are as follows for the future one-year periods ending September 30 (in thousands):</w:t>
      </w:r>
    </w:p>
    <w:p>
      <w:pPr>
        <w:spacing w:after="0" w:line="240"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6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2017</w:t>
            </w:r>
          </w:p>
        </w:tc>
        <w:tc>
          <w:tcPr>
            <w:tcW w:w="1900" w:type="dxa"/>
            <w:vAlign w:val="bottom"/>
            <w:gridSpan w:val="2"/>
            <w:shd w:val="clear" w:color="auto" w:fill="EEEEEE"/>
          </w:tcPr>
          <w:p>
            <w:pPr>
              <w:jc w:val="right"/>
              <w:ind w:right="4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25,092</w:t>
            </w:r>
          </w:p>
        </w:tc>
        <w:tc>
          <w:tcPr>
            <w:tcW w:w="140" w:type="dxa"/>
            <w:vAlign w:val="bottom"/>
            <w:shd w:val="clear" w:color="auto" w:fill="EEEEEE"/>
          </w:tcPr>
          <w:p>
            <w:pPr>
              <w:spacing w:after="0"/>
              <w:rPr>
                <w:sz w:val="18"/>
                <w:szCs w:val="18"/>
                <w:color w:val="auto"/>
              </w:rPr>
            </w:pP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2018</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8,137</w:t>
            </w:r>
          </w:p>
        </w:tc>
        <w:tc>
          <w:tcPr>
            <w:tcW w:w="140" w:type="dxa"/>
            <w:vAlign w:val="bottom"/>
          </w:tcPr>
          <w:p>
            <w:pPr>
              <w:spacing w:after="0"/>
              <w:rPr>
                <w:sz w:val="18"/>
                <w:szCs w:val="18"/>
                <w:color w:val="auto"/>
              </w:rPr>
            </w:pPr>
          </w:p>
        </w:tc>
      </w:tr>
      <w:tr>
        <w:trPr>
          <w:trHeight w:val="216"/>
        </w:trPr>
        <w:tc>
          <w:tcPr>
            <w:tcW w:w="26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2019</w:t>
            </w:r>
          </w:p>
        </w:tc>
        <w:tc>
          <w:tcPr>
            <w:tcW w:w="1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36,181</w:t>
            </w:r>
          </w:p>
        </w:tc>
        <w:tc>
          <w:tcPr>
            <w:tcW w:w="140" w:type="dxa"/>
            <w:vAlign w:val="bottom"/>
            <w:shd w:val="clear" w:color="auto" w:fill="EEEEEE"/>
          </w:tcPr>
          <w:p>
            <w:pPr>
              <w:spacing w:after="0"/>
              <w:rPr>
                <w:sz w:val="18"/>
                <w:szCs w:val="18"/>
                <w:color w:val="auto"/>
              </w:rPr>
            </w:pP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3,681</w:t>
            </w:r>
          </w:p>
        </w:tc>
        <w:tc>
          <w:tcPr>
            <w:tcW w:w="140" w:type="dxa"/>
            <w:vAlign w:val="bottom"/>
          </w:tcPr>
          <w:p>
            <w:pPr>
              <w:spacing w:after="0"/>
              <w:rPr>
                <w:sz w:val="18"/>
                <w:szCs w:val="18"/>
                <w:color w:val="auto"/>
              </w:rPr>
            </w:pPr>
          </w:p>
        </w:tc>
      </w:tr>
      <w:tr>
        <w:trPr>
          <w:trHeight w:val="216"/>
        </w:trPr>
        <w:tc>
          <w:tcPr>
            <w:tcW w:w="26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2021</w:t>
            </w:r>
          </w:p>
        </w:tc>
        <w:tc>
          <w:tcPr>
            <w:tcW w:w="1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EEEEEE"/>
          </w:tcPr>
          <w:p>
            <w:pPr>
              <w:spacing w:after="0"/>
              <w:rPr>
                <w:sz w:val="18"/>
                <w:szCs w:val="18"/>
                <w:color w:val="auto"/>
              </w:rPr>
            </w:pPr>
          </w:p>
        </w:tc>
      </w:tr>
      <w:tr>
        <w:trPr>
          <w:trHeight w:val="230"/>
        </w:trPr>
        <w:tc>
          <w:tcPr>
            <w:tcW w:w="2640" w:type="dxa"/>
            <w:vAlign w:val="bottom"/>
            <w:tcBorders>
              <w:bottom w:val="single" w:sz="8" w:color="EEEEEE"/>
            </w:tcBorders>
          </w:tcPr>
          <w:p>
            <w:pPr>
              <w:ind w:left="100"/>
              <w:spacing w:after="0"/>
              <w:rPr>
                <w:sz w:val="20"/>
                <w:szCs w:val="20"/>
                <w:color w:val="auto"/>
              </w:rPr>
            </w:pPr>
            <w:r>
              <w:rPr>
                <w:rFonts w:ascii="Arial" w:cs="Arial" w:eastAsia="Arial" w:hAnsi="Arial"/>
                <w:sz w:val="18"/>
                <w:szCs w:val="18"/>
                <w:color w:val="auto"/>
              </w:rPr>
              <w:t>2022 thereafter</w:t>
            </w:r>
          </w:p>
        </w:tc>
        <w:tc>
          <w:tcPr>
            <w:tcW w:w="130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18,502</w:t>
            </w:r>
          </w:p>
        </w:tc>
        <w:tc>
          <w:tcPr>
            <w:tcW w:w="140" w:type="dxa"/>
            <w:vAlign w:val="bottom"/>
            <w:tcBorders>
              <w:bottom w:val="single" w:sz="8" w:color="EEEEEE"/>
            </w:tcBorders>
          </w:tcPr>
          <w:p>
            <w:pPr>
              <w:spacing w:after="0"/>
              <w:rPr>
                <w:sz w:val="19"/>
                <w:szCs w:val="19"/>
                <w:color w:val="auto"/>
              </w:rPr>
            </w:pPr>
          </w:p>
        </w:tc>
      </w:tr>
      <w:tr>
        <w:trPr>
          <w:trHeight w:val="223"/>
        </w:trPr>
        <w:tc>
          <w:tcPr>
            <w:tcW w:w="264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Total outstanding</w:t>
            </w:r>
          </w:p>
        </w:tc>
        <w:tc>
          <w:tcPr>
            <w:tcW w:w="1300" w:type="dxa"/>
            <w:vAlign w:val="bottom"/>
            <w:tcBorders>
              <w:bottom w:val="single" w:sz="8" w:color="EEEEEE"/>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ind w:right="4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92,293</w:t>
            </w:r>
          </w:p>
        </w:tc>
        <w:tc>
          <w:tcPr>
            <w:tcW w:w="140" w:type="dxa"/>
            <w:vAlign w:val="bottom"/>
            <w:tcBorders>
              <w:bottom w:val="single" w:sz="8" w:color="EEEEEE"/>
            </w:tcBorders>
            <w:shd w:val="clear" w:color="auto" w:fill="EEEEEE"/>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ind w:right="120" w:firstLine="648"/>
        <w:spacing w:after="0" w:line="254" w:lineRule="auto"/>
        <w:rPr>
          <w:sz w:val="20"/>
          <w:szCs w:val="20"/>
          <w:color w:val="auto"/>
        </w:rPr>
      </w:pPr>
      <w:r>
        <w:rPr>
          <w:rFonts w:ascii="Arial" w:cs="Arial" w:eastAsia="Arial" w:hAnsi="Arial"/>
          <w:sz w:val="18"/>
          <w:szCs w:val="18"/>
          <w:color w:val="auto"/>
        </w:rPr>
        <w:t>On June 24, 2016, the Company entered into a First Amendment to its Credit Agreement with East West Bank and Comerica Bank (“First Amendment”), a second lien deed of trust, multiple security agreements and promissory notes evidencing two credit facilities and a term loan originally entered into on June 30, 2015. The First Amendment increased the Company’s revolving lines of credit from $25 million to $40 million, which mature on June 30, 2018, and retains a $10.0 million term loan maturing on June 30, 2020. The First Amendment also provides for an additional $10.0 million equipment term loan with a one year drawdown period commencing on April 1, 2016 and maturing five years from the closing date of the First Amendment. The interest rate on these loans was lowered by the First Amendment from the LIBOR Borrowing Rate plus 2.75% or 3.0% to LIBOR Borrowing Rate plus 2.0%. As of September 30, 2016, $30.0 million was outstanding under the revolving line of credit. As of September 30, 2016, $9.8 million was outstanding under the term loan.</w:t>
      </w:r>
    </w:p>
    <w:p>
      <w:pPr>
        <w:spacing w:after="0" w:line="19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also has a term loan with East West Bank of $5.0 million with monthly payments of principal and interest that matures on July 31, 2019. As of September 30, 2016, the outstanding balance was $3.2 million.</w:t>
      </w:r>
    </w:p>
    <w:p>
      <w:pPr>
        <w:spacing w:after="0" w:line="170"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June 24, 2016, the Company executed a Change in Terms Agreement, Notice of Final Agreement and Modification of the Construction Loan Agreement (“Modification Agreement”) to its Construction Loan Agreement with East West Bank for up to $22.0 million dollars to finance the construction of the Company’s campus expansion plan in Sugar Land, Texas, originally dated January 26, 2015. Upon signing the original Construction Loan Agreement, the Company deposited $11.0 million into a restricted bank account for owner’s contribution of construction costs. The Modification Agreement has a fifteen month draw down period with monthly interest payments commencing on February 26, 2015 and ending on July 31, 2016. Thereafter, the entire outstanding principal balance shall be converted to a sixty-six month term loan with principal and interest payments due monthly amortized over three hundred months. The first principal and interest payment commenced on August 26, 2016, and continue the same day of each month thereafter. The final principal and interest payment is due on January 26, 2022 and will include all unpaid principal and all accrued and unpaid interest. The Company may pay without penalty all or a portion of the amount owed earlier than due. Under the Construction Loan Agreement, the loan bears interest at an annual rate based on the one-month LIBOR Borrowing Rate plus 2.75%, and the interest rate is reduced to LIBOR Borrowing Rate plus 2.0% under the Modification Agreement. As of September 30, 2016, there was $21.8 million outstanding under this loan agreement and there was $0.8 million in the restricted bank account.</w:t>
      </w:r>
    </w:p>
    <w:p>
      <w:pPr>
        <w:spacing w:after="0" w:line="17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On September 27, 2016, the Company executed a Change in Terms Agreement, Notice of Final Agreement and Second Modification to the Construction Loan Agreement (“Second Modifications”) to its Construction Loan Agreement with East West Bank. The Second Modifications amends and restates in part the Company’s Promissory Note and Construction Loan Agreement which was originally executed on January 26, 2015, and the Modification Agreement. The draw down period end date, under the Second Modifications, is amended from July 31, 2016 to September 30, 2016. And thereafter, the entire outstanding principal balance shall be converted to a sixty-four (64) month term loan, amended from a sixty (66) month term loan, with principal and interest payments due monthly amortized over three hundred (300) months. The first principal and interest payment is due on October 26, 2016 and will continue on the same day of each month thereafter. The final principal and interest payment is due on January 26, 2022 and will include all unpaid principal and all accrued and unpaid interest. Except as expressly changed by the Second Modifications, the terms of the original obligation and Modification Agreement remain unchanged.</w:t>
      </w:r>
    </w:p>
    <w:p>
      <w:pPr>
        <w:spacing w:after="0" w:line="19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loan and security agreements with East West Bank and Comerica Bank require the Company to maintain certain financial covenants, including a minimum cash balance, a current ratio, a maximum leverage ratio and a minimum fixed charge coverage ratio. As of September 30, 2016, the Company was in compliance with all covenants contained in these agreements.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February 19, 2016, the Company’s Taiwan branch renewed and increased its credit facility originally dated January 6, 2015 with CTBC Bank Co. Ltd. in Taipei, Taiwan for 320 million New Taiwan dollars, or approximately $10.3 million, one year revolving credit facility. The obligations under the credit facility are unsecured up to $6.3 million; the remaining $4.0 million is available provided that the Company purchases the same amount of secured certificates of deposit with the bank. Borrowings under the credit facility bear interest at a rate based on the bank’s corporate interest rate index plus 1.5% for the unsecured portion of the credit facility and bank’s corporate interest rate index plus 0.93% for the secured portion of the credit facility, adjusted monthly. As of the execution of the credit facility, the bank’s corporate interest rate index is 0.71%. As of September 30, 2016, no balance was outstanding for the secured loan and $6.3 million was outstanding under this unsecured credit facility.</w:t>
      </w:r>
    </w:p>
    <w:p>
      <w:pPr>
        <w:spacing w:after="0" w:line="17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April 8, 2016, the Company’s Taiwan branch renewed its 90 million New Taiwan dollars, or approximately $2.6 million, and 120 million New Taiwan dollars, or approximately $4.0 million, one year revolving credit facilities, originally dated March 9, 2015, with E. Sun Commercial Bank Co., Ltd. in Taipei, Taiwan. Borrowings under the 90 million New Taiwan dollars credit facility will bear interest at a rate equal to the LIBOR plus 1.7% divided by</w:t>
      </w:r>
    </w:p>
    <w:p>
      <w:pPr>
        <w:ind w:right="60"/>
        <w:spacing w:after="0" w:line="273" w:lineRule="auto"/>
        <w:rPr>
          <w:sz w:val="20"/>
          <w:szCs w:val="20"/>
          <w:color w:val="auto"/>
        </w:rPr>
      </w:pPr>
      <w:r>
        <w:rPr>
          <w:rFonts w:ascii="Arial" w:cs="Arial" w:eastAsia="Arial" w:hAnsi="Arial"/>
          <w:sz w:val="17"/>
          <w:szCs w:val="17"/>
          <w:color w:val="auto"/>
        </w:rPr>
        <w:t>0.946. Borrowings under the 120 million New Taiwan dollars credit facility will bear interest at a rate equal to the bank’s personal monthly time deposit interest rate plus 0.480%. Any future borrowings under the 120 million New Taiwan dollars credit facility are available provided that the Company purchases certificates of deposit in amounts equal to the borrowing from the bank. As of September 30, 2016, no balance was outstanding under the 120 million New Taiwan dollars credit facility and $2.2 million was outstanding under the 90 million New Taiwan dollars credit facility.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 w:name="page15"/>
    <w:bookmarkEnd w:id="14"/>
    <w:p>
      <w:pPr>
        <w:ind w:right="20" w:firstLine="648"/>
        <w:spacing w:after="0" w:line="270" w:lineRule="auto"/>
        <w:rPr>
          <w:sz w:val="20"/>
          <w:szCs w:val="20"/>
          <w:color w:val="auto"/>
        </w:rPr>
      </w:pPr>
      <w:r>
        <w:rPr>
          <w:rFonts w:ascii="Arial" w:cs="Arial" w:eastAsia="Arial" w:hAnsi="Arial"/>
          <w:sz w:val="17"/>
          <w:szCs w:val="17"/>
          <w:color w:val="auto"/>
        </w:rPr>
        <w:t>On December 22, 2015, the Company’s Taiwan branch renewed its $4.0 million credit facility, originally dated December 20, 2013, and entered into a $2.0 million, one year revolving credit facility agreement with Mega International Commercial Bank (“Mega Bank”). Obligations under the $4.0 million credit facility are available provided that the Company purchases certificates of deposit in amounts equal to the borrowing from Mega Bank. Borrowings under the $4.0 million credit facility bear interest at a rate not less than the LIBOR borrowing rate plus 1.0%, divided by 0.946 for U.S. and other currency borrowings; New Taiwan dollars borrowings bear interest at a rate equal to the bank’s base lending rate plus 0.76%. Borrowings under the $2.0 million credit facility bear interest at a rate not less than the LIBOR borrowing rate plus 1.2%, divided by 0.946 for U.S. dollar borrowings; New Taiwan dollars borrowings bear interest at a rate equal to the bank’s base lending rate plus 0.76% but shall not be less than 1.90%; and other currency borrowings shall bear interest at a rate at the bank’s based lending rate plus 1.0%, divided by 0.946. As of September 30, 2016, $2.0 million was outstanding under the unsecured credit facility and no balance was outstanding under the $4.0 million credit facility.</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April 22, 2016, the Company’s Taiwan branch entered into a Comprehensive Credit Line Agreement originally dated April 1, 2015, with the Taipei branch of China Construction Bank, providing a revolving credit line of $10 million, maturing on March 15, 2017. Borrowings under the Comprehensive Credit Line Agreement are secured by a standby letter of credit issued by the China branch of the bank under existing agreements between the bank and the Company’s China subsidiary. Borrowings under the Comprehensive Credit Line Agreement reduce the amounts available under the existing credit line between the bank and the Company’s China subsidiary and cannot exceed 97% of the amount of the standby letter of credit issued by the China branch of the bank. Borrowings under the Comprehensive Credit Line Agreement bear interest at a rate negotiated separately for each drawing depending on the nature of the borrowings. As of September 30, 2016, $6.9 million was outstanding under this credit facility with interest rates at approximately 2.67%.</w:t>
      </w:r>
    </w:p>
    <w:p>
      <w:pPr>
        <w:spacing w:after="0" w:line="16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June 30, 2015, the Company’s Taiwan branch entered into a Purchase and Sale Contract and a Finance Lease Agreement with Chailease Finance Co, Ltd. (“Chailease”) in connection with certain equipment, structured as a sale lease-back transaction. Pursuant to the sale contract, the Company's Taiwan branch sold certain equipment to Chailease for a purchase price of 115,240,903 New Taiwan dollars, approximately $3.7 million, and simultaneously leased the equipment back from Chailease pursuant to the Finance Lease Agreement. The monthly lease payments range from 2,088,804 New Taiwan dollars, approximately $0.1 million, to 2,364,650 New Taiwan dollars, approximately $0.1 million, during the term of the Finance Lease Agreement, including an initial payment in an amount of 40,240,903 New Taiwan dollars, approximately $1.3 million. The Finance Lease Agreement has a three year term, with monthly payments, maturing on May 27 and June 30, 2018 respectively. The title to the equipment will be transferred to the Company’s Taiwan branch upon the expiration of the Finance Lease Agreement. As of September 30, 2016, $3.5 million was outstanding under this Finance Lease Agreement.</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March 31, 2016, the Company’s Taiwan branch entered into a Purchase and Sale Contract and a Finance Lease Agreement with Chailease in connection with certain equipment, structured as a sale lease-back transaction. Pursuant to the Purchase and Sale Contract, the Company’s Taiwan branch sold certain equipment to Chailease for a purchase price of 312,927,180 New Taiwan dollars, approximately $10.1 million, and simultaneously leased the equipment back from Chailease pursuant to the Finance Lease Agreement. The Finance Lease Agreement has a three 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the Company’s Taiwan branch upon the expiration of the Finance Lease Agreement. As of September 30, 2016, $6.6 million was outstanding under this Finance Lease Agreement.</w:t>
      </w:r>
    </w:p>
    <w:p>
      <w:pPr>
        <w:spacing w:after="0" w:line="19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As of September 30, 2016, the Company’s Chinese subsidiary had credit facilities with China Construction Bank totaling $13.3 million, which can be drawn in U.S. currency, RMB currency, issuing bank acceptance notes to vendors with different interest rates or issuing standby letters of credit. As of September 30, 2016, the Company’s Chinese subsidiary used $7.0 million of its credit facility and issued standby letters of credit as collateral for the Company’s Taiwan branch line of credit with China Construction Bank. As of September 30, 2016, the Company had no outstanding balance for the U.S. currency based loan. The outstanding balances of bank acceptance notes issued to vendors were $3.2 million with zero interest rate as of September 30, 2016.</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2016, the Company had $24.1 million of unused borrowing capacity.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2016, there was $4.9 million of restricted cash, investments or security deposit associated mainly with the loan facilities.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9.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2016</w:t>
            </w:r>
          </w:p>
        </w:tc>
        <w:tc>
          <w:tcPr>
            <w:tcW w:w="140" w:type="dxa"/>
            <w:vAlign w:val="bottom"/>
          </w:tcPr>
          <w:p>
            <w:pPr>
              <w:spacing w:after="0"/>
              <w:rPr>
                <w:sz w:val="20"/>
                <w:szCs w:val="20"/>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2015</w:t>
            </w:r>
          </w:p>
        </w:tc>
      </w:tr>
      <w:tr>
        <w:trPr>
          <w:trHeight w:val="210"/>
        </w:trPr>
        <w:tc>
          <w:tcPr>
            <w:tcW w:w="33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Accrued payroll</w:t>
            </w:r>
          </w:p>
        </w:tc>
        <w:tc>
          <w:tcPr>
            <w:tcW w:w="1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6,139</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6,757</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Accrued rent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939</w:t>
            </w: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792</w:t>
            </w: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Accrued employee benefits</w:t>
            </w:r>
          </w:p>
        </w:tc>
        <w:tc>
          <w:tcPr>
            <w:tcW w:w="1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1,526</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1,379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372</w:t>
            </w: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Accrued income taxes</w:t>
            </w:r>
          </w:p>
        </w:tc>
        <w:tc>
          <w:tcPr>
            <w:tcW w:w="1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Advance payments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1,258</w:t>
            </w: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Accrued product warranty</w:t>
            </w:r>
          </w:p>
        </w:tc>
        <w:tc>
          <w:tcPr>
            <w:tcW w:w="1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412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Accrued commission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Accrued professional fees</w:t>
            </w:r>
          </w:p>
        </w:tc>
        <w:tc>
          <w:tcPr>
            <w:tcW w:w="1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81</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Accrued other</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r>
      <w:tr>
        <w:trPr>
          <w:trHeight w:val="223"/>
        </w:trPr>
        <w:tc>
          <w:tcPr>
            <w:tcW w:w="334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11,316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11,506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4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Three months ended September 30,</w:t>
            </w:r>
          </w:p>
        </w:tc>
        <w:tc>
          <w:tcPr>
            <w:tcW w:w="140" w:type="dxa"/>
            <w:vAlign w:val="bottom"/>
          </w:tcPr>
          <w:p>
            <w:pPr>
              <w:spacing w:after="0"/>
              <w:rPr>
                <w:sz w:val="20"/>
                <w:szCs w:val="20"/>
                <w:color w:val="auto"/>
              </w:rPr>
            </w:pPr>
          </w:p>
        </w:tc>
        <w:tc>
          <w:tcPr>
            <w:tcW w:w="300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820" w:type="dxa"/>
            <w:vAlign w:val="bottom"/>
            <w:tcBorders>
              <w:bottom w:val="single" w:sz="8" w:color="EEEEEE"/>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Unrealized foreign exchange gain (loss)</w:t>
            </w:r>
          </w:p>
        </w:tc>
        <w:tc>
          <w:tcPr>
            <w:tcW w:w="880" w:type="dxa"/>
            <w:vAlign w:val="bottom"/>
            <w:shd w:val="clear" w:color="auto" w:fill="EEEEEE"/>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3,318</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(3,160)</w:t>
            </w: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3,686</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(2,270)</w:t>
            </w:r>
          </w:p>
        </w:tc>
        <w:tc>
          <w:tcPr>
            <w:tcW w:w="100" w:type="dxa"/>
            <w:vAlign w:val="bottom"/>
            <w:gridSpan w:val="2"/>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Realized foreign exchange gain (loss)</w:t>
            </w:r>
          </w:p>
        </w:tc>
        <w:tc>
          <w:tcPr>
            <w:tcW w:w="8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(3,387)</w:t>
            </w:r>
          </w:p>
        </w:tc>
        <w:tc>
          <w:tcPr>
            <w:tcW w:w="3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(4,300)</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Government subsidy income</w:t>
            </w: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non-operating gain</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Loss on disposal of assets</w:t>
            </w:r>
          </w:p>
        </w:tc>
        <w:tc>
          <w:tcPr>
            <w:tcW w:w="8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4820" w:type="dxa"/>
            <w:vAlign w:val="bottom"/>
          </w:tcPr>
          <w:p>
            <w:pPr>
              <w:spacing w:after="0"/>
              <w:rPr>
                <w:sz w:val="19"/>
                <w:szCs w:val="19"/>
                <w:color w:val="auto"/>
              </w:rPr>
            </w:pPr>
          </w:p>
        </w:tc>
        <w:tc>
          <w:tcPr>
            <w:tcW w:w="880" w:type="dxa"/>
            <w:vAlign w:val="bottom"/>
            <w:tcBorders>
              <w:top w:val="single" w:sz="8" w:color="auto"/>
            </w:tcBorders>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During the three and nine months ended September 30, 2016, $3.0 million of realized exchange loss was recognized when the company transferred assets and liabilities of its Taiwan branch office to Prime World International Holding Company, its wholly-owned subsidiary.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issued stock options, restricted stock awards (“RSAs”) and restricted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Average Share</w:t>
            </w: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Weighted</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Price on Date</w:t>
            </w: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Average Fair</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Exercise Price</w:t>
            </w:r>
          </w:p>
        </w:tc>
        <w:tc>
          <w:tcPr>
            <w:tcW w:w="12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of Exercise</w:t>
            </w: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Value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Life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7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at January 1, 2016</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9.07</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Outstanding at September 30,</w:t>
            </w: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1,220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740" w:type="dxa"/>
            <w:vAlign w:val="bottom"/>
          </w:tcPr>
          <w:p>
            <w:pPr>
              <w:ind w:left="200"/>
              <w:spacing w:after="0"/>
              <w:rPr>
                <w:sz w:val="20"/>
                <w:szCs w:val="20"/>
                <w:color w:val="auto"/>
              </w:rPr>
            </w:pPr>
            <w:r>
              <w:rPr>
                <w:rFonts w:ascii="Arial" w:cs="Arial" w:eastAsia="Arial" w:hAnsi="Arial"/>
                <w:sz w:val="18"/>
                <w:szCs w:val="18"/>
                <w:color w:val="auto"/>
              </w:rPr>
              <w:t>2016</w:t>
            </w:r>
          </w:p>
        </w:tc>
        <w:tc>
          <w:tcPr>
            <w:tcW w:w="120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4.76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15,839</w:t>
            </w:r>
          </w:p>
        </w:tc>
        <w:tc>
          <w:tcPr>
            <w:tcW w:w="0" w:type="dxa"/>
            <w:vAlign w:val="bottom"/>
          </w:tcPr>
          <w:p>
            <w:pPr>
              <w:spacing w:after="0"/>
              <w:rPr>
                <w:sz w:val="1"/>
                <w:szCs w:val="1"/>
                <w:color w:val="auto"/>
              </w:rPr>
            </w:pPr>
          </w:p>
        </w:tc>
      </w:tr>
      <w:tr>
        <w:trPr>
          <w:trHeight w:val="197"/>
        </w:trPr>
        <w:tc>
          <w:tcPr>
            <w:tcW w:w="2740" w:type="dxa"/>
            <w:vAlign w:val="bottom"/>
            <w:tcBorders>
              <w:top w:val="single" w:sz="8" w:color="EEEEEE"/>
              <w:bottom w:val="single" w:sz="8" w:color="EEEEEE"/>
            </w:tcBorders>
            <w:shd w:val="clear" w:color="auto" w:fill="EEEEEE"/>
          </w:tcPr>
          <w:p>
            <w:pPr>
              <w:spacing w:after="0" w:line="196" w:lineRule="exact"/>
              <w:rPr>
                <w:sz w:val="20"/>
                <w:szCs w:val="20"/>
                <w:color w:val="auto"/>
              </w:rPr>
            </w:pPr>
            <w:r>
              <w:rPr>
                <w:rFonts w:ascii="Arial" w:cs="Arial" w:eastAsia="Arial" w:hAnsi="Arial"/>
                <w:sz w:val="18"/>
                <w:szCs w:val="18"/>
                <w:color w:val="auto"/>
                <w:w w:val="96"/>
              </w:rPr>
              <w:t>Exercisable at September 30, 2016</w:t>
            </w:r>
          </w:p>
        </w:tc>
        <w:tc>
          <w:tcPr>
            <w:tcW w:w="11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965</w:t>
            </w:r>
          </w:p>
        </w:tc>
        <w:tc>
          <w:tcPr>
            <w:tcW w:w="20" w:type="dxa"/>
            <w:vAlign w:val="bottom"/>
            <w:tcBorders>
              <w:top w:val="single" w:sz="8" w:color="EEEEEE"/>
              <w:bottom w:val="single" w:sz="8" w:color="EEEEEE"/>
            </w:tcBorders>
            <w:shd w:val="clear" w:color="auto" w:fill="EEEEEE"/>
          </w:tcPr>
          <w:p>
            <w:pPr>
              <w:spacing w:after="0"/>
              <w:rPr>
                <w:sz w:val="17"/>
                <w:szCs w:val="17"/>
                <w:color w:val="auto"/>
              </w:rPr>
            </w:pP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160" w:type="dxa"/>
            <w:vAlign w:val="bottom"/>
            <w:tcBorders>
              <w:top w:val="single" w:sz="8" w:color="EEEEEE"/>
              <w:bottom w:val="single" w:sz="8" w:color="EEEEEE"/>
            </w:tcBorders>
            <w:shd w:val="clear" w:color="auto" w:fill="EEEEEE"/>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EEEEEE"/>
              <w:bottom w:val="single" w:sz="8" w:color="EEEEEE"/>
            </w:tcBorders>
            <w:gridSpan w:val="2"/>
            <w:shd w:val="clear" w:color="auto" w:fill="EEEEEE"/>
          </w:tcPr>
          <w:p>
            <w:pPr>
              <w:jc w:val="right"/>
              <w:ind w:right="360"/>
              <w:spacing w:after="0" w:line="196" w:lineRule="exact"/>
              <w:rPr>
                <w:sz w:val="20"/>
                <w:szCs w:val="20"/>
                <w:color w:val="auto"/>
              </w:rPr>
            </w:pPr>
            <w:r>
              <w:rPr>
                <w:rFonts w:ascii="Arial" w:cs="Arial" w:eastAsia="Arial" w:hAnsi="Arial"/>
                <w:sz w:val="18"/>
                <w:szCs w:val="18"/>
                <w:color w:val="auto"/>
              </w:rPr>
              <w:t>8.99</w:t>
            </w:r>
          </w:p>
        </w:tc>
        <w:tc>
          <w:tcPr>
            <w:tcW w:w="120" w:type="dxa"/>
            <w:vAlign w:val="bottom"/>
            <w:tcBorders>
              <w:top w:val="single" w:sz="8" w:color="EEEEEE"/>
              <w:bottom w:val="single" w:sz="8" w:color="EEEEEE"/>
            </w:tcBorders>
            <w:shd w:val="clear" w:color="auto" w:fill="EEEEEE"/>
          </w:tcPr>
          <w:p>
            <w:pPr>
              <w:spacing w:after="0"/>
              <w:rPr>
                <w:sz w:val="17"/>
                <w:szCs w:val="17"/>
                <w:color w:val="auto"/>
              </w:rPr>
            </w:pPr>
          </w:p>
        </w:tc>
        <w:tc>
          <w:tcPr>
            <w:tcW w:w="1040" w:type="dxa"/>
            <w:vAlign w:val="bottom"/>
            <w:tcBorders>
              <w:top w:val="single" w:sz="8" w:color="EEEEEE"/>
              <w:bottom w:val="single" w:sz="8" w:color="EEEEEE"/>
            </w:tcBorders>
            <w:shd w:val="clear" w:color="auto" w:fill="EEEEEE"/>
          </w:tcPr>
          <w:p>
            <w:pPr>
              <w:spacing w:after="0"/>
              <w:rPr>
                <w:sz w:val="17"/>
                <w:szCs w:val="17"/>
                <w:color w:val="auto"/>
              </w:rPr>
            </w:pP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140" w:type="dxa"/>
            <w:vAlign w:val="bottom"/>
            <w:tcBorders>
              <w:top w:val="single" w:sz="8" w:color="EEEEEE"/>
              <w:bottom w:val="single" w:sz="8" w:color="EEEEEE"/>
            </w:tcBorders>
            <w:shd w:val="clear" w:color="auto" w:fill="EEEEEE"/>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EEEEEE"/>
              <w:bottom w:val="single" w:sz="8" w:color="EEEEEE"/>
            </w:tcBorders>
            <w:gridSpan w:val="2"/>
            <w:shd w:val="clear" w:color="auto" w:fill="EEEEEE"/>
          </w:tcPr>
          <w:p>
            <w:pPr>
              <w:jc w:val="right"/>
              <w:ind w:right="320"/>
              <w:spacing w:after="0" w:line="196" w:lineRule="exact"/>
              <w:rPr>
                <w:sz w:val="20"/>
                <w:szCs w:val="20"/>
                <w:color w:val="auto"/>
              </w:rPr>
            </w:pPr>
            <w:r>
              <w:rPr>
                <w:rFonts w:ascii="Arial" w:cs="Arial" w:eastAsia="Arial" w:hAnsi="Arial"/>
                <w:sz w:val="18"/>
                <w:szCs w:val="18"/>
                <w:color w:val="auto"/>
              </w:rPr>
              <w:t>4.60</w:t>
            </w:r>
          </w:p>
        </w:tc>
        <w:tc>
          <w:tcPr>
            <w:tcW w:w="1300" w:type="dxa"/>
            <w:vAlign w:val="bottom"/>
            <w:tcBorders>
              <w:top w:val="single" w:sz="8" w:color="EEEEEE"/>
              <w:bottom w:val="single" w:sz="8" w:color="EEEEEE"/>
            </w:tcBorders>
            <w:gridSpan w:val="2"/>
            <w:shd w:val="clear" w:color="auto" w:fill="EEEEEE"/>
          </w:tcPr>
          <w:p>
            <w:pPr>
              <w:jc w:val="right"/>
              <w:ind w:right="160"/>
              <w:spacing w:after="0" w:line="196" w:lineRule="exact"/>
              <w:rPr>
                <w:sz w:val="20"/>
                <w:szCs w:val="20"/>
                <w:color w:val="auto"/>
              </w:rPr>
            </w:pPr>
            <w:r>
              <w:rPr>
                <w:rFonts w:ascii="Arial" w:cs="Arial" w:eastAsia="Arial" w:hAnsi="Arial"/>
                <w:sz w:val="18"/>
                <w:szCs w:val="18"/>
                <w:color w:val="auto"/>
              </w:rPr>
              <w:t>6.460</w:t>
            </w:r>
          </w:p>
        </w:tc>
        <w:tc>
          <w:tcPr>
            <w:tcW w:w="280" w:type="dxa"/>
            <w:vAlign w:val="bottom"/>
            <w:tcBorders>
              <w:top w:val="single" w:sz="8" w:color="EEEEEE"/>
              <w:bottom w:val="single" w:sz="8" w:color="EEEEEE"/>
            </w:tcBorders>
            <w:gridSpan w:val="2"/>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EEEEEE"/>
              <w:bottom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12,762</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Vested and expected to vest</w:t>
            </w: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4.75</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6.555</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15,686</w:t>
            </w:r>
          </w:p>
        </w:tc>
        <w:tc>
          <w:tcPr>
            <w:tcW w:w="0" w:type="dxa"/>
            <w:vAlign w:val="bottom"/>
          </w:tcPr>
          <w:p>
            <w:pPr>
              <w:spacing w:after="0" w:line="20" w:lineRule="exact"/>
              <w:rPr>
                <w:sz w:val="1"/>
                <w:szCs w:val="1"/>
                <w:color w:val="auto"/>
              </w:rPr>
            </w:pPr>
          </w:p>
        </w:tc>
      </w:tr>
      <w:tr>
        <w:trPr>
          <w:trHeight w:val="197"/>
        </w:trPr>
        <w:tc>
          <w:tcPr>
            <w:tcW w:w="274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1,207</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of September 30, 2016, there was approximately $1.2 million of unrecognized stock option expense, net of estimated forfeitures, which is expected to be recognized over 1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Price on Date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Average Fair</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Number of shares</w:t>
            </w:r>
          </w:p>
        </w:tc>
        <w:tc>
          <w:tcPr>
            <w:tcW w:w="12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Release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482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Outstanding at January 1, 2016</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11.20</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Released</w:t>
            </w:r>
          </w:p>
        </w:tc>
        <w:tc>
          <w:tcPr>
            <w:tcW w:w="17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13.34</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Cancelled/Forfeited</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482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Outstanding at September 30, 2016</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26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300" w:type="dxa"/>
            <w:vAlign w:val="bottom"/>
            <w:tcBorders>
              <w:top w:val="single" w:sz="8" w:color="EEEEEE"/>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EEEEEE"/>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14.81</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11,620</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60"/>
              <w:spacing w:after="0"/>
              <w:rPr>
                <w:sz w:val="20"/>
                <w:szCs w:val="20"/>
                <w:color w:val="auto"/>
              </w:rPr>
            </w:pPr>
            <w:r>
              <w:rPr>
                <w:rFonts w:ascii="Arial" w:cs="Arial" w:eastAsia="Arial" w:hAnsi="Arial"/>
                <w:sz w:val="18"/>
                <w:szCs w:val="18"/>
                <w:color w:val="auto"/>
              </w:rPr>
              <w:t>Exercisable at September 30, 2016</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11.41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EEEEEE"/>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34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260" w:type="dxa"/>
            <w:vAlign w:val="bottom"/>
            <w:tcBorders>
              <w:bottom w:val="single" w:sz="8" w:color="EEEEEE"/>
            </w:tcBorders>
          </w:tcPr>
          <w:p>
            <w:pPr>
              <w:spacing w:after="0"/>
              <w:rPr>
                <w:sz w:val="20"/>
                <w:szCs w:val="20"/>
                <w:color w:val="auto"/>
              </w:rPr>
            </w:pPr>
          </w:p>
        </w:tc>
        <w:tc>
          <w:tcPr>
            <w:tcW w:w="180" w:type="dxa"/>
            <w:vAlign w:val="bottom"/>
            <w:tcBorders>
              <w:bottom w:val="single" w:sz="8" w:color="EEEEEE"/>
            </w:tcBorders>
          </w:tcPr>
          <w:p>
            <w:pPr>
              <w:spacing w:after="0"/>
              <w:rPr>
                <w:sz w:val="20"/>
                <w:szCs w:val="20"/>
                <w:color w:val="auto"/>
              </w:rPr>
            </w:pPr>
          </w:p>
        </w:tc>
        <w:tc>
          <w:tcPr>
            <w:tcW w:w="300" w:type="dxa"/>
            <w:vAlign w:val="bottom"/>
            <w:tcBorders>
              <w:bottom w:val="single" w:sz="8" w:color="EEEEEE"/>
            </w:tcBorders>
            <w:gridSpan w:val="2"/>
            <w:vMerge w:val="continue"/>
          </w:tcPr>
          <w:p>
            <w:pPr>
              <w:spacing w:after="0"/>
              <w:rPr>
                <w:sz w:val="20"/>
                <w:szCs w:val="20"/>
                <w:color w:val="auto"/>
              </w:rPr>
            </w:pPr>
          </w:p>
        </w:tc>
        <w:tc>
          <w:tcPr>
            <w:tcW w:w="1560" w:type="dxa"/>
            <w:vAlign w:val="bottom"/>
            <w:tcBorders>
              <w:bottom w:val="single" w:sz="8" w:color="EEEEEE"/>
            </w:tcBorders>
            <w:gridSpan w:val="2"/>
            <w:vMerge w:val="continue"/>
          </w:tcPr>
          <w:p>
            <w:pPr>
              <w:spacing w:after="0"/>
              <w:rPr>
                <w:sz w:val="20"/>
                <w:szCs w:val="20"/>
                <w:color w:val="auto"/>
              </w:rPr>
            </w:pPr>
          </w:p>
        </w:tc>
        <w:tc>
          <w:tcPr>
            <w:tcW w:w="100" w:type="dxa"/>
            <w:vAlign w:val="bottom"/>
            <w:tcBorders>
              <w:bottom w:val="single" w:sz="8" w:color="EEEEEE"/>
            </w:tcBorders>
            <w:vMerge w:val="continue"/>
          </w:tcPr>
          <w:p>
            <w:pPr>
              <w:spacing w:after="0"/>
              <w:rPr>
                <w:sz w:val="20"/>
                <w:szCs w:val="20"/>
                <w:color w:val="auto"/>
              </w:rPr>
            </w:pPr>
          </w:p>
        </w:tc>
        <w:tc>
          <w:tcPr>
            <w:tcW w:w="1360" w:type="dxa"/>
            <w:vAlign w:val="bottom"/>
            <w:tcBorders>
              <w:bottom w:val="single" w:sz="8" w:color="EEEEEE"/>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20" w:type="dxa"/>
            <w:vAlign w:val="bottom"/>
            <w:tcBorders>
              <w:bottom w:val="single" w:sz="8" w:color="EEEEEE"/>
            </w:tcBorders>
            <w:shd w:val="clear" w:color="auto" w:fill="EEEEEE"/>
          </w:tcPr>
          <w:p>
            <w:pPr>
              <w:ind w:left="160"/>
              <w:spacing w:after="0" w:line="196" w:lineRule="exact"/>
              <w:rPr>
                <w:sz w:val="20"/>
                <w:szCs w:val="20"/>
                <w:color w:val="auto"/>
              </w:rPr>
            </w:pPr>
            <w:r>
              <w:rPr>
                <w:rFonts w:ascii="Arial" w:cs="Arial" w:eastAsia="Arial" w:hAnsi="Arial"/>
                <w:sz w:val="18"/>
                <w:szCs w:val="18"/>
                <w:color w:val="auto"/>
              </w:rPr>
              <w:t>Vested and expected to vest</w:t>
            </w:r>
          </w:p>
        </w:tc>
        <w:tc>
          <w:tcPr>
            <w:tcW w:w="138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504</w:t>
            </w:r>
          </w:p>
        </w:tc>
        <w:tc>
          <w:tcPr>
            <w:tcW w:w="34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2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EEEEEE"/>
            </w:tcBorders>
            <w:gridSpan w:val="2"/>
            <w:shd w:val="clear" w:color="auto" w:fill="EEEEEE"/>
          </w:tcPr>
          <w:p>
            <w:pPr>
              <w:jc w:val="right"/>
              <w:ind w:right="320"/>
              <w:spacing w:after="0" w:line="196" w:lineRule="exact"/>
              <w:rPr>
                <w:sz w:val="20"/>
                <w:szCs w:val="20"/>
                <w:color w:val="auto"/>
              </w:rPr>
            </w:pPr>
            <w:r>
              <w:rPr>
                <w:rFonts w:ascii="Arial" w:cs="Arial" w:eastAsia="Arial" w:hAnsi="Arial"/>
                <w:sz w:val="18"/>
                <w:szCs w:val="18"/>
                <w:color w:val="auto"/>
              </w:rPr>
              <w:t>14.80</w:t>
            </w:r>
          </w:p>
        </w:tc>
        <w:tc>
          <w:tcPr>
            <w:tcW w:w="100" w:type="dxa"/>
            <w:vAlign w:val="bottom"/>
            <w:tcBorders>
              <w:bottom w:val="single" w:sz="8" w:color="EEEEEE"/>
            </w:tcBorders>
            <w:shd w:val="clear" w:color="auto" w:fill="EEEEEE"/>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11,199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September 30, 2016, there was $6.9 million of unrecognized compensation expense related to these RSUs and RSAs. This expense is expected to be recognized over 3.12 years.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Share-Based Compensation</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7"/>
          </w:tcPr>
          <w:p>
            <w:pPr>
              <w:ind w:left="660"/>
              <w:spacing w:after="0"/>
              <w:rPr>
                <w:sz w:val="20"/>
                <w:szCs w:val="20"/>
                <w:color w:val="auto"/>
              </w:rPr>
            </w:pPr>
            <w:r>
              <w:rPr>
                <w:rFonts w:ascii="Arial" w:cs="Arial" w:eastAsia="Arial" w:hAnsi="Arial"/>
                <w:sz w:val="18"/>
                <w:szCs w:val="18"/>
                <w:color w:val="auto"/>
                <w:w w:val="92"/>
              </w:rPr>
              <w:t>Employee share-based compensation expenses recognized for the periods indicated (in thousands):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20" w:type="dxa"/>
            <w:vAlign w:val="bottom"/>
          </w:tcPr>
          <w:p>
            <w:pPr>
              <w:spacing w:after="0"/>
              <w:rPr>
                <w:sz w:val="24"/>
                <w:szCs w:val="24"/>
                <w:color w:val="auto"/>
              </w:rPr>
            </w:pPr>
          </w:p>
        </w:tc>
        <w:tc>
          <w:tcPr>
            <w:tcW w:w="328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4"/>
              </w:rPr>
              <w:t>Three months ended September 30,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6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EEEEEE"/>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Share-Based compensation - by expense type</w:t>
            </w: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00"/>
              <w:spacing w:after="0"/>
              <w:rPr>
                <w:sz w:val="20"/>
                <w:szCs w:val="20"/>
                <w:color w:val="auto"/>
              </w:rPr>
            </w:pPr>
            <w:r>
              <w:rPr>
                <w:rFonts w:ascii="Arial" w:cs="Arial" w:eastAsia="Arial" w:hAnsi="Arial"/>
                <w:sz w:val="18"/>
                <w:szCs w:val="18"/>
                <w:color w:val="auto"/>
              </w:rPr>
              <w:t>Cost of sales</w:t>
            </w:r>
          </w:p>
        </w:tc>
        <w:tc>
          <w:tcPr>
            <w:tcW w:w="940" w:type="dxa"/>
            <w:vAlign w:val="bottom"/>
          </w:tcPr>
          <w:p>
            <w:pPr>
              <w:jc w:val="right"/>
              <w:ind w:right="77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820" w:type="dxa"/>
            <w:vAlign w:val="bottom"/>
          </w:tcPr>
          <w:p>
            <w:pPr>
              <w:ind w:left="30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732</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1,989</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63"/>
        </w:trPr>
        <w:tc>
          <w:tcPr>
            <w:tcW w:w="4820" w:type="dxa"/>
            <w:vAlign w:val="bottom"/>
            <w:tcBorders>
              <w:bottom w:val="single" w:sz="8" w:color="EEEEEE"/>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1,047</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32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8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328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7"/>
              </w:rPr>
              <w:t>Three months ended September 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5"/>
          </w:tcPr>
          <w:p>
            <w:pPr>
              <w:ind w:left="12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23"/>
        </w:trPr>
        <w:tc>
          <w:tcPr>
            <w:tcW w:w="4820" w:type="dxa"/>
            <w:vAlign w:val="bottom"/>
            <w:vMerge w:val="restart"/>
          </w:tcPr>
          <w:p>
            <w:pPr>
              <w:spacing w:after="0"/>
              <w:rPr>
                <w:sz w:val="20"/>
                <w:szCs w:val="20"/>
                <w:color w:val="auto"/>
              </w:rPr>
            </w:pPr>
            <w:r>
              <w:rPr>
                <w:rFonts w:ascii="Arial" w:cs="Arial" w:eastAsia="Arial" w:hAnsi="Arial"/>
                <w:sz w:val="18"/>
                <w:szCs w:val="18"/>
                <w:color w:val="auto"/>
              </w:rPr>
              <w:t>Share-Based compensation - by award type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Employee stock options</w:t>
            </w:r>
          </w:p>
        </w:tc>
        <w:tc>
          <w:tcPr>
            <w:tcW w:w="940" w:type="dxa"/>
            <w:vAlign w:val="bottom"/>
            <w:shd w:val="clear" w:color="auto" w:fill="EEEEEE"/>
          </w:tcPr>
          <w:p>
            <w:pPr>
              <w:jc w:val="right"/>
              <w:ind w:right="77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388</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1,111</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4820" w:type="dxa"/>
            <w:vAlign w:val="bottom"/>
          </w:tcPr>
          <w:p>
            <w:pPr>
              <w:ind w:left="300"/>
              <w:spacing w:after="0"/>
              <w:rPr>
                <w:sz w:val="20"/>
                <w:szCs w:val="20"/>
                <w:color w:val="auto"/>
              </w:rPr>
            </w:pPr>
            <w:r>
              <w:rPr>
                <w:rFonts w:ascii="Arial" w:cs="Arial" w:eastAsia="Arial" w:hAnsi="Arial"/>
                <w:sz w:val="18"/>
                <w:szCs w:val="18"/>
                <w:color w:val="auto"/>
              </w:rPr>
              <w:t>Restricted stock units/awards</w:t>
            </w:r>
          </w:p>
        </w:tc>
        <w:tc>
          <w:tcPr>
            <w:tcW w:w="94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1,719</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ind w:right="77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3"/>
              </w:rPr>
              <w:t>1,047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2,830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has authorized the issuance of up to 45,000,000 shares of common stock, all of which have been designated voting common stock, under its Amended and Restated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has authorized the issuance of up to 5,000,000 shares of preferred stock under the Company’s Amended and Restated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June 3, 2015, the Company filed a Securities Registration Statement on Form S-3 (the “Form S-3”) with the Securities and Exchange Commission effective June 23, 2015, providing for the public offer and sale of certain securities of the Company from time to time, at its discretion, up to an aggregate amount of $140 million. In connection with the Company’s Form S-3, the Company entered into an Equity Distribution Agreement with Raymond James &amp; Associates, Inc. (the “sales agent”) pursuant to which the Company may issue and sell shares of the Company’s stock having an aggregate offering price of up to $40 million (the “ATM Offering”) from time to time through the sales agent. The Company completed its ATM Offering in August 2015 and sold 1.9 million shares at a weighted average price of $21.54 per share, providing proceeds of $38.6 million, net of expenses and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13. Geographic Information</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1"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8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4"/>
              </w:rPr>
              <w:t>Three months ended September 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6"/>
          </w:tcPr>
          <w:p>
            <w:pPr>
              <w:ind w:left="6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23"/>
        </w:trPr>
        <w:tc>
          <w:tcPr>
            <w:tcW w:w="48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EEEEEE"/>
          </w:tcPr>
          <w:p>
            <w:pPr>
              <w:jc w:val="right"/>
              <w:ind w:right="71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7,277</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5,218</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15,314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13,295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00"/>
              <w:spacing w:after="0"/>
              <w:rPr>
                <w:sz w:val="20"/>
                <w:szCs w:val="20"/>
                <w:color w:val="auto"/>
              </w:rPr>
            </w:pPr>
            <w:r>
              <w:rPr>
                <w:rFonts w:ascii="Arial" w:cs="Arial" w:eastAsia="Arial" w:hAnsi="Arial"/>
                <w:sz w:val="18"/>
                <w:szCs w:val="18"/>
                <w:color w:val="auto"/>
              </w:rPr>
              <w:t>Taiwan</w:t>
            </w:r>
          </w:p>
        </w:tc>
        <w:tc>
          <w:tcPr>
            <w:tcW w:w="8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44,723</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43,220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126,991</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97,802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China</w:t>
            </w:r>
          </w:p>
        </w:tc>
        <w:tc>
          <w:tcPr>
            <w:tcW w:w="8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18,137</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8,647</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33,508</w:t>
            </w: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25,854</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70,137</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175,813</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5"/>
          </w:tcPr>
          <w:p>
            <w:pPr>
              <w:jc w:val="right"/>
              <w:ind w:right="4120"/>
              <w:spacing w:after="0"/>
              <w:rPr>
                <w:sz w:val="20"/>
                <w:szCs w:val="20"/>
                <w:color w:val="auto"/>
              </w:rPr>
            </w:pPr>
            <w:r>
              <w:rPr>
                <w:rFonts w:ascii="Arial" w:cs="Arial" w:eastAsia="Arial" w:hAnsi="Arial"/>
                <w:sz w:val="18"/>
                <w:szCs w:val="18"/>
                <w:b w:val="1"/>
                <w:bCs w:val="1"/>
                <w:color w:val="auto"/>
              </w:rPr>
              <w:t>As of the period ended</w:t>
            </w:r>
          </w:p>
        </w:tc>
      </w:tr>
      <w:tr>
        <w:trPr>
          <w:trHeight w:val="223"/>
        </w:trPr>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3500" w:type="dxa"/>
            <w:vAlign w:val="bottom"/>
          </w:tcPr>
          <w:p>
            <w:pPr>
              <w:spacing w:after="0"/>
              <w:rPr>
                <w:sz w:val="19"/>
                <w:szCs w:val="19"/>
                <w:color w:val="auto"/>
              </w:rPr>
            </w:pPr>
          </w:p>
        </w:tc>
      </w:tr>
      <w:tr>
        <w:trPr>
          <w:trHeight w:val="210"/>
        </w:trPr>
        <w:tc>
          <w:tcPr>
            <w:tcW w:w="48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500" w:type="dxa"/>
            <w:vAlign w:val="bottom"/>
            <w:tcBorders>
              <w:bottom w:val="single" w:sz="8" w:color="EEEEEE"/>
            </w:tcBorders>
          </w:tcPr>
          <w:p>
            <w:pPr>
              <w:spacing w:after="0"/>
              <w:rPr>
                <w:sz w:val="18"/>
                <w:szCs w:val="18"/>
                <w:color w:val="auto"/>
              </w:rPr>
            </w:pPr>
          </w:p>
        </w:tc>
      </w:tr>
      <w:tr>
        <w:trPr>
          <w:trHeight w:val="21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Long-lived assets:</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500" w:type="dxa"/>
            <w:vAlign w:val="bottom"/>
            <w:shd w:val="clear" w:color="auto" w:fill="EEEEEE"/>
          </w:tcPr>
          <w:p>
            <w:pPr>
              <w:spacing w:after="0"/>
              <w:rPr>
                <w:sz w:val="18"/>
                <w:szCs w:val="18"/>
                <w:color w:val="auto"/>
              </w:rPr>
            </w:pPr>
          </w:p>
        </w:tc>
      </w:tr>
      <w:tr>
        <w:trPr>
          <w:trHeight w:val="216"/>
        </w:trPr>
        <w:tc>
          <w:tcPr>
            <w:tcW w:w="482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61,891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760" w:type="dxa"/>
            <w:vAlign w:val="bottom"/>
            <w:gridSpan w:val="2"/>
          </w:tcPr>
          <w:p>
            <w:pPr>
              <w:jc w:val="right"/>
              <w:ind w:right="3500"/>
              <w:spacing w:after="0"/>
              <w:rPr>
                <w:sz w:val="20"/>
                <w:szCs w:val="20"/>
                <w:color w:val="auto"/>
              </w:rPr>
            </w:pPr>
            <w:r>
              <w:rPr>
                <w:rFonts w:ascii="Arial" w:cs="Arial" w:eastAsia="Arial" w:hAnsi="Arial"/>
                <w:sz w:val="18"/>
                <w:szCs w:val="18"/>
                <w:color w:val="auto"/>
              </w:rPr>
              <w:t>44,280</w:t>
            </w:r>
          </w:p>
        </w:tc>
      </w:tr>
      <w:tr>
        <w:trPr>
          <w:trHeight w:val="216"/>
        </w:trPr>
        <w:tc>
          <w:tcPr>
            <w:tcW w:w="48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Taiwan</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51,629</w:t>
            </w:r>
          </w:p>
        </w:tc>
        <w:tc>
          <w:tcPr>
            <w:tcW w:w="120" w:type="dxa"/>
            <w:vAlign w:val="bottom"/>
            <w:shd w:val="clear" w:color="auto" w:fill="EEEEEE"/>
          </w:tcPr>
          <w:p>
            <w:pPr>
              <w:spacing w:after="0"/>
              <w:rPr>
                <w:sz w:val="18"/>
                <w:szCs w:val="18"/>
                <w:color w:val="auto"/>
              </w:rPr>
            </w:pPr>
          </w:p>
        </w:tc>
        <w:tc>
          <w:tcPr>
            <w:tcW w:w="4760" w:type="dxa"/>
            <w:vAlign w:val="bottom"/>
            <w:gridSpan w:val="2"/>
            <w:shd w:val="clear" w:color="auto" w:fill="EEEEEE"/>
          </w:tcPr>
          <w:p>
            <w:pPr>
              <w:jc w:val="right"/>
              <w:ind w:right="3500"/>
              <w:spacing w:after="0"/>
              <w:rPr>
                <w:sz w:val="20"/>
                <w:szCs w:val="20"/>
                <w:color w:val="auto"/>
              </w:rPr>
            </w:pPr>
            <w:r>
              <w:rPr>
                <w:rFonts w:ascii="Arial" w:cs="Arial" w:eastAsia="Arial" w:hAnsi="Arial"/>
                <w:sz w:val="18"/>
                <w:szCs w:val="18"/>
                <w:color w:val="auto"/>
              </w:rPr>
              <w:t>45,420</w:t>
            </w:r>
          </w:p>
        </w:tc>
      </w:tr>
      <w:tr>
        <w:trPr>
          <w:trHeight w:val="230"/>
        </w:trPr>
        <w:tc>
          <w:tcPr>
            <w:tcW w:w="4820" w:type="dxa"/>
            <w:vAlign w:val="bottom"/>
          </w:tcPr>
          <w:p>
            <w:pPr>
              <w:ind w:left="300"/>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31,814</w:t>
            </w:r>
          </w:p>
        </w:tc>
        <w:tc>
          <w:tcPr>
            <w:tcW w:w="120" w:type="dxa"/>
            <w:vAlign w:val="bottom"/>
          </w:tcPr>
          <w:p>
            <w:pPr>
              <w:spacing w:after="0"/>
              <w:rPr>
                <w:sz w:val="19"/>
                <w:szCs w:val="19"/>
                <w:color w:val="auto"/>
              </w:rPr>
            </w:pPr>
          </w:p>
        </w:tc>
        <w:tc>
          <w:tcPr>
            <w:tcW w:w="4760" w:type="dxa"/>
            <w:vAlign w:val="bottom"/>
            <w:gridSpan w:val="2"/>
          </w:tcPr>
          <w:p>
            <w:pPr>
              <w:jc w:val="right"/>
              <w:ind w:right="3500"/>
              <w:spacing w:after="0"/>
              <w:rPr>
                <w:sz w:val="20"/>
                <w:szCs w:val="20"/>
                <w:color w:val="auto"/>
              </w:rPr>
            </w:pPr>
            <w:r>
              <w:rPr>
                <w:rFonts w:ascii="Arial" w:cs="Arial" w:eastAsia="Arial" w:hAnsi="Arial"/>
                <w:sz w:val="18"/>
                <w:szCs w:val="18"/>
                <w:color w:val="auto"/>
              </w:rPr>
              <w:t>24,753</w:t>
            </w:r>
          </w:p>
        </w:tc>
      </w:tr>
      <w:tr>
        <w:trPr>
          <w:trHeight w:val="223"/>
        </w:trPr>
        <w:tc>
          <w:tcPr>
            <w:tcW w:w="48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145,334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114,453</w:t>
            </w:r>
          </w:p>
        </w:tc>
        <w:tc>
          <w:tcPr>
            <w:tcW w:w="35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October 17, 2016, the Company filed a Registration Statement on Form S-3 with the Securities and Exchange Commission, effective November 1, 2016, providing for the public offer and sale of certain securities of the Company from time to time, at its discretion, up to an aggregate amount of $250 million.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condensed consolidated financial statements and the related notes thereto included elsewhere in this Quarterly Report on Form 10-Q for the period ended September 30, 2016 and the audited consolidated financial statements and notes thereto and management’s discussion and analysis of financial condition and results of operations for the fiscal year ended December 31, 2015 included in our Annual Report on Form 10-K. References to “Applied Optoelectronics” “we,” “our” and “us” are to Applied Optoelectronics, Inc. and its subsidiaries unless otherwise specified or the context otherwise requires.</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8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are a leading, vertically integrated provider of fiber-optic networking products, primarily for four networking end-markets: internet data center, cable television, or CATV, fiber-to-the-home, or FTTH, and telecommunication, or telecom.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four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 way to deliver the desired bandwidth.</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ind w:right="140" w:firstLine="648"/>
        <w:spacing w:after="0" w:line="288"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partnered with our manufacturing locations and we have an additional research and development center in Lawrenceville, Georgia. In our Sugar Land facility, we manufacture laser chips (utilizing our MBE process),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telecom,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manufacturing facility conducts testing on the components, modules or subsystems it manufactures and each such facility is certified to ISO 9001:2008. Our facilities in Ningbo, China, Taipei, Taiwan, and Sugar Land, TX are all certified to ISO 14001:2004.</w:t>
      </w:r>
    </w:p>
    <w:p>
      <w:pPr>
        <w:spacing w:after="0" w:line="16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CATV, FTTH, telecom and internet data center customers. Throughout our sales cycle, we work closely with our customers to achieve design wins that we believe provide long-lasting relationships and promote higher customer retention.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executive offices are located at 13139 Jess Pirtle Blvd., Sugar Land, TX 77478, and our telephone number is (281) 295-1800.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w:t>
            </w:r>
          </w:p>
        </w:tc>
        <w:tc>
          <w:tcPr>
            <w:tcW w:w="21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1"/>
              </w:rPr>
              <w:t>Three months ended September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1"/>
              </w:rPr>
              <w:t>Nine months ended September</w:t>
            </w:r>
          </w:p>
        </w:tc>
        <w:tc>
          <w:tcPr>
            <w:tcW w:w="216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Nine months ended September</w:t>
            </w:r>
          </w:p>
        </w:tc>
      </w:tr>
      <w:tr>
        <w:trPr>
          <w:trHeight w:val="171"/>
        </w:trPr>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60" w:type="dxa"/>
            <w:vAlign w:val="bottom"/>
            <w:tcBorders>
              <w:bottom w:val="single" w:sz="8" w:color="EEEEEE"/>
            </w:tcBorders>
          </w:tcPr>
          <w:p>
            <w:pPr>
              <w:spacing w:after="0"/>
              <w:rPr>
                <w:sz w:val="12"/>
                <w:szCs w:val="12"/>
                <w:color w:val="auto"/>
              </w:rPr>
            </w:pPr>
          </w:p>
        </w:tc>
        <w:tc>
          <w:tcPr>
            <w:tcW w:w="360" w:type="dxa"/>
            <w:vAlign w:val="bottom"/>
            <w:tcBorders>
              <w:bottom w:val="single" w:sz="8" w:color="EEEEEE"/>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color w:val="auto"/>
              </w:rPr>
              <w:t>2016</w:t>
            </w: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EEEEEE"/>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color w:val="auto"/>
              </w:rPr>
              <w:t>2015</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120" w:type="dxa"/>
            <w:vAlign w:val="bottom"/>
            <w:tcBorders>
              <w:bottom w:val="single" w:sz="8" w:color="EEEEEE"/>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r>
      <w:tr>
        <w:trPr>
          <w:trHeight w:val="142"/>
        </w:trPr>
        <w:tc>
          <w:tcPr>
            <w:tcW w:w="2060" w:type="dxa"/>
            <w:vAlign w:val="bottom"/>
            <w:shd w:val="clear" w:color="auto" w:fill="EEEEEE"/>
          </w:tcPr>
          <w:p>
            <w:pPr>
              <w:spacing w:after="0" w:line="142" w:lineRule="exact"/>
              <w:rPr>
                <w:sz w:val="20"/>
                <w:szCs w:val="20"/>
                <w:color w:val="auto"/>
              </w:rPr>
            </w:pPr>
            <w:r>
              <w:rPr>
                <w:rFonts w:ascii="Arial" w:cs="Arial" w:eastAsia="Arial" w:hAnsi="Arial"/>
                <w:sz w:val="14"/>
                <w:szCs w:val="14"/>
                <w:color w:val="auto"/>
              </w:rPr>
              <w:t>Revenue, net</w:t>
            </w: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EEEEEE"/>
          </w:tcPr>
          <w:p>
            <w:pPr>
              <w:jc w:val="right"/>
              <w:ind w:right="240"/>
              <w:spacing w:after="0" w:line="142" w:lineRule="exact"/>
              <w:rPr>
                <w:sz w:val="20"/>
                <w:szCs w:val="20"/>
                <w:color w:val="auto"/>
              </w:rPr>
            </w:pPr>
            <w:r>
              <w:rPr>
                <w:rFonts w:ascii="Arial" w:cs="Arial" w:eastAsia="Arial" w:hAnsi="Arial"/>
                <w:sz w:val="14"/>
                <w:szCs w:val="14"/>
                <w:color w:val="auto"/>
              </w:rPr>
              <w:t>70,137</w:t>
            </w:r>
          </w:p>
        </w:tc>
        <w:tc>
          <w:tcPr>
            <w:tcW w:w="260" w:type="dxa"/>
            <w:vAlign w:val="bottom"/>
            <w:shd w:val="clear" w:color="auto" w:fill="EEEEEE"/>
          </w:tcPr>
          <w:p>
            <w:pPr>
              <w:spacing w:after="0"/>
              <w:rPr>
                <w:sz w:val="12"/>
                <w:szCs w:val="12"/>
                <w:color w:val="auto"/>
              </w:rPr>
            </w:pPr>
          </w:p>
        </w:tc>
        <w:tc>
          <w:tcPr>
            <w:tcW w:w="68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100.0%</w:t>
            </w:r>
          </w:p>
        </w:tc>
        <w:tc>
          <w:tcPr>
            <w:tcW w:w="240" w:type="dxa"/>
            <w:vAlign w:val="bottom"/>
            <w:shd w:val="clear" w:color="auto" w:fill="EEEEEE"/>
          </w:tcPr>
          <w:p>
            <w:pPr>
              <w:spacing w:after="0"/>
              <w:rPr>
                <w:sz w:val="12"/>
                <w:szCs w:val="12"/>
                <w:color w:val="auto"/>
              </w:rPr>
            </w:pPr>
          </w:p>
        </w:tc>
        <w:tc>
          <w:tcPr>
            <w:tcW w:w="280" w:type="dxa"/>
            <w:vAlign w:val="bottom"/>
            <w:shd w:val="clear" w:color="auto" w:fill="EEEEEE"/>
          </w:tcPr>
          <w:p>
            <w:pPr>
              <w:jc w:val="right"/>
              <w:ind w:right="16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57,085</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100.0%</w:t>
            </w: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175,813</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100.0%</w:t>
            </w: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jc w:val="right"/>
              <w:ind w:right="142"/>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EEEEEE"/>
          </w:tcPr>
          <w:p>
            <w:pPr>
              <w:jc w:val="right"/>
              <w:ind w:right="200"/>
              <w:spacing w:after="0" w:line="142" w:lineRule="exact"/>
              <w:rPr>
                <w:sz w:val="20"/>
                <w:szCs w:val="20"/>
                <w:color w:val="auto"/>
              </w:rPr>
            </w:pPr>
            <w:r>
              <w:rPr>
                <w:rFonts w:ascii="Arial" w:cs="Arial" w:eastAsia="Arial" w:hAnsi="Arial"/>
                <w:sz w:val="14"/>
                <w:szCs w:val="14"/>
                <w:color w:val="auto"/>
              </w:rPr>
              <w:t>136,951</w:t>
            </w:r>
          </w:p>
        </w:tc>
        <w:tc>
          <w:tcPr>
            <w:tcW w:w="240" w:type="dxa"/>
            <w:vAlign w:val="bottom"/>
            <w:shd w:val="clear" w:color="auto" w:fill="EEEEEE"/>
          </w:tcPr>
          <w:p>
            <w:pPr>
              <w:spacing w:after="0"/>
              <w:rPr>
                <w:sz w:val="12"/>
                <w:szCs w:val="12"/>
                <w:color w:val="auto"/>
              </w:rPr>
            </w:pPr>
          </w:p>
        </w:tc>
        <w:tc>
          <w:tcPr>
            <w:tcW w:w="68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100.0%</w:t>
            </w:r>
          </w:p>
        </w:tc>
        <w:tc>
          <w:tcPr>
            <w:tcW w:w="100" w:type="dxa"/>
            <w:vAlign w:val="bottom"/>
            <w:shd w:val="clear" w:color="auto" w:fill="EEEEEE"/>
          </w:tcPr>
          <w:p>
            <w:pPr>
              <w:spacing w:after="0"/>
              <w:rPr>
                <w:sz w:val="12"/>
                <w:szCs w:val="12"/>
                <w:color w:val="auto"/>
              </w:rPr>
            </w:pP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Cost of goods sold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46,976</w:t>
            </w:r>
          </w:p>
        </w:tc>
        <w:tc>
          <w:tcPr>
            <w:tcW w:w="2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67.0%</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39,032</w:t>
            </w:r>
          </w:p>
        </w:tc>
        <w:tc>
          <w:tcPr>
            <w:tcW w:w="2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121,097</w:t>
            </w:r>
          </w:p>
        </w:tc>
        <w:tc>
          <w:tcPr>
            <w:tcW w:w="2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68.9%</w:t>
            </w:r>
          </w:p>
        </w:tc>
        <w:tc>
          <w:tcPr>
            <w:tcW w:w="3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92,116</w:t>
            </w:r>
          </w:p>
        </w:tc>
        <w:tc>
          <w:tcPr>
            <w:tcW w:w="2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67.3%</w:t>
            </w:r>
          </w:p>
        </w:tc>
      </w:tr>
      <w:tr>
        <w:trPr>
          <w:trHeight w:val="142"/>
        </w:trPr>
        <w:tc>
          <w:tcPr>
            <w:tcW w:w="206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Gross profit</w:t>
            </w:r>
          </w:p>
        </w:tc>
        <w:tc>
          <w:tcPr>
            <w:tcW w:w="36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bottom w:val="single" w:sz="8" w:color="auto"/>
            </w:tcBorders>
            <w:shd w:val="clear" w:color="auto" w:fill="EEEEEE"/>
          </w:tcPr>
          <w:p>
            <w:pPr>
              <w:spacing w:after="0"/>
              <w:rPr>
                <w:sz w:val="12"/>
                <w:szCs w:val="12"/>
                <w:color w:val="auto"/>
              </w:rPr>
            </w:pPr>
          </w:p>
        </w:tc>
        <w:tc>
          <w:tcPr>
            <w:tcW w:w="8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23,161</w:t>
            </w:r>
          </w:p>
        </w:tc>
        <w:tc>
          <w:tcPr>
            <w:tcW w:w="240" w:type="dxa"/>
            <w:vAlign w:val="bottom"/>
            <w:tcBorders>
              <w:top w:val="single" w:sz="8" w:color="EEEEEE"/>
            </w:tcBorders>
            <w:shd w:val="clear" w:color="auto" w:fill="EEEEEE"/>
          </w:tcPr>
          <w:p>
            <w:pPr>
              <w:spacing w:after="0"/>
              <w:rPr>
                <w:sz w:val="12"/>
                <w:szCs w:val="12"/>
                <w:color w:val="auto"/>
              </w:rPr>
            </w:pPr>
          </w:p>
        </w:tc>
        <w:tc>
          <w:tcPr>
            <w:tcW w:w="260" w:type="dxa"/>
            <w:vAlign w:val="bottom"/>
            <w:tcBorders>
              <w:top w:val="single" w:sz="8" w:color="auto"/>
              <w:bottom w:val="single" w:sz="8" w:color="auto"/>
            </w:tcBorders>
            <w:shd w:val="clear" w:color="auto" w:fill="EEEEEE"/>
          </w:tcPr>
          <w:p>
            <w:pPr>
              <w:spacing w:after="0"/>
              <w:rPr>
                <w:sz w:val="12"/>
                <w:szCs w:val="12"/>
                <w:color w:val="auto"/>
              </w:rPr>
            </w:pPr>
          </w:p>
        </w:tc>
        <w:tc>
          <w:tcPr>
            <w:tcW w:w="68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33.0%</w:t>
            </w:r>
          </w:p>
        </w:tc>
        <w:tc>
          <w:tcPr>
            <w:tcW w:w="240" w:type="dxa"/>
            <w:vAlign w:val="bottom"/>
            <w:tcBorders>
              <w:top w:val="single" w:sz="8" w:color="EEEEEE"/>
            </w:tcBorders>
            <w:shd w:val="clear" w:color="auto" w:fill="EEEEEE"/>
          </w:tcPr>
          <w:p>
            <w:pPr>
              <w:spacing w:after="0"/>
              <w:rPr>
                <w:sz w:val="12"/>
                <w:szCs w:val="12"/>
                <w:color w:val="auto"/>
              </w:rPr>
            </w:pPr>
          </w:p>
        </w:tc>
        <w:tc>
          <w:tcPr>
            <w:tcW w:w="280" w:type="dxa"/>
            <w:vAlign w:val="bottom"/>
            <w:tcBorders>
              <w:top w:val="single" w:sz="8" w:color="auto"/>
              <w:bottom w:val="single" w:sz="8" w:color="auto"/>
            </w:tcBorders>
            <w:shd w:val="clear" w:color="auto" w:fill="EEEEEE"/>
          </w:tcPr>
          <w:p>
            <w:pPr>
              <w:spacing w:after="0"/>
              <w:rPr>
                <w:sz w:val="12"/>
                <w:szCs w:val="12"/>
                <w:color w:val="auto"/>
              </w:rPr>
            </w:pPr>
          </w:p>
        </w:tc>
        <w:tc>
          <w:tcPr>
            <w:tcW w:w="62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18,053</w:t>
            </w:r>
          </w:p>
        </w:tc>
        <w:tc>
          <w:tcPr>
            <w:tcW w:w="22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bottom w:val="single" w:sz="8" w:color="auto"/>
            </w:tcBorders>
            <w:shd w:val="clear" w:color="auto" w:fill="EEEEEE"/>
          </w:tcPr>
          <w:p>
            <w:pPr>
              <w:spacing w:after="0"/>
              <w:rPr>
                <w:sz w:val="12"/>
                <w:szCs w:val="12"/>
                <w:color w:val="auto"/>
              </w:rPr>
            </w:pPr>
          </w:p>
        </w:tc>
        <w:tc>
          <w:tcPr>
            <w:tcW w:w="6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31.6%</w:t>
            </w:r>
          </w:p>
        </w:tc>
        <w:tc>
          <w:tcPr>
            <w:tcW w:w="10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60" w:type="dxa"/>
            <w:vAlign w:val="bottom"/>
            <w:tcBorders>
              <w:top w:val="single" w:sz="8" w:color="auto"/>
              <w:bottom w:val="single" w:sz="8" w:color="auto"/>
            </w:tcBorders>
            <w:shd w:val="clear" w:color="auto" w:fill="EEEEEE"/>
          </w:tcPr>
          <w:p>
            <w:pPr>
              <w:spacing w:after="0"/>
              <w:rPr>
                <w:sz w:val="12"/>
                <w:szCs w:val="12"/>
                <w:color w:val="auto"/>
              </w:rPr>
            </w:pPr>
          </w:p>
        </w:tc>
        <w:tc>
          <w:tcPr>
            <w:tcW w:w="8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54,716</w:t>
            </w:r>
          </w:p>
        </w:tc>
        <w:tc>
          <w:tcPr>
            <w:tcW w:w="22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bottom w:val="single" w:sz="8" w:color="auto"/>
            </w:tcBorders>
            <w:shd w:val="clear" w:color="auto" w:fill="EEEEEE"/>
          </w:tcPr>
          <w:p>
            <w:pPr>
              <w:spacing w:after="0"/>
              <w:rPr>
                <w:sz w:val="12"/>
                <w:szCs w:val="12"/>
                <w:color w:val="auto"/>
              </w:rPr>
            </w:pPr>
          </w:p>
        </w:tc>
        <w:tc>
          <w:tcPr>
            <w:tcW w:w="6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31.1%</w:t>
            </w:r>
          </w:p>
        </w:tc>
        <w:tc>
          <w:tcPr>
            <w:tcW w:w="220" w:type="dxa"/>
            <w:vAlign w:val="bottom"/>
            <w:tcBorders>
              <w:top w:val="single" w:sz="8" w:color="EEEEEE"/>
            </w:tcBorders>
            <w:shd w:val="clear" w:color="auto" w:fill="EEEEEE"/>
          </w:tcPr>
          <w:p>
            <w:pPr>
              <w:spacing w:after="0"/>
              <w:rPr>
                <w:sz w:val="12"/>
                <w:szCs w:val="12"/>
                <w:color w:val="auto"/>
              </w:rPr>
            </w:pPr>
          </w:p>
        </w:tc>
        <w:tc>
          <w:tcPr>
            <w:tcW w:w="300" w:type="dxa"/>
            <w:vAlign w:val="bottom"/>
            <w:tcBorders>
              <w:top w:val="single" w:sz="8" w:color="auto"/>
              <w:bottom w:val="single" w:sz="8" w:color="auto"/>
            </w:tcBorders>
            <w:shd w:val="clear" w:color="auto" w:fill="EEEEEE"/>
          </w:tcPr>
          <w:p>
            <w:pPr>
              <w:spacing w:after="0"/>
              <w:rPr>
                <w:sz w:val="12"/>
                <w:szCs w:val="12"/>
                <w:color w:val="auto"/>
              </w:rPr>
            </w:pPr>
          </w:p>
        </w:tc>
        <w:tc>
          <w:tcPr>
            <w:tcW w:w="6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44,835</w:t>
            </w:r>
          </w:p>
        </w:tc>
        <w:tc>
          <w:tcPr>
            <w:tcW w:w="20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bottom w:val="single" w:sz="8" w:color="auto"/>
            </w:tcBorders>
            <w:shd w:val="clear" w:color="auto" w:fill="EEEEEE"/>
          </w:tcPr>
          <w:p>
            <w:pPr>
              <w:spacing w:after="0"/>
              <w:rPr>
                <w:sz w:val="12"/>
                <w:szCs w:val="12"/>
                <w:color w:val="auto"/>
              </w:rPr>
            </w:pPr>
          </w:p>
        </w:tc>
        <w:tc>
          <w:tcPr>
            <w:tcW w:w="68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32.7%</w:t>
            </w:r>
          </w:p>
        </w:tc>
        <w:tc>
          <w:tcPr>
            <w:tcW w:w="100" w:type="dxa"/>
            <w:vAlign w:val="bottom"/>
            <w:tcBorders>
              <w:top w:val="single" w:sz="8" w:color="EEEEEE"/>
            </w:tcBorders>
            <w:shd w:val="clear" w:color="auto" w:fill="EEEEEE"/>
          </w:tcPr>
          <w:p>
            <w:pPr>
              <w:spacing w:after="0"/>
              <w:rPr>
                <w:sz w:val="12"/>
                <w:szCs w:val="12"/>
                <w:color w:val="auto"/>
              </w:rPr>
            </w:pPr>
          </w:p>
        </w:tc>
      </w:tr>
      <w:tr>
        <w:trPr>
          <w:trHeight w:val="142"/>
        </w:trPr>
        <w:tc>
          <w:tcPr>
            <w:tcW w:w="2060" w:type="dxa"/>
            <w:vAlign w:val="bottom"/>
          </w:tcPr>
          <w:p>
            <w:pPr>
              <w:spacing w:after="0" w:line="142" w:lineRule="exact"/>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10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8,362</w:t>
            </w:r>
          </w:p>
        </w:tc>
        <w:tc>
          <w:tcPr>
            <w:tcW w:w="26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11.9%</w:t>
            </w:r>
          </w:p>
        </w:tc>
        <w:tc>
          <w:tcPr>
            <w:tcW w:w="2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5,386</w:t>
            </w:r>
          </w:p>
        </w:tc>
        <w:tc>
          <w:tcPr>
            <w:tcW w:w="24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24,572</w:t>
            </w:r>
          </w:p>
        </w:tc>
        <w:tc>
          <w:tcPr>
            <w:tcW w:w="24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13.9%</w:t>
            </w:r>
          </w:p>
        </w:tc>
        <w:tc>
          <w:tcPr>
            <w:tcW w:w="30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14,892</w:t>
            </w:r>
          </w:p>
        </w:tc>
        <w:tc>
          <w:tcPr>
            <w:tcW w:w="2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10.9%</w:t>
            </w: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1,594</w:t>
            </w:r>
          </w:p>
        </w:tc>
        <w:tc>
          <w:tcPr>
            <w:tcW w:w="2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2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1,582</w:t>
            </w:r>
          </w:p>
        </w:tc>
        <w:tc>
          <w:tcPr>
            <w:tcW w:w="2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4,884</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3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4,748</w:t>
            </w:r>
          </w:p>
        </w:tc>
        <w:tc>
          <w:tcPr>
            <w:tcW w:w="2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w:t>
            </w:r>
          </w:p>
        </w:tc>
      </w:tr>
      <w:tr>
        <w:trPr>
          <w:trHeight w:val="162"/>
        </w:trPr>
        <w:tc>
          <w:tcPr>
            <w:tcW w:w="2060" w:type="dxa"/>
            <w:vAlign w:val="bottom"/>
            <w:shd w:val="clear" w:color="auto" w:fill="EEEEEE"/>
          </w:tcPr>
          <w:p>
            <w:pPr>
              <w:spacing w:after="0"/>
              <w:rPr>
                <w:sz w:val="20"/>
                <w:szCs w:val="20"/>
                <w:color w:val="auto"/>
              </w:rPr>
            </w:pPr>
            <w:r>
              <w:rPr>
                <w:rFonts w:ascii="Arial" w:cs="Arial" w:eastAsia="Arial" w:hAnsi="Arial"/>
                <w:sz w:val="14"/>
                <w:szCs w:val="14"/>
                <w:color w:val="auto"/>
              </w:rPr>
              <w:t>General and administrative</w:t>
            </w:r>
          </w:p>
        </w:tc>
        <w:tc>
          <w:tcPr>
            <w:tcW w:w="3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0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6,445</w:t>
            </w:r>
          </w:p>
        </w:tc>
        <w:tc>
          <w:tcPr>
            <w:tcW w:w="26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9.2%</w:t>
            </w:r>
          </w:p>
        </w:tc>
        <w:tc>
          <w:tcPr>
            <w:tcW w:w="280" w:type="dxa"/>
            <w:vAlign w:val="bottom"/>
            <w:shd w:val="clear" w:color="auto" w:fill="EEEEEE"/>
          </w:tcPr>
          <w:p>
            <w:pPr>
              <w:spacing w:after="0"/>
              <w:rPr>
                <w:sz w:val="14"/>
                <w:szCs w:val="14"/>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4,963</w:t>
            </w:r>
          </w:p>
        </w:tc>
        <w:tc>
          <w:tcPr>
            <w:tcW w:w="240" w:type="dxa"/>
            <w:vAlign w:val="bottom"/>
            <w:shd w:val="clear" w:color="auto" w:fill="EEEEEE"/>
          </w:tcPr>
          <w:p>
            <w:pPr>
              <w:spacing w:after="0"/>
              <w:rPr>
                <w:sz w:val="14"/>
                <w:szCs w:val="14"/>
                <w:color w:val="auto"/>
              </w:rPr>
            </w:pPr>
          </w:p>
        </w:tc>
        <w:tc>
          <w:tcPr>
            <w:tcW w:w="76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8.7%</w:t>
            </w: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18,084</w:t>
            </w:r>
          </w:p>
        </w:tc>
        <w:tc>
          <w:tcPr>
            <w:tcW w:w="240" w:type="dxa"/>
            <w:vAlign w:val="bottom"/>
            <w:shd w:val="clear" w:color="auto" w:fill="EEEEEE"/>
          </w:tcPr>
          <w:p>
            <w:pPr>
              <w:spacing w:after="0"/>
              <w:rPr>
                <w:sz w:val="14"/>
                <w:szCs w:val="14"/>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10.3%</w:t>
            </w:r>
          </w:p>
        </w:tc>
        <w:tc>
          <w:tcPr>
            <w:tcW w:w="300" w:type="dxa"/>
            <w:vAlign w:val="bottom"/>
            <w:shd w:val="clear" w:color="auto" w:fill="EEEEEE"/>
          </w:tcPr>
          <w:p>
            <w:pPr>
              <w:spacing w:after="0"/>
              <w:rPr>
                <w:sz w:val="14"/>
                <w:szCs w:val="14"/>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14,500</w:t>
            </w:r>
          </w:p>
        </w:tc>
        <w:tc>
          <w:tcPr>
            <w:tcW w:w="240" w:type="dxa"/>
            <w:vAlign w:val="bottom"/>
            <w:shd w:val="clear" w:color="auto" w:fill="EEEEEE"/>
          </w:tcPr>
          <w:p>
            <w:pPr>
              <w:spacing w:after="0"/>
              <w:rPr>
                <w:sz w:val="14"/>
                <w:szCs w:val="14"/>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10.5%</w:t>
            </w:r>
          </w:p>
        </w:tc>
      </w:tr>
      <w:tr>
        <w:trPr>
          <w:trHeight w:val="142"/>
        </w:trPr>
        <w:tc>
          <w:tcPr>
            <w:tcW w:w="2060" w:type="dxa"/>
            <w:vAlign w:val="bottom"/>
            <w:tcBorders>
              <w:bottom w:val="single" w:sz="8" w:color="EEEEEE"/>
            </w:tcBorders>
          </w:tcPr>
          <w:p>
            <w:pPr>
              <w:spacing w:after="0" w:line="142" w:lineRule="exact"/>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EEEEEE"/>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16,401</w:t>
            </w:r>
          </w:p>
        </w:tc>
        <w:tc>
          <w:tcPr>
            <w:tcW w:w="240" w:type="dxa"/>
            <w:vAlign w:val="bottom"/>
            <w:tcBorders>
              <w:bottom w:val="single" w:sz="8" w:color="EEEEEE"/>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w:t>
            </w:r>
          </w:p>
        </w:tc>
        <w:tc>
          <w:tcPr>
            <w:tcW w:w="240" w:type="dxa"/>
            <w:vAlign w:val="bottom"/>
            <w:tcBorders>
              <w:bottom w:val="single" w:sz="8" w:color="EEEEEE"/>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11,931</w:t>
            </w:r>
          </w:p>
        </w:tc>
        <w:tc>
          <w:tcPr>
            <w:tcW w:w="220" w:type="dxa"/>
            <w:vAlign w:val="bottom"/>
            <w:tcBorders>
              <w:bottom w:val="single" w:sz="8" w:color="EEEEEE"/>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w:t>
            </w:r>
          </w:p>
        </w:tc>
        <w:tc>
          <w:tcPr>
            <w:tcW w:w="100" w:type="dxa"/>
            <w:vAlign w:val="bottom"/>
            <w:tcBorders>
              <w:bottom w:val="single" w:sz="8" w:color="EEEEEE"/>
            </w:tcBorders>
          </w:tcPr>
          <w:p>
            <w:pPr>
              <w:spacing w:after="0"/>
              <w:rPr>
                <w:sz w:val="12"/>
                <w:szCs w:val="12"/>
                <w:color w:val="auto"/>
              </w:rPr>
            </w:pPr>
          </w:p>
        </w:tc>
        <w:tc>
          <w:tcPr>
            <w:tcW w:w="120" w:type="dxa"/>
            <w:vAlign w:val="bottom"/>
            <w:tcBorders>
              <w:bottom w:val="single" w:sz="8" w:color="EEEEEE"/>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47,540</w:t>
            </w:r>
          </w:p>
        </w:tc>
        <w:tc>
          <w:tcPr>
            <w:tcW w:w="220" w:type="dxa"/>
            <w:vAlign w:val="bottom"/>
            <w:tcBorders>
              <w:bottom w:val="single" w:sz="8" w:color="EEEEEE"/>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26.9%</w:t>
            </w:r>
          </w:p>
        </w:tc>
        <w:tc>
          <w:tcPr>
            <w:tcW w:w="220" w:type="dxa"/>
            <w:vAlign w:val="bottom"/>
            <w:tcBorders>
              <w:bottom w:val="single" w:sz="8" w:color="EEEEEE"/>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34,140</w:t>
            </w:r>
          </w:p>
        </w:tc>
        <w:tc>
          <w:tcPr>
            <w:tcW w:w="200" w:type="dxa"/>
            <w:vAlign w:val="bottom"/>
            <w:tcBorders>
              <w:bottom w:val="single" w:sz="8" w:color="EEEEEE"/>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24.9%</w:t>
            </w:r>
          </w:p>
        </w:tc>
        <w:tc>
          <w:tcPr>
            <w:tcW w:w="100" w:type="dxa"/>
            <w:vAlign w:val="bottom"/>
            <w:tcBorders>
              <w:bottom w:val="single" w:sz="8" w:color="EEEEEE"/>
            </w:tcBorders>
          </w:tcPr>
          <w:p>
            <w:pPr>
              <w:spacing w:after="0"/>
              <w:rPr>
                <w:sz w:val="12"/>
                <w:szCs w:val="12"/>
                <w:color w:val="auto"/>
              </w:rPr>
            </w:pPr>
          </w:p>
        </w:tc>
      </w:tr>
      <w:tr>
        <w:trPr>
          <w:trHeight w:val="142"/>
        </w:trPr>
        <w:tc>
          <w:tcPr>
            <w:tcW w:w="2060" w:type="dxa"/>
            <w:vAlign w:val="bottom"/>
            <w:shd w:val="clear" w:color="auto" w:fill="EEEEEE"/>
          </w:tcPr>
          <w:p>
            <w:pPr>
              <w:spacing w:after="0" w:line="142" w:lineRule="exact"/>
              <w:rPr>
                <w:sz w:val="20"/>
                <w:szCs w:val="20"/>
                <w:color w:val="auto"/>
              </w:rPr>
            </w:pPr>
            <w:r>
              <w:rPr>
                <w:rFonts w:ascii="Arial" w:cs="Arial" w:eastAsia="Arial" w:hAnsi="Arial"/>
                <w:sz w:val="14"/>
                <w:szCs w:val="14"/>
                <w:color w:val="auto"/>
              </w:rPr>
              <w:t>Income from operations</w:t>
            </w:r>
          </w:p>
        </w:tc>
        <w:tc>
          <w:tcPr>
            <w:tcW w:w="360" w:type="dxa"/>
            <w:vAlign w:val="bottom"/>
            <w:shd w:val="clear" w:color="auto" w:fill="EEEEEE"/>
          </w:tcPr>
          <w:p>
            <w:pPr>
              <w:spacing w:after="0"/>
              <w:rPr>
                <w:sz w:val="12"/>
                <w:szCs w:val="12"/>
                <w:color w:val="auto"/>
              </w:rPr>
            </w:pPr>
          </w:p>
        </w:tc>
        <w:tc>
          <w:tcPr>
            <w:tcW w:w="80" w:type="dxa"/>
            <w:vAlign w:val="bottom"/>
            <w:tcBorders>
              <w:bottom w:val="single" w:sz="8" w:color="auto"/>
            </w:tcBorders>
            <w:shd w:val="clear" w:color="auto" w:fill="EEEEEE"/>
          </w:tcPr>
          <w:p>
            <w:pPr>
              <w:spacing w:after="0"/>
              <w:rPr>
                <w:sz w:val="12"/>
                <w:szCs w:val="12"/>
                <w:color w:val="auto"/>
              </w:rPr>
            </w:pPr>
          </w:p>
        </w:tc>
        <w:tc>
          <w:tcPr>
            <w:tcW w:w="860" w:type="dxa"/>
            <w:vAlign w:val="bottom"/>
            <w:tcBorders>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6,760</w:t>
            </w:r>
          </w:p>
        </w:tc>
        <w:tc>
          <w:tcPr>
            <w:tcW w:w="240" w:type="dxa"/>
            <w:vAlign w:val="bottom"/>
            <w:shd w:val="clear" w:color="auto" w:fill="EEEEEE"/>
          </w:tcPr>
          <w:p>
            <w:pPr>
              <w:spacing w:after="0"/>
              <w:rPr>
                <w:sz w:val="12"/>
                <w:szCs w:val="12"/>
                <w:color w:val="auto"/>
              </w:rPr>
            </w:pPr>
          </w:p>
        </w:tc>
        <w:tc>
          <w:tcPr>
            <w:tcW w:w="260" w:type="dxa"/>
            <w:vAlign w:val="bottom"/>
            <w:tcBorders>
              <w:bottom w:val="single" w:sz="8" w:color="auto"/>
            </w:tcBorders>
            <w:shd w:val="clear" w:color="auto" w:fill="EEEEEE"/>
          </w:tcPr>
          <w:p>
            <w:pPr>
              <w:spacing w:after="0"/>
              <w:rPr>
                <w:sz w:val="12"/>
                <w:szCs w:val="12"/>
                <w:color w:val="auto"/>
              </w:rPr>
            </w:pPr>
          </w:p>
        </w:tc>
        <w:tc>
          <w:tcPr>
            <w:tcW w:w="680" w:type="dxa"/>
            <w:vAlign w:val="bottom"/>
            <w:tcBorders>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9.6%</w:t>
            </w:r>
          </w:p>
        </w:tc>
        <w:tc>
          <w:tcPr>
            <w:tcW w:w="240" w:type="dxa"/>
            <w:vAlign w:val="bottom"/>
            <w:shd w:val="clear" w:color="auto" w:fill="EEEEEE"/>
          </w:tcPr>
          <w:p>
            <w:pPr>
              <w:spacing w:after="0"/>
              <w:rPr>
                <w:sz w:val="12"/>
                <w:szCs w:val="12"/>
                <w:color w:val="auto"/>
              </w:rPr>
            </w:pPr>
          </w:p>
        </w:tc>
        <w:tc>
          <w:tcPr>
            <w:tcW w:w="280" w:type="dxa"/>
            <w:vAlign w:val="bottom"/>
            <w:tcBorders>
              <w:bottom w:val="single" w:sz="8" w:color="auto"/>
            </w:tcBorders>
            <w:shd w:val="clear" w:color="auto" w:fill="EEEEEE"/>
          </w:tcPr>
          <w:p>
            <w:pPr>
              <w:spacing w:after="0"/>
              <w:rPr>
                <w:sz w:val="12"/>
                <w:szCs w:val="12"/>
                <w:color w:val="auto"/>
              </w:rPr>
            </w:pPr>
          </w:p>
        </w:tc>
        <w:tc>
          <w:tcPr>
            <w:tcW w:w="620" w:type="dxa"/>
            <w:vAlign w:val="bottom"/>
            <w:tcBorders>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6,122</w:t>
            </w:r>
          </w:p>
        </w:tc>
        <w:tc>
          <w:tcPr>
            <w:tcW w:w="220" w:type="dxa"/>
            <w:vAlign w:val="bottom"/>
            <w:shd w:val="clear" w:color="auto" w:fill="EEEEEE"/>
          </w:tcPr>
          <w:p>
            <w:pPr>
              <w:spacing w:after="0"/>
              <w:rPr>
                <w:sz w:val="12"/>
                <w:szCs w:val="12"/>
                <w:color w:val="auto"/>
              </w:rPr>
            </w:pPr>
          </w:p>
        </w:tc>
        <w:tc>
          <w:tcPr>
            <w:tcW w:w="240" w:type="dxa"/>
            <w:vAlign w:val="bottom"/>
            <w:tcBorders>
              <w:bottom w:val="single" w:sz="8" w:color="auto"/>
            </w:tcBorders>
            <w:shd w:val="clear" w:color="auto" w:fill="EEEEEE"/>
          </w:tcPr>
          <w:p>
            <w:pPr>
              <w:spacing w:after="0"/>
              <w:rPr>
                <w:sz w:val="12"/>
                <w:szCs w:val="12"/>
                <w:color w:val="auto"/>
              </w:rPr>
            </w:pPr>
          </w:p>
        </w:tc>
        <w:tc>
          <w:tcPr>
            <w:tcW w:w="660" w:type="dxa"/>
            <w:vAlign w:val="bottom"/>
            <w:tcBorders>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10.7%</w:t>
            </w: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 w:type="dxa"/>
            <w:vAlign w:val="bottom"/>
            <w:tcBorders>
              <w:bottom w:val="single" w:sz="8" w:color="auto"/>
            </w:tcBorders>
            <w:shd w:val="clear" w:color="auto" w:fill="EEEEEE"/>
          </w:tcPr>
          <w:p>
            <w:pPr>
              <w:spacing w:after="0"/>
              <w:rPr>
                <w:sz w:val="12"/>
                <w:szCs w:val="12"/>
                <w:color w:val="auto"/>
              </w:rPr>
            </w:pPr>
          </w:p>
        </w:tc>
        <w:tc>
          <w:tcPr>
            <w:tcW w:w="840" w:type="dxa"/>
            <w:vAlign w:val="bottom"/>
            <w:tcBorders>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7,176</w:t>
            </w:r>
          </w:p>
        </w:tc>
        <w:tc>
          <w:tcPr>
            <w:tcW w:w="220" w:type="dxa"/>
            <w:vAlign w:val="bottom"/>
            <w:shd w:val="clear" w:color="auto" w:fill="EEEEEE"/>
          </w:tcPr>
          <w:p>
            <w:pPr>
              <w:spacing w:after="0"/>
              <w:rPr>
                <w:sz w:val="12"/>
                <w:szCs w:val="12"/>
                <w:color w:val="auto"/>
              </w:rPr>
            </w:pPr>
          </w:p>
        </w:tc>
        <w:tc>
          <w:tcPr>
            <w:tcW w:w="240" w:type="dxa"/>
            <w:vAlign w:val="bottom"/>
            <w:tcBorders>
              <w:bottom w:val="single" w:sz="8" w:color="auto"/>
            </w:tcBorders>
            <w:shd w:val="clear" w:color="auto" w:fill="EEEEEE"/>
          </w:tcPr>
          <w:p>
            <w:pPr>
              <w:spacing w:after="0"/>
              <w:rPr>
                <w:sz w:val="12"/>
                <w:szCs w:val="12"/>
                <w:color w:val="auto"/>
              </w:rPr>
            </w:pPr>
          </w:p>
        </w:tc>
        <w:tc>
          <w:tcPr>
            <w:tcW w:w="660" w:type="dxa"/>
            <w:vAlign w:val="bottom"/>
            <w:tcBorders>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4.2%</w:t>
            </w:r>
          </w:p>
        </w:tc>
        <w:tc>
          <w:tcPr>
            <w:tcW w:w="220" w:type="dxa"/>
            <w:vAlign w:val="bottom"/>
            <w:shd w:val="clear" w:color="auto" w:fill="EEEEEE"/>
          </w:tcPr>
          <w:p>
            <w:pPr>
              <w:spacing w:after="0"/>
              <w:rPr>
                <w:sz w:val="12"/>
                <w:szCs w:val="12"/>
                <w:color w:val="auto"/>
              </w:rPr>
            </w:pPr>
          </w:p>
        </w:tc>
        <w:tc>
          <w:tcPr>
            <w:tcW w:w="300" w:type="dxa"/>
            <w:vAlign w:val="bottom"/>
            <w:tcBorders>
              <w:bottom w:val="single" w:sz="8" w:color="auto"/>
            </w:tcBorders>
            <w:shd w:val="clear" w:color="auto" w:fill="EEEEEE"/>
          </w:tcPr>
          <w:p>
            <w:pPr>
              <w:spacing w:after="0"/>
              <w:rPr>
                <w:sz w:val="12"/>
                <w:szCs w:val="12"/>
                <w:color w:val="auto"/>
              </w:rPr>
            </w:pPr>
          </w:p>
        </w:tc>
        <w:tc>
          <w:tcPr>
            <w:tcW w:w="640" w:type="dxa"/>
            <w:vAlign w:val="bottom"/>
            <w:tcBorders>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10,695</w:t>
            </w:r>
          </w:p>
        </w:tc>
        <w:tc>
          <w:tcPr>
            <w:tcW w:w="200" w:type="dxa"/>
            <w:vAlign w:val="bottom"/>
            <w:shd w:val="clear" w:color="auto" w:fill="EEEEEE"/>
          </w:tcPr>
          <w:p>
            <w:pPr>
              <w:spacing w:after="0"/>
              <w:rPr>
                <w:sz w:val="12"/>
                <w:szCs w:val="12"/>
                <w:color w:val="auto"/>
              </w:rPr>
            </w:pPr>
          </w:p>
        </w:tc>
        <w:tc>
          <w:tcPr>
            <w:tcW w:w="240" w:type="dxa"/>
            <w:vAlign w:val="bottom"/>
            <w:tcBorders>
              <w:bottom w:val="single" w:sz="8" w:color="auto"/>
            </w:tcBorders>
            <w:shd w:val="clear" w:color="auto" w:fill="EEEEEE"/>
          </w:tcPr>
          <w:p>
            <w:pPr>
              <w:spacing w:after="0"/>
              <w:rPr>
                <w:sz w:val="12"/>
                <w:szCs w:val="12"/>
                <w:color w:val="auto"/>
              </w:rPr>
            </w:pPr>
          </w:p>
        </w:tc>
        <w:tc>
          <w:tcPr>
            <w:tcW w:w="680" w:type="dxa"/>
            <w:vAlign w:val="bottom"/>
            <w:tcBorders>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7.8%</w:t>
            </w:r>
          </w:p>
        </w:tc>
        <w:tc>
          <w:tcPr>
            <w:tcW w:w="100" w:type="dxa"/>
            <w:vAlign w:val="bottom"/>
            <w:shd w:val="clear" w:color="auto" w:fill="EEEEEE"/>
          </w:tcPr>
          <w:p>
            <w:pPr>
              <w:spacing w:after="0"/>
              <w:rPr>
                <w:sz w:val="12"/>
                <w:szCs w:val="12"/>
                <w:color w:val="auto"/>
              </w:rPr>
            </w:pPr>
          </w:p>
        </w:tc>
      </w:tr>
      <w:tr>
        <w:trPr>
          <w:trHeight w:val="142"/>
        </w:trPr>
        <w:tc>
          <w:tcPr>
            <w:tcW w:w="2060" w:type="dxa"/>
            <w:vAlign w:val="bottom"/>
          </w:tcPr>
          <w:p>
            <w:pPr>
              <w:spacing w:after="0" w:line="142" w:lineRule="exact"/>
              <w:rPr>
                <w:sz w:val="20"/>
                <w:szCs w:val="20"/>
                <w:color w:val="auto"/>
              </w:rPr>
            </w:pPr>
            <w:r>
              <w:rPr>
                <w:rFonts w:ascii="Arial" w:cs="Arial" w:eastAsia="Arial" w:hAnsi="Arial"/>
                <w:sz w:val="14"/>
                <w:szCs w:val="14"/>
                <w:color w:val="auto"/>
              </w:rPr>
              <w:t>Other income (expense)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Interest income</w:t>
            </w: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10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40</w:t>
            </w:r>
          </w:p>
        </w:tc>
        <w:tc>
          <w:tcPr>
            <w:tcW w:w="26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280" w:type="dxa"/>
            <w:vAlign w:val="bottom"/>
            <w:shd w:val="clear" w:color="auto" w:fill="EEEEEE"/>
          </w:tcPr>
          <w:p>
            <w:pPr>
              <w:spacing w:after="0"/>
              <w:rPr>
                <w:sz w:val="12"/>
                <w:szCs w:val="12"/>
                <w:color w:val="auto"/>
              </w:rPr>
            </w:pPr>
          </w:p>
        </w:tc>
        <w:tc>
          <w:tcPr>
            <w:tcW w:w="6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82</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206</w:t>
            </w:r>
          </w:p>
        </w:tc>
        <w:tc>
          <w:tcPr>
            <w:tcW w:w="24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30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236</w:t>
            </w:r>
          </w:p>
        </w:tc>
        <w:tc>
          <w:tcPr>
            <w:tcW w:w="2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0.2%</w:t>
            </w: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(462)</w:t>
            </w:r>
          </w:p>
        </w:tc>
        <w:tc>
          <w:tcPr>
            <w:tcW w:w="2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-0.7%</w:t>
            </w:r>
          </w:p>
        </w:tc>
        <w:tc>
          <w:tcPr>
            <w:tcW w:w="2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(351)</w:t>
            </w:r>
          </w:p>
        </w:tc>
        <w:tc>
          <w:tcPr>
            <w:tcW w:w="2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(1,313)</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3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(776)</w:t>
            </w:r>
          </w:p>
        </w:tc>
        <w:tc>
          <w:tcPr>
            <w:tcW w:w="2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w:t>
            </w:r>
          </w:p>
        </w:tc>
      </w:tr>
      <w:tr>
        <w:trPr>
          <w:trHeight w:val="162"/>
        </w:trPr>
        <w:tc>
          <w:tcPr>
            <w:tcW w:w="2060" w:type="dxa"/>
            <w:vAlign w:val="bottom"/>
            <w:shd w:val="clear" w:color="auto" w:fill="EEEEEE"/>
          </w:tcPr>
          <w:p>
            <w:pPr>
              <w:spacing w:after="0"/>
              <w:rPr>
                <w:sz w:val="20"/>
                <w:szCs w:val="20"/>
                <w:color w:val="auto"/>
              </w:rPr>
            </w:pPr>
            <w:r>
              <w:rPr>
                <w:rFonts w:ascii="Arial" w:cs="Arial" w:eastAsia="Arial" w:hAnsi="Arial"/>
                <w:sz w:val="14"/>
                <w:szCs w:val="14"/>
                <w:color w:val="auto"/>
              </w:rPr>
              <w:t>Other income (expense), net</w:t>
            </w:r>
          </w:p>
        </w:tc>
        <w:tc>
          <w:tcPr>
            <w:tcW w:w="3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0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66</w:t>
            </w:r>
          </w:p>
        </w:tc>
        <w:tc>
          <w:tcPr>
            <w:tcW w:w="26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0.1%</w:t>
            </w:r>
          </w:p>
        </w:tc>
        <w:tc>
          <w:tcPr>
            <w:tcW w:w="280" w:type="dxa"/>
            <w:vAlign w:val="bottom"/>
            <w:shd w:val="clear" w:color="auto" w:fill="EEEEEE"/>
          </w:tcPr>
          <w:p>
            <w:pPr>
              <w:spacing w:after="0"/>
              <w:rPr>
                <w:sz w:val="14"/>
                <w:szCs w:val="14"/>
                <w:color w:val="auto"/>
              </w:rPr>
            </w:pPr>
          </w:p>
        </w:tc>
        <w:tc>
          <w:tcPr>
            <w:tcW w:w="84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(2,747)</w:t>
            </w:r>
          </w:p>
        </w:tc>
        <w:tc>
          <w:tcPr>
            <w:tcW w:w="240" w:type="dxa"/>
            <w:vAlign w:val="bottom"/>
            <w:shd w:val="clear" w:color="auto" w:fill="EEEEEE"/>
          </w:tcPr>
          <w:p>
            <w:pPr>
              <w:spacing w:after="0"/>
              <w:rPr>
                <w:sz w:val="14"/>
                <w:szCs w:val="14"/>
                <w:color w:val="auto"/>
              </w:rPr>
            </w:pPr>
          </w:p>
        </w:tc>
        <w:tc>
          <w:tcPr>
            <w:tcW w:w="76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-4.8%</w:t>
            </w: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(532)</w:t>
            </w:r>
          </w:p>
        </w:tc>
        <w:tc>
          <w:tcPr>
            <w:tcW w:w="240" w:type="dxa"/>
            <w:vAlign w:val="bottom"/>
            <w:shd w:val="clear" w:color="auto" w:fill="EEEEEE"/>
          </w:tcPr>
          <w:p>
            <w:pPr>
              <w:spacing w:after="0"/>
              <w:rPr>
                <w:sz w:val="14"/>
                <w:szCs w:val="14"/>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-0.3%</w:t>
            </w:r>
          </w:p>
        </w:tc>
        <w:tc>
          <w:tcPr>
            <w:tcW w:w="300" w:type="dxa"/>
            <w:vAlign w:val="bottom"/>
            <w:shd w:val="clear" w:color="auto" w:fill="EEEEEE"/>
          </w:tcPr>
          <w:p>
            <w:pPr>
              <w:spacing w:after="0"/>
              <w:rPr>
                <w:sz w:val="14"/>
                <w:szCs w:val="14"/>
                <w:color w:val="auto"/>
              </w:rPr>
            </w:pPr>
          </w:p>
        </w:tc>
        <w:tc>
          <w:tcPr>
            <w:tcW w:w="84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(1,500)</w:t>
            </w:r>
          </w:p>
        </w:tc>
        <w:tc>
          <w:tcPr>
            <w:tcW w:w="240" w:type="dxa"/>
            <w:vAlign w:val="bottom"/>
            <w:shd w:val="clear" w:color="auto" w:fill="EEEEEE"/>
          </w:tcPr>
          <w:p>
            <w:pPr>
              <w:spacing w:after="0"/>
              <w:rPr>
                <w:sz w:val="14"/>
                <w:szCs w:val="14"/>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-1.1%</w:t>
            </w:r>
          </w:p>
        </w:tc>
      </w:tr>
      <w:tr>
        <w:trPr>
          <w:trHeight w:val="142"/>
        </w:trPr>
        <w:tc>
          <w:tcPr>
            <w:tcW w:w="2060" w:type="dxa"/>
            <w:vAlign w:val="bottom"/>
          </w:tcPr>
          <w:p>
            <w:pPr>
              <w:spacing w:after="0" w:line="142" w:lineRule="exact"/>
              <w:rPr>
                <w:sz w:val="20"/>
                <w:szCs w:val="20"/>
                <w:color w:val="auto"/>
              </w:rPr>
            </w:pPr>
            <w:r>
              <w:rPr>
                <w:rFonts w:ascii="Arial" w:cs="Arial" w:eastAsia="Arial" w:hAnsi="Arial"/>
                <w:sz w:val="14"/>
                <w:szCs w:val="14"/>
                <w:color w:val="auto"/>
              </w:rPr>
              <w:t>Total other expense</w:t>
            </w: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(356)</w:t>
            </w: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-0.5%</w:t>
            </w: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(3,016)</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(1,639)</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(2,040)</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r>
      <w:tr>
        <w:trPr>
          <w:trHeight w:val="149"/>
        </w:trPr>
        <w:tc>
          <w:tcPr>
            <w:tcW w:w="20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Income before income taxes</w:t>
            </w: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10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6,404</w:t>
            </w:r>
          </w:p>
        </w:tc>
        <w:tc>
          <w:tcPr>
            <w:tcW w:w="26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9.1%</w:t>
            </w:r>
          </w:p>
        </w:tc>
        <w:tc>
          <w:tcPr>
            <w:tcW w:w="2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3,106</w:t>
            </w:r>
          </w:p>
        </w:tc>
        <w:tc>
          <w:tcPr>
            <w:tcW w:w="24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5,537</w:t>
            </w:r>
          </w:p>
        </w:tc>
        <w:tc>
          <w:tcPr>
            <w:tcW w:w="24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30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8,655</w:t>
            </w:r>
          </w:p>
        </w:tc>
        <w:tc>
          <w:tcPr>
            <w:tcW w:w="24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6.3%</w:t>
            </w: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11,332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(406)</w:t>
            </w:r>
          </w:p>
        </w:tc>
        <w:tc>
          <w:tcPr>
            <w:tcW w:w="2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11,472</w:t>
            </w:r>
          </w:p>
        </w:tc>
        <w:tc>
          <w:tcPr>
            <w:tcW w:w="2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6.5%</w:t>
            </w:r>
          </w:p>
        </w:tc>
        <w:tc>
          <w:tcPr>
            <w:tcW w:w="3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(541)</w:t>
            </w:r>
          </w:p>
        </w:tc>
        <w:tc>
          <w:tcPr>
            <w:tcW w:w="2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r>
      <w:tr>
        <w:trPr>
          <w:trHeight w:val="20"/>
        </w:trPr>
        <w:tc>
          <w:tcPr>
            <w:tcW w:w="2060" w:type="dxa"/>
            <w:vAlign w:val="bottom"/>
            <w:shd w:val="clear" w:color="auto" w:fill="EEEEEE"/>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210"/>
        </w:trPr>
        <w:tc>
          <w:tcPr>
            <w:tcW w:w="2060" w:type="dxa"/>
            <w:vAlign w:val="bottom"/>
            <w:shd w:val="clear" w:color="auto" w:fill="EEEEEE"/>
          </w:tcPr>
          <w:p>
            <w:pPr>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17,736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25.3%</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16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2,700</w:t>
            </w:r>
          </w:p>
        </w:tc>
        <w:tc>
          <w:tcPr>
            <w:tcW w:w="2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4.7%</w:t>
            </w:r>
          </w:p>
        </w:tc>
        <w:tc>
          <w:tcPr>
            <w:tcW w:w="18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17,009</w:t>
            </w:r>
          </w:p>
        </w:tc>
        <w:tc>
          <w:tcPr>
            <w:tcW w:w="2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9.8%</w:t>
            </w:r>
          </w:p>
        </w:tc>
        <w:tc>
          <w:tcPr>
            <w:tcW w:w="300" w:type="dxa"/>
            <w:vAlign w:val="bottom"/>
            <w:shd w:val="clear" w:color="auto" w:fill="EEEEEE"/>
          </w:tcPr>
          <w:p>
            <w:pPr>
              <w:jc w:val="right"/>
              <w:ind w:right="102"/>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8,114</w:t>
            </w:r>
          </w:p>
        </w:tc>
        <w:tc>
          <w:tcPr>
            <w:tcW w:w="2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5.9%</w:t>
            </w:r>
          </w:p>
        </w:tc>
      </w:tr>
      <w:tr>
        <w:trPr>
          <w:trHeight w:val="20"/>
        </w:trPr>
        <w:tc>
          <w:tcPr>
            <w:tcW w:w="20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FTTH and telecom markets. We derive a significant portion of our revenue from our top ten customers, and we anticipate that we will continue to do so for the foreseeable future. The following charts provide the revenue contribution from each of the markets we served for the three and nine months ended September 30, 2016 and 2015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46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4"/>
              </w:rPr>
              <w:t>Three months ended September 30,</w:t>
            </w:r>
          </w:p>
        </w:tc>
        <w:tc>
          <w:tcPr>
            <w:tcW w:w="3140" w:type="dxa"/>
            <w:vAlign w:val="bottom"/>
            <w:gridSpan w:val="5"/>
          </w:tcPr>
          <w:p>
            <w:pPr>
              <w:ind w:left="20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23"/>
        </w:trPr>
        <w:tc>
          <w:tcPr>
            <w:tcW w:w="4820" w:type="dxa"/>
            <w:vAlign w:val="bottom"/>
            <w:tcBorders>
              <w:bottom w:val="single" w:sz="8" w:color="EEEEEE"/>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EEEEEE"/>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4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CATV</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w:t>
            </w:r>
          </w:p>
        </w:tc>
        <w:tc>
          <w:tcPr>
            <w:tcW w:w="36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31.2%</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Data Center</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75.5%</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67.6%</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75.8%</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FTTH</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0.7%</w:t>
            </w: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Telecom</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r>
      <w:tr>
        <w:trPr>
          <w:trHeight w:val="230"/>
        </w:trPr>
        <w:tc>
          <w:tcPr>
            <w:tcW w:w="4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0.5%</w:t>
            </w: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0.4%</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0.6%</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EEEEEE"/>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8"/>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420" w:type="dxa"/>
            <w:vAlign w:val="bottom"/>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340" w:type="dxa"/>
            <w:vAlign w:val="bottom"/>
            <w:gridSpan w:val="3"/>
          </w:tcPr>
          <w:p>
            <w:pPr>
              <w:ind w:left="66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6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6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62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CATV</w:t>
            </w: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12,891</w:t>
            </w:r>
          </w:p>
        </w:tc>
        <w:tc>
          <w:tcPr>
            <w:tcW w:w="3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14,233</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(1,342)</w:t>
            </w:r>
          </w:p>
        </w:tc>
        <w:tc>
          <w:tcPr>
            <w:tcW w:w="3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6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30,143</w:t>
            </w: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42,675</w:t>
            </w: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(12,532)</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6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6"/>
        </w:trPr>
        <w:tc>
          <w:tcPr>
            <w:tcW w:w="1620" w:type="dxa"/>
            <w:vAlign w:val="bottom"/>
          </w:tcPr>
          <w:p>
            <w:pPr>
              <w:ind w:left="160"/>
              <w:spacing w:after="0"/>
              <w:rPr>
                <w:sz w:val="20"/>
                <w:szCs w:val="20"/>
                <w:color w:val="auto"/>
              </w:rPr>
            </w:pPr>
            <w:r>
              <w:rPr>
                <w:rFonts w:ascii="Arial" w:cs="Arial" w:eastAsia="Arial" w:hAnsi="Arial"/>
                <w:sz w:val="18"/>
                <w:szCs w:val="18"/>
                <w:color w:val="auto"/>
              </w:rPr>
              <w:t>Data Center</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52,949</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38,591</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14,358</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133,209</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84,517</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48,692</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r>
      <w:tr>
        <w:trPr>
          <w:trHeight w:val="216"/>
        </w:trPr>
        <w:tc>
          <w:tcPr>
            <w:tcW w:w="1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FTTH</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1,333</w:t>
            </w: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2,371</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(43.8%)</w:t>
            </w:r>
          </w:p>
        </w:tc>
      </w:tr>
      <w:tr>
        <w:trPr>
          <w:trHeight w:val="216"/>
        </w:trPr>
        <w:tc>
          <w:tcPr>
            <w:tcW w:w="1620" w:type="dxa"/>
            <w:vAlign w:val="bottom"/>
          </w:tcPr>
          <w:p>
            <w:pPr>
              <w:ind w:left="160"/>
              <w:spacing w:after="0"/>
              <w:rPr>
                <w:sz w:val="20"/>
                <w:szCs w:val="20"/>
                <w:color w:val="auto"/>
              </w:rPr>
            </w:pPr>
            <w:r>
              <w:rPr>
                <w:rFonts w:ascii="Arial" w:cs="Arial" w:eastAsia="Arial" w:hAnsi="Arial"/>
                <w:sz w:val="18"/>
                <w:szCs w:val="18"/>
                <w:color w:val="auto"/>
              </w:rPr>
              <w:t>Telecom</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10,082</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6,867</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3,215</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r>
      <w:tr>
        <w:trPr>
          <w:trHeight w:val="230"/>
        </w:trPr>
        <w:tc>
          <w:tcPr>
            <w:tcW w:w="1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EEEEEE"/>
          </w:tcPr>
          <w:p>
            <w:pPr>
              <w:spacing w:after="0"/>
              <w:rPr>
                <w:sz w:val="19"/>
                <w:szCs w:val="19"/>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3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1,046</w:t>
            </w:r>
          </w:p>
        </w:tc>
        <w:tc>
          <w:tcPr>
            <w:tcW w:w="2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EEEEEE"/>
          </w:tcPr>
          <w:p>
            <w:pPr>
              <w:spacing w:after="0"/>
              <w:rPr>
                <w:sz w:val="19"/>
                <w:szCs w:val="19"/>
                <w:color w:val="auto"/>
              </w:rPr>
            </w:pPr>
          </w:p>
        </w:tc>
        <w:tc>
          <w:tcPr>
            <w:tcW w:w="7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100.8%</w:t>
            </w:r>
          </w:p>
        </w:tc>
      </w:tr>
      <w:tr>
        <w:trPr>
          <w:trHeight w:val="223"/>
        </w:trPr>
        <w:tc>
          <w:tcPr>
            <w:tcW w:w="162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70,137</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57,085</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13,052</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175,813</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136,951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38,862</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Growth in the three months ended September 30, 2016 was driven primarily by increasing revenue from our internet data center customers, and we also anticipate that our revenue derived from this market will continue to increase as a percentage of our revenue as we further penetrate and extend our products into this market.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third quarter of 2016 and nine months ended September 30, 2016, revenues in the internet data center market were driven primarily by increasing demand for our 40 gigabits per second and 100 Gbps transceivers as our customers continued to upgrade their technology infrastructure, partially offset by a decrease in demand for our older 10G products. The decrease in revenue in our FTTH market is due to a decline in demand for certain older legacy products. Demand for these legacy products is expected to continue to fluctuate. The decrease in revenues in the CATV market for the year was a result of lower demand from certain customers who resold our product into foreign markets where currencies had weakened. The increase in revenue in our telecom market is due to increased sales of products that were introduced within the last 12-18 months. These products are used in a variety of interconnect applications within telecom networks.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and nine months ended September 30, 2016 and 2015, our top ten customers represented 95.5% and 95.2% of our revenue,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i w:val="1"/>
                <w:iCs w:val="1"/>
                <w:color w:val="auto"/>
                <w:w w:val="91"/>
              </w:rPr>
              <w:t>Cost of goods sold and gross margin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6"/>
          </w:tcPr>
          <w:p>
            <w:pPr>
              <w:jc w:val="right"/>
              <w:ind w:right="410"/>
              <w:spacing w:after="0"/>
              <w:rPr>
                <w:sz w:val="20"/>
                <w:szCs w:val="20"/>
                <w:color w:val="auto"/>
              </w:rPr>
            </w:pPr>
            <w:r>
              <w:rPr>
                <w:rFonts w:ascii="Arial" w:cs="Arial" w:eastAsia="Arial" w:hAnsi="Arial"/>
                <w:sz w:val="18"/>
                <w:szCs w:val="18"/>
                <w:b w:val="1"/>
                <w:bCs w:val="1"/>
                <w:color w:val="auto"/>
              </w:rPr>
              <w:t>Three months ended September 30,</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jc w:val="right"/>
              <w:ind w:right="290"/>
              <w:spacing w:after="0" w:line="205"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jc w:val="right"/>
              <w:ind w:right="290"/>
              <w:spacing w:after="0" w:line="205" w:lineRule="exact"/>
              <w:rPr>
                <w:sz w:val="20"/>
                <w:szCs w:val="20"/>
                <w:color w:val="auto"/>
              </w:rPr>
            </w:pPr>
            <w:r>
              <w:rPr>
                <w:rFonts w:ascii="Arial" w:cs="Arial" w:eastAsia="Arial" w:hAnsi="Arial"/>
                <w:sz w:val="18"/>
                <w:szCs w:val="18"/>
                <w:b w:val="1"/>
                <w:bCs w:val="1"/>
                <w:color w:val="auto"/>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8"/>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Amount</w:t>
            </w: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w w:val="99"/>
              </w:rPr>
              <w:t>Amount</w:t>
            </w: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8"/>
                <w:szCs w:val="18"/>
                <w:b w:val="1"/>
                <w:bCs w:val="1"/>
                <w:color w:val="auto"/>
                <w:w w:val="98"/>
              </w:rPr>
              <w:t>(in thousands, except percentages)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Cost of goods sold</w:t>
            </w:r>
          </w:p>
        </w:tc>
        <w:tc>
          <w:tcPr>
            <w:tcW w:w="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46,976</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67.0%</w:t>
            </w:r>
          </w:p>
        </w:tc>
        <w:tc>
          <w:tcPr>
            <w:tcW w:w="3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39,032</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68.4%</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7,944</w:t>
            </w: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2700" w:type="dxa"/>
            <w:vAlign w:val="bottom"/>
          </w:tcPr>
          <w:p>
            <w:pPr>
              <w:ind w:left="160"/>
              <w:spacing w:after="0"/>
              <w:rPr>
                <w:sz w:val="20"/>
                <w:szCs w:val="20"/>
                <w:color w:val="auto"/>
              </w:rPr>
            </w:pPr>
            <w:r>
              <w:rPr>
                <w:rFonts w:ascii="Arial" w:cs="Arial" w:eastAsia="Arial" w:hAnsi="Arial"/>
                <w:sz w:val="18"/>
                <w:szCs w:val="18"/>
                <w:color w:val="auto"/>
              </w:rPr>
              <w:t>Gross margin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23,161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18,053</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0"/>
                <w:szCs w:val="20"/>
                <w:color w:val="auto"/>
              </w:rPr>
            </w:pPr>
          </w:p>
        </w:tc>
        <w:tc>
          <w:tcPr>
            <w:tcW w:w="1640" w:type="dxa"/>
            <w:vAlign w:val="bottom"/>
          </w:tcPr>
          <w:p>
            <w:pPr>
              <w:jc w:val="right"/>
              <w:ind w:right="590"/>
              <w:spacing w:after="0"/>
              <w:rPr>
                <w:sz w:val="20"/>
                <w:szCs w:val="20"/>
                <w:color w:val="auto"/>
              </w:rPr>
            </w:pPr>
            <w:r>
              <w:rPr>
                <w:rFonts w:ascii="Arial" w:cs="Arial" w:eastAsia="Arial" w:hAnsi="Arial"/>
                <w:sz w:val="18"/>
                <w:szCs w:val="18"/>
                <w:color w:val="auto"/>
              </w:rPr>
              <w:t>5,108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458"/>
        </w:trPr>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Borders>
              <w:bottom w:val="single" w:sz="8" w:color="auto"/>
            </w:tcBorders>
            <w:gridSpan w:val="6"/>
          </w:tcPr>
          <w:p>
            <w:pPr>
              <w:jc w:val="right"/>
              <w:ind w:right="410"/>
              <w:spacing w:after="0"/>
              <w:rPr>
                <w:sz w:val="20"/>
                <w:szCs w:val="20"/>
                <w:color w:val="auto"/>
              </w:rPr>
            </w:pPr>
            <w:r>
              <w:rPr>
                <w:rFonts w:ascii="Arial" w:cs="Arial" w:eastAsia="Arial" w:hAnsi="Arial"/>
                <w:sz w:val="18"/>
                <w:szCs w:val="18"/>
                <w:b w:val="1"/>
                <w:bCs w:val="1"/>
                <w:color w:val="auto"/>
              </w:rPr>
              <w:t>Nine months ended September 30,</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w:t>
            </w: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spacing w:after="0"/>
              <w:rPr>
                <w:sz w:val="20"/>
                <w:szCs w:val="20"/>
                <w:color w:val="auto"/>
              </w:rPr>
            </w:pPr>
            <w:r>
              <w:rPr>
                <w:rFonts w:ascii="Arial" w:cs="Arial" w:eastAsia="Arial" w:hAnsi="Arial"/>
                <w:sz w:val="18"/>
                <w:szCs w:val="18"/>
                <w:b w:val="1"/>
                <w:bCs w:val="1"/>
                <w:color w:val="auto"/>
                <w:w w:val="96"/>
              </w:rPr>
              <w:t>(in thousands, except percentages)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Cost of goods sold</w:t>
            </w:r>
          </w:p>
        </w:tc>
        <w:tc>
          <w:tcPr>
            <w:tcW w:w="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121,097</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68.9%</w:t>
            </w:r>
          </w:p>
        </w:tc>
        <w:tc>
          <w:tcPr>
            <w:tcW w:w="3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92,116</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28,981</w:t>
            </w: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2700" w:type="dxa"/>
            <w:vAlign w:val="bottom"/>
          </w:tcPr>
          <w:p>
            <w:pPr>
              <w:ind w:left="160"/>
              <w:spacing w:after="0"/>
              <w:rPr>
                <w:sz w:val="20"/>
                <w:szCs w:val="20"/>
                <w:color w:val="auto"/>
              </w:rPr>
            </w:pPr>
            <w:r>
              <w:rPr>
                <w:rFonts w:ascii="Arial" w:cs="Arial" w:eastAsia="Arial" w:hAnsi="Arial"/>
                <w:sz w:val="18"/>
                <w:szCs w:val="18"/>
                <w:color w:val="auto"/>
              </w:rPr>
              <w:t>Gross margin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54,716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44,835</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20"/>
                <w:szCs w:val="20"/>
                <w:color w:val="auto"/>
              </w:rPr>
            </w:pPr>
          </w:p>
        </w:tc>
        <w:tc>
          <w:tcPr>
            <w:tcW w:w="1640" w:type="dxa"/>
            <w:vAlign w:val="bottom"/>
          </w:tcPr>
          <w:p>
            <w:pPr>
              <w:jc w:val="right"/>
              <w:ind w:right="590"/>
              <w:spacing w:after="0"/>
              <w:rPr>
                <w:sz w:val="20"/>
                <w:szCs w:val="20"/>
                <w:color w:val="auto"/>
              </w:rPr>
            </w:pPr>
            <w:r>
              <w:rPr>
                <w:rFonts w:ascii="Arial" w:cs="Arial" w:eastAsia="Arial" w:hAnsi="Arial"/>
                <w:sz w:val="18"/>
                <w:szCs w:val="18"/>
                <w:color w:val="auto"/>
              </w:rPr>
              <w:t>9,881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Cost of goods sold increased by $7.9 million, or 20.4%, for the three months ended September 30, 2016, as compared to the three months ended September 30, 2015, primarily due to a 22.9% increase in sales over the prior year. The increase in gross margin for the three months ended September 30, 2016 compared to the same period ended September 30, 2015 was primarily the result of lower production costs associated with certain 40G and 100G products, along with increased revenue from our CATV products.</w:t>
      </w:r>
    </w:p>
    <w:p>
      <w:pPr>
        <w:sectPr>
          <w:pgSz w:w="11900" w:h="16838" w:orient="portrait"/>
          <w:cols w:equalWidth="0" w:num="1">
            <w:col w:w="11420"/>
          </w:cols>
          <w:pgMar w:left="240" w:top="800"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9"/>
          </w:tcPr>
          <w:p>
            <w:pPr>
              <w:jc w:val="right"/>
              <w:ind w:right="440"/>
              <w:spacing w:after="0"/>
              <w:rPr>
                <w:sz w:val="20"/>
                <w:szCs w:val="20"/>
                <w:color w:val="auto"/>
              </w:rPr>
            </w:pPr>
            <w:r>
              <w:rPr>
                <w:rFonts w:ascii="Arial" w:cs="Arial" w:eastAsia="Arial" w:hAnsi="Arial"/>
                <w:sz w:val="18"/>
                <w:szCs w:val="18"/>
                <w:b w:val="1"/>
                <w:bCs w:val="1"/>
                <w:color w:val="auto"/>
                <w:w w:val="98"/>
              </w:rPr>
              <w:t>Three months ended September 30,</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8"/>
                <w:szCs w:val="18"/>
                <w:b w:val="1"/>
                <w:bCs w:val="1"/>
                <w:color w:val="auto"/>
              </w:rPr>
              <w:t>Amount</w:t>
            </w: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b w:val="1"/>
                <w:bCs w:val="1"/>
                <w:color w:val="auto"/>
              </w:rPr>
              <w:t>Amount</w:t>
            </w: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7"/>
          </w:tcPr>
          <w:p>
            <w:pPr>
              <w:ind w:left="140"/>
              <w:spacing w:after="0" w:line="195" w:lineRule="exact"/>
              <w:rPr>
                <w:sz w:val="20"/>
                <w:szCs w:val="20"/>
                <w:color w:val="auto"/>
              </w:rPr>
            </w:pPr>
            <w:r>
              <w:rPr>
                <w:rFonts w:ascii="Arial" w:cs="Arial" w:eastAsia="Arial" w:hAnsi="Arial"/>
                <w:sz w:val="18"/>
                <w:szCs w:val="18"/>
                <w:b w:val="1"/>
                <w:bCs w:val="1"/>
                <w:color w:val="auto"/>
                <w:w w:val="98"/>
              </w:rPr>
              <w:t>(in thousands, except percentages)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8,362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5,386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2,976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6,445</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1,482</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16,401</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8"/>
                <w:szCs w:val="18"/>
                <w:b w:val="1"/>
                <w:bCs w:val="1"/>
                <w:color w:val="auto"/>
                <w:w w:val="99"/>
              </w:rPr>
              <w:t>Nine months ended September 30,</w:t>
            </w:r>
          </w:p>
        </w:tc>
        <w:tc>
          <w:tcPr>
            <w:tcW w:w="10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8"/>
                <w:szCs w:val="18"/>
                <w:b w:val="1"/>
                <w:bCs w:val="1"/>
                <w:color w:val="auto"/>
              </w:rPr>
              <w:t>Amount</w:t>
            </w: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b w:val="1"/>
                <w:bCs w:val="1"/>
                <w:color w:val="auto"/>
              </w:rPr>
              <w:t>Amount</w:t>
            </w: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7"/>
          </w:tcPr>
          <w:p>
            <w:pPr>
              <w:ind w:left="140"/>
              <w:spacing w:after="0" w:line="195" w:lineRule="exact"/>
              <w:rPr>
                <w:sz w:val="20"/>
                <w:szCs w:val="20"/>
                <w:color w:val="auto"/>
              </w:rPr>
            </w:pPr>
            <w:r>
              <w:rPr>
                <w:rFonts w:ascii="Arial" w:cs="Arial" w:eastAsia="Arial" w:hAnsi="Arial"/>
                <w:sz w:val="18"/>
                <w:szCs w:val="18"/>
                <w:b w:val="1"/>
                <w:bCs w:val="1"/>
                <w:color w:val="auto"/>
                <w:w w:val="98"/>
              </w:rPr>
              <w:t>(in thousands, except percentages)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24,572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14,892</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9,680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18,084</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14,500</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3,584</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-2091690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-1817370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-599440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-325120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8680"/>
          </w:cols>
          <w:pgMar w:left="240" w:top="800"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Research and development expense increased by $3.0 million, or 55.3%, for the three months ended September 30, 2016 as compared to the three months ended September 30, 2015. For the nine months ended September 30, 2016, research and development expense increased $9.7 million, or 65.0% as compared to the nine months ended September 30, 2015. This increase was primarily due to increases in personnel costs, R&amp;D work orders, R&amp;D material usage and other project costs related to 40G and 100G data center products, DOCSIS 3.1-capable CATV products, including remote-PHY products, and other new product development, and an increase in depreciation expense resulting from additional R&amp;D equipment investments, and additional depreciation expenses related to our new building in Sugar Land.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Sales and marketing expense remained unchanged for the three months ended September 30, 2016 as compared to the three months ended September 30, 2015. For the nine months ended September 30, 2016, sales and marketing expense increased $0.1 million as compared to the nine months ended September 30, 2015. This increase was due to an increase in personnel costs offset by a decrease in commissions paid to sales personnel.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General and administrative expense increased by $1.5 million, or 29.9%, for the three months ended September 30, 2016 compared to the three months ended September 30, 2015. For the nine months ended September 30, 2016, general and administrative expense increased by $3.6 million, or 24.7% as compared to the nine months ended September 30, 2015. This was primarily due to an increase in personnel costs, professional fees, share-based compensation, and overhead costs associated with our new building in Sugar Land.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8"/>
                <w:szCs w:val="18"/>
                <w:b w:val="1"/>
                <w:bCs w:val="1"/>
                <w:color w:val="auto"/>
                <w:w w:val="89"/>
              </w:rPr>
              <w:t>Three months ended September 30,</w:t>
            </w:r>
          </w:p>
        </w:tc>
        <w:tc>
          <w:tcPr>
            <w:tcW w:w="10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rPr>
              <w:t>2016</w:t>
            </w: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5"/>
        </w:trPr>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b w:val="1"/>
                <w:bCs w:val="1"/>
                <w:color w:val="auto"/>
              </w:rPr>
              <w:t>Amount</w:t>
            </w: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0"/>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income</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(51.2%)</w:t>
            </w:r>
          </w:p>
        </w:tc>
      </w:tr>
      <w:tr>
        <w:trPr>
          <w:trHeight w:val="216"/>
        </w:trPr>
        <w:tc>
          <w:tcPr>
            <w:tcW w:w="24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r>
      <w:tr>
        <w:trPr>
          <w:trHeight w:val="230"/>
        </w:trPr>
        <w:tc>
          <w:tcPr>
            <w:tcW w:w="24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(2,747)</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2,813</w:t>
            </w:r>
          </w:p>
        </w:tc>
        <w:tc>
          <w:tcPr>
            <w:tcW w:w="30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102.4%</w:t>
            </w:r>
          </w:p>
        </w:tc>
      </w:tr>
      <w:tr>
        <w:trPr>
          <w:trHeight w:val="223"/>
        </w:trPr>
        <w:tc>
          <w:tcPr>
            <w:tcW w:w="2480" w:type="dxa"/>
            <w:vAlign w:val="bottom"/>
          </w:tcPr>
          <w:p>
            <w:pPr>
              <w:ind w:left="300"/>
              <w:spacing w:after="0"/>
              <w:rPr>
                <w:sz w:val="20"/>
                <w:szCs w:val="20"/>
                <w:color w:val="auto"/>
              </w:rPr>
            </w:pPr>
            <w:r>
              <w:rPr>
                <w:rFonts w:ascii="Arial" w:cs="Arial" w:eastAsia="Arial" w:hAnsi="Arial"/>
                <w:sz w:val="18"/>
                <w:szCs w:val="18"/>
                <w:color w:val="auto"/>
              </w:rPr>
              <w:t>Total Other expense, net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8"/>
                <w:szCs w:val="18"/>
                <w:b w:val="1"/>
                <w:bCs w:val="1"/>
                <w:color w:val="auto"/>
                <w:w w:val="88"/>
              </w:rPr>
              <w:t>Nine months ended September 30,</w:t>
            </w:r>
          </w:p>
        </w:tc>
        <w:tc>
          <w:tcPr>
            <w:tcW w:w="10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rPr>
              <w:t>2016</w:t>
            </w: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5"/>
        </w:trPr>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b w:val="1"/>
                <w:bCs w:val="1"/>
                <w:color w:val="auto"/>
              </w:rPr>
              <w:t>Amount</w:t>
            </w: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0"/>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income</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(12.7%)</w:t>
            </w:r>
          </w:p>
        </w:tc>
      </w:tr>
      <w:tr>
        <w:trPr>
          <w:trHeight w:val="216"/>
        </w:trPr>
        <w:tc>
          <w:tcPr>
            <w:tcW w:w="24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(537)</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8"/>
                <w:szCs w:val="18"/>
                <w:color w:val="auto"/>
              </w:rPr>
            </w:pPr>
          </w:p>
        </w:tc>
      </w:tr>
      <w:tr>
        <w:trPr>
          <w:trHeight w:val="230"/>
        </w:trPr>
        <w:tc>
          <w:tcPr>
            <w:tcW w:w="24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968</w:t>
            </w:r>
          </w:p>
        </w:tc>
        <w:tc>
          <w:tcPr>
            <w:tcW w:w="30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64.5%</w:t>
            </w:r>
          </w:p>
        </w:tc>
        <w:tc>
          <w:tcPr>
            <w:tcW w:w="80" w:type="dxa"/>
            <w:vAlign w:val="bottom"/>
            <w:shd w:val="clear" w:color="auto" w:fill="EEEEEE"/>
          </w:tcPr>
          <w:p>
            <w:pPr>
              <w:spacing w:after="0"/>
              <w:rPr>
                <w:sz w:val="19"/>
                <w:szCs w:val="19"/>
                <w:color w:val="auto"/>
              </w:rPr>
            </w:pPr>
          </w:p>
        </w:tc>
      </w:tr>
      <w:tr>
        <w:trPr>
          <w:trHeight w:val="223"/>
        </w:trPr>
        <w:tc>
          <w:tcPr>
            <w:tcW w:w="2480" w:type="dxa"/>
            <w:vAlign w:val="bottom"/>
          </w:tcPr>
          <w:p>
            <w:pPr>
              <w:ind w:left="300"/>
              <w:spacing w:after="0"/>
              <w:rPr>
                <w:sz w:val="20"/>
                <w:szCs w:val="20"/>
                <w:color w:val="auto"/>
              </w:rPr>
            </w:pPr>
            <w:r>
              <w:rPr>
                <w:rFonts w:ascii="Arial" w:cs="Arial" w:eastAsia="Arial" w:hAnsi="Arial"/>
                <w:sz w:val="18"/>
                <w:szCs w:val="18"/>
                <w:color w:val="auto"/>
              </w:rPr>
              <w:t>Total Other expense, net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ind w:right="280" w:firstLine="648"/>
        <w:spacing w:after="0" w:line="264" w:lineRule="auto"/>
        <w:rPr>
          <w:sz w:val="20"/>
          <w:szCs w:val="20"/>
          <w:color w:val="auto"/>
        </w:rPr>
      </w:pPr>
      <w:r>
        <w:rPr>
          <w:rFonts w:ascii="Arial" w:cs="Arial" w:eastAsia="Arial" w:hAnsi="Arial"/>
          <w:sz w:val="18"/>
          <w:szCs w:val="18"/>
          <w:color w:val="auto"/>
        </w:rPr>
        <w:t>Interest income decreased 51.2% for the three months ended September 30, 2016 as compared to the three months ended September 30, 2015 and decreased 12.7% for the nine months ended September 30, 2016 as compared to the nine months ended September 30, 2015 due to lower cash balances during the period.</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Interest expense increased 31.6% for the three months ended September 30, 2016 as compared to the three months ended September 30, 2015 and increased 69.2% for the nine months ended September 30, 2016 as compared to the nine months ended September 30, 2015. This was due to borrowing activities to fund the expansion projects, including the expansion of our Sugar Land facility.</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Other income (expense) increased by $2.8 million for the three months ended September 30, 2016 compared to the same period of the prior year due to unrealized exchange gains resulting from the favorable fluctuation of certain Asian currencies against the U.S. dollar. Other income (expense) increased by $1.0 million for the nine months ended September 30, 2016 as compared to the nine months ended September 30, 2015 due to a $5.9 million increase in unrealized gain resulting from the favorable fluctuation of certain Asian currencies against the U.S. dollar, offset by a $4.9 million increase in realized exchange loss arising from foreign currency transactions. $3.0 million of realized exchange loss was recognized when the company transferred assets and liabilities of its Taiwan branch office to Prime World International Holding Company, its wholly-owned subsidiary. We qualify as a high-tech enterprise in China, as determined by the Chinese government, and are paid subsidies from time to time by the Chinese government to foster local high-tech manufacturing. We received $0.1 million of subsidies in each of the three and nine months ended September 30, 2016 compared to $0.0 and $0.2 million for the same periods in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Provision for income taxes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jc w:val="center"/>
              <w:ind w:right="790"/>
              <w:spacing w:after="0"/>
              <w:rPr>
                <w:sz w:val="20"/>
                <w:szCs w:val="20"/>
                <w:color w:val="auto"/>
              </w:rPr>
            </w:pPr>
            <w:r>
              <w:rPr>
                <w:rFonts w:ascii="Arial" w:cs="Arial" w:eastAsia="Arial" w:hAnsi="Arial"/>
                <w:sz w:val="18"/>
                <w:szCs w:val="18"/>
                <w:b w:val="1"/>
                <w:bCs w:val="1"/>
                <w:color w:val="auto"/>
                <w:w w:val="89"/>
              </w:rPr>
              <w:t>Three months ended September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gridSpan w:val="3"/>
          </w:tcPr>
          <w:p>
            <w:pPr>
              <w:jc w:val="center"/>
              <w:ind w:right="770"/>
              <w:spacing w:after="0"/>
              <w:rPr>
                <w:sz w:val="20"/>
                <w:szCs w:val="20"/>
                <w:color w:val="auto"/>
              </w:rPr>
            </w:pPr>
            <w:r>
              <w:rPr>
                <w:rFonts w:ascii="Arial" w:cs="Arial" w:eastAsia="Arial" w:hAnsi="Arial"/>
                <w:sz w:val="18"/>
                <w:szCs w:val="18"/>
                <w:b w:val="1"/>
                <w:bCs w:val="1"/>
                <w:color w:val="auto"/>
                <w:w w:val="86"/>
              </w:rPr>
              <w:t>(in thousands, except percentages)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11,332</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(406)</w:t>
            </w:r>
          </w:p>
        </w:tc>
        <w:tc>
          <w:tcPr>
            <w:tcW w:w="60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550"/>
              <w:spacing w:after="0"/>
              <w:rPr>
                <w:sz w:val="20"/>
                <w:szCs w:val="20"/>
                <w:color w:val="auto"/>
              </w:rPr>
            </w:pPr>
            <w:r>
              <w:rPr>
                <w:rFonts w:ascii="Arial" w:cs="Arial" w:eastAsia="Arial" w:hAnsi="Arial"/>
                <w:sz w:val="18"/>
                <w:szCs w:val="18"/>
                <w:color w:val="auto"/>
              </w:rPr>
              <w:t>(11,738)</w:t>
            </w:r>
          </w:p>
        </w:tc>
        <w:tc>
          <w:tcPr>
            <w:tcW w:w="10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(2891.1%)</w:t>
            </w:r>
          </w:p>
        </w:tc>
      </w:tr>
      <w:tr>
        <w:trPr>
          <w:trHeight w:val="473"/>
        </w:trPr>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jc w:val="center"/>
              <w:ind w:right="770"/>
              <w:spacing w:after="0"/>
              <w:rPr>
                <w:sz w:val="20"/>
                <w:szCs w:val="20"/>
                <w:color w:val="auto"/>
              </w:rPr>
            </w:pPr>
            <w:r>
              <w:rPr>
                <w:rFonts w:ascii="Arial" w:cs="Arial" w:eastAsia="Arial" w:hAnsi="Arial"/>
                <w:sz w:val="18"/>
                <w:szCs w:val="18"/>
                <w:b w:val="1"/>
                <w:bCs w:val="1"/>
                <w:color w:val="auto"/>
                <w:w w:val="88"/>
              </w:rPr>
              <w:t>Nine months ended September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gridSpan w:val="3"/>
          </w:tcPr>
          <w:p>
            <w:pPr>
              <w:jc w:val="center"/>
              <w:ind w:right="770"/>
              <w:spacing w:after="0"/>
              <w:rPr>
                <w:sz w:val="20"/>
                <w:szCs w:val="20"/>
                <w:color w:val="auto"/>
              </w:rPr>
            </w:pPr>
            <w:r>
              <w:rPr>
                <w:rFonts w:ascii="Arial" w:cs="Arial" w:eastAsia="Arial" w:hAnsi="Arial"/>
                <w:sz w:val="18"/>
                <w:szCs w:val="18"/>
                <w:b w:val="1"/>
                <w:bCs w:val="1"/>
                <w:color w:val="auto"/>
                <w:w w:val="86"/>
              </w:rPr>
              <w:t>(in thousands, except percentages)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11,472</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(541)</w:t>
            </w:r>
          </w:p>
        </w:tc>
        <w:tc>
          <w:tcPr>
            <w:tcW w:w="60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550"/>
              <w:spacing w:after="0"/>
              <w:rPr>
                <w:sz w:val="20"/>
                <w:szCs w:val="20"/>
                <w:color w:val="auto"/>
              </w:rPr>
            </w:pPr>
            <w:r>
              <w:rPr>
                <w:rFonts w:ascii="Arial" w:cs="Arial" w:eastAsia="Arial" w:hAnsi="Arial"/>
                <w:sz w:val="18"/>
                <w:szCs w:val="18"/>
                <w:color w:val="auto"/>
              </w:rPr>
              <w:t>(12,013)</w:t>
            </w:r>
          </w:p>
        </w:tc>
        <w:tc>
          <w:tcPr>
            <w:tcW w:w="10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(2220.5%)</w:t>
            </w:r>
          </w:p>
        </w:tc>
      </w:tr>
    </w:tbl>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recorded an income tax benefit of $11.3 million and $11.5 million for the three and nine months ended September 30, 2016, respectively, as compared to a tax provision of $0.4 million and $0.5 million for the three and nine months ended September, 2015, respectively. The income tax benefit recorded in the three and nine months ended September 30, 2016 was related to the release of the valuation allowance previously recorded against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From inception until our initial public offering in September 2013, we financed our operations through private sales of equity securities, cash generated from operations and from various lending arrangements. As of September 30, 2016, we had $24.1 million of unused borrowing capacity from all of our loan agreements. As of September 30, 2016, our cash, cash equivalents, restricted cash and short-term investments totaled $60.2 million. Cash and cash equivalents are held for working capital purposes and are invested primarily in money market or time deposit funds. We do not enter into investments for trading or speculative purposes. On October 17, 2016, we filed a Registration Statement on Form S-3 with the Securities and Exchange Commission, which was declared effective on November 1, 2016, providing for the public offer and sale of certain securities of the Company from time to time, at our discretion, up to an aggregate amount of $250 million.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6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5500" w:type="dxa"/>
            <w:vAlign w:val="bottom"/>
            <w:tcBorders>
              <w:bottom w:val="single" w:sz="8" w:color="EEEEEE"/>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5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EEEEEE"/>
            </w:tcBorders>
          </w:tcPr>
          <w:p>
            <w:pPr>
              <w:spacing w:after="0"/>
              <w:rPr>
                <w:sz w:val="19"/>
                <w:szCs w:val="19"/>
                <w:color w:val="auto"/>
              </w:rPr>
            </w:pPr>
          </w:p>
        </w:tc>
      </w:tr>
      <w:tr>
        <w:trPr>
          <w:trHeight w:val="210"/>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28,368</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(17,738)</w:t>
            </w:r>
          </w:p>
        </w:tc>
        <w:tc>
          <w:tcPr>
            <w:tcW w:w="120" w:type="dxa"/>
            <w:vAlign w:val="bottom"/>
            <w:shd w:val="clear" w:color="auto" w:fill="EEEEEE"/>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(31,906)</w:t>
            </w:r>
          </w:p>
        </w:tc>
        <w:tc>
          <w:tcPr>
            <w:tcW w:w="3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(35,657)</w:t>
            </w: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26,554</w:t>
            </w:r>
          </w:p>
        </w:tc>
        <w:tc>
          <w:tcPr>
            <w:tcW w:w="3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59,047</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4,817</w:t>
            </w:r>
          </w:p>
        </w:tc>
        <w:tc>
          <w:tcPr>
            <w:tcW w:w="3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r>
      <w:tr>
        <w:trPr>
          <w:trHeight w:val="223"/>
        </w:trPr>
        <w:tc>
          <w:tcPr>
            <w:tcW w:w="5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increase in cash and cash equivalents</w:t>
            </w:r>
          </w:p>
        </w:tc>
        <w:tc>
          <w:tcPr>
            <w:tcW w:w="1000" w:type="dxa"/>
            <w:vAlign w:val="bottom"/>
            <w:tcBorders>
              <w:top w:val="single" w:sz="8" w:color="auto"/>
              <w:bottom w:val="single" w:sz="8" w:color="auto"/>
            </w:tcBorders>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27,833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5,417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the nine months ended September 30, 2016, net cash provided by operating activities was $28.4 million. During the nine months ended September 30, 2016, we recorded net income of $17.0 million. The net income included non-cash charges, including depreciation and amortization of $9.9 million, share-based compensation expense of $2.8 million, non-cash increases to our inventory reserve account of $2.8 million, deferred income tax benefit of $11.9 million from the release of our valuation allowance and an unrealized exchange gain of $3.5 million. Cash provided by operating activities primarily related to a $9.4 million decrease in inventory related to sales orders and cash provided by the increase of accounts payable to our vendors of $3.9 million. These increases were offset by an increase in our accounts receivable of $5.4 million from the sale of our products in excess of collection of trade receivables.</w:t>
      </w:r>
    </w:p>
    <w:p>
      <w:pPr>
        <w:spacing w:after="0" w:line="16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the nine months ended September 30, 2015, net cash used in operating activities was $17.7 million. During the nine months ended September 30, 2015, we recorded net income of $8.1 million. The net income included non-cash charges, including depreciation and amortization of $6.7 million, share-based compensation expense of $1.6 million and non-cash increases to our inventory reserve account of $2.2 million. Cash used in operating activities was primarily related to a $30.6 million increase in inventory related to sales orders, an increase of $9.8 million in our accounts receivable from the sale of our products, a decrease of $4.1 million in other current assets, offset by $1.7 million of cash provided by an increase in accounts payable to our vendors.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For the nine months ended September 30, 2016, net cash used in investing activities was $31.9 million mainly for the purchase of additional machinery and equipment and investment in construction of our U.S. plant of $40.3 million, offset by the maturity of short term investments of $7.7 million.</w:t>
      </w:r>
    </w:p>
    <w:p>
      <w:pPr>
        <w:spacing w:after="0" w:line="12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For the nine months ended September 30, 2015, net cash used in investing activities was $35.7 million, $31.9 million for the purchase of additional machinery and equipment and investment in construction of our U.S. plant and $2.4 million used to increase deposits and deferred charges.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For the nine months ended September 30, 2016, our financing activities provided $26.6 million in cash. We received $28.9 million in net long-term borrowings associated with our bank loans, offset by $4.0 million of principal payment. In addition, we received net $1.3 million cash from our line of credit facility and $0.3 million of net cash receipt from acceptances payable.</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For the nine months ended September 30, 2015, our financing activities provided $59.0 million in cash. We received $21.8 million in net borrowings associated with our bank loans, $2.0 million in net proceeds from acceptances payable, offset by increased restricted cash of $3.1 million related to our bank loan requirements. We also received $38.7 million in net proceeds from our ATM Offering which was completed in August,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lending arrangements with several financial institutions, including a revolving line of credit and a term loan with East West Bank and Comerica Bank in the U.S., lines of credit and financing agreements for our Taiwan branch and several lines of credit arrangements for our China subsidiary. As of September 30, 2016, we had $24.1 million of unused borrowing capacity.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p>
      <w:pPr>
        <w:ind w:right="180" w:firstLine="648"/>
        <w:spacing w:after="0" w:line="291" w:lineRule="auto"/>
        <w:rPr>
          <w:sz w:val="20"/>
          <w:szCs w:val="20"/>
          <w:color w:val="auto"/>
        </w:rPr>
      </w:pPr>
      <w:r>
        <w:rPr>
          <w:rFonts w:ascii="Arial" w:cs="Arial" w:eastAsia="Arial" w:hAnsi="Arial"/>
          <w:sz w:val="16"/>
          <w:szCs w:val="16"/>
          <w:color w:val="auto"/>
        </w:rPr>
        <w:t>On June 24, 2016, we entered into a First Amendment to our Credit Agreement with East West Bank and Comerica Bank (“First Amendment”), a second lien deed of trust, multiple security agreements and promissory notes evidencing two credit facilities and a term loan originally entered into on June 30, 2015. The First Amendment increased our revolving lines of credit from $25 million to $40 million, which mature on June 30, 2018, and retains a $10.0 million term loan maturing on June 30, 2020. The First Amendment also provides for an additional $10.0 million equipment term loan with a one year drawdown period commencing on April 1, 2016 and maturing five years from the closing date of the First Amendment. The interest rate on these loans was lowered by the First Amendment from the LIBOR Borrowing Rate plus 2.75% or 3.0% to LIBOR Borrowing Rate plus 2.0%. As of September 30, 2016, $30.0 million was outstanding under the revolving line of credit. As of September 30, 2016, $9.8 million was outstanding under the term loan.</w:t>
      </w:r>
    </w:p>
    <w:p>
      <w:pPr>
        <w:spacing w:after="0" w:line="16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also have a term loan with East West Bank of $5.0 million with monthly payments of principal and interest that matures on July 31, 2019. As of September 30, 2016, the outstanding balance was $3.2 million.</w:t>
      </w:r>
    </w:p>
    <w:p>
      <w:pPr>
        <w:spacing w:after="0" w:line="170"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June 24, 2016, we executed a Change in Terms Agreement, Notice of Final Agreement and Modification of the Construction Loan Agreement (“Modification Agreement”) to our Construction Loan Agreement with East West Bank for up to $22.0 million dollars to finance the construction of the Company’s campus expansion plan in Sugar Land, Texas, originally dated January 26, 2015. Upon signing the original Construction Loan Agreement, the Company deposited $11.0 million into a restricted bank account for owner’s contribution of construction costs. The Modification Agreement has a fifteen month draw down period with monthly interest payments commencing on February 26, 2015 and ending on July 31, 2016. Thereafter, the entire outstanding principal balance shall be converted to a sixty-six month term loan with principal and interest payments due monthly amortized over three hundred months. The first principal and interest payment commenced on August 26, 2016, and continue the same day of each month thereafter. The final principal and interest payment is due on January 26, 2022 and will include all unpaid principal and all accrued and unpaid interest. We may pay without penalty all or a portion of the amount owed earlier than due. Under the Construction Loan Agreement, the loan bears interest at an annual rate based on the one-month LIBOR Borrowing Rate plus 2.75%, and the interest rate is reduced to LIBOR Borrowing Rate plus 2.0% under the Modification Agreement. As of September 30, 2016, there was $21.8 million outstanding under this loan agreement and there was $0.8 million in the restricted bank account.</w:t>
      </w:r>
    </w:p>
    <w:p>
      <w:pPr>
        <w:spacing w:after="0" w:line="173"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On September 27, 2016, we executed a Change in Terms Agreement, Notice of Final Agreement and Second Modification to the Construction Loan Agreement (“Second Modifications”) to its Construction Loan Agreement with East West Bank. The Second Modifications amends and restates in part the Company’s Promissory Note and Construction Loan Agreement which was originally executed on January 26, 2015, and the Modification Agreement. The draw down period end date, under the Second Modifications, is amended from July 31, 2016 to September 30, 2016. And thereafter, the entire outstanding principal balance shall be converted to a sixty-four (64) month term loan, amended from a sixty (66) month term loan, with principal and interest payments due monthly amortized over three hundred (300) months. The first principal and interest payment is due on October 26, 2016 and will continue on the same day of each month thereafter. The final principal and interest payment is due on January 26, 2022 and will include all unpaid principal and all accrued and unpaid interest. Except as expressly changed by the Second Modifications, the terms of the original obligation and the Modification Agreement remain unchanged.</w:t>
      </w:r>
    </w:p>
    <w:p>
      <w:pPr>
        <w:spacing w:after="0" w:line="19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loan and security agreements with East West Bank and Comerica Bank require us to maintain certain financial covenants, including a minimum cash balance, a current ratio, a maximum leverage ratio and a minimum fixed charge coverage ratio. As of September 30, 2016, we were in compliance with all covenants contained in these agreements.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February 19, 2016, our Taiwan branch renewed and increased its credit facility originally dated January 6, 2015 with CTBC Bank Co. Ltd. in Taipei, Taiwan for 320 million New Taiwan dollars, or approximately $10.3 million, one year revolving credit facility. The obligations under the credit facility are unsecured up to $6.3 million; the remaining $4.0 million is available provided that we purchase the same amount of secured certificates of deposit with the bank. Borrowings under the credit facility bear interest at a rate based on the bank’s corporate interest rate index plus 1.5% for the unsecured portion of the credit facility and bank’s corporate interest rate index plus 0.93% for the secured portion of the credit facility, adjusted monthly. As of the execution of the credit facility, the bank’s corporate interest rate index is 0.71%. As of September 30, 2016, no balance was outstanding for the secured loan and $6.3 million was outstanding under this unsecured credit facility.</w:t>
      </w:r>
    </w:p>
    <w:p>
      <w:pPr>
        <w:spacing w:after="0" w:line="18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April 8, 2016, our Taiwan branch renewed its 90 million New Taiwan dollars, or approximately $2.6 million, and 120 million New Taiwan dollars, or approximately $4.0 million, one year revolving credit facilities, originally dated March 9, 2015, with E. Sun Commercial Bank Co., Ltd. in Taipei, Taiwan. Borrowings under the 90 million New Taiwan dollars credit facility will bear interest at a rate equal to the LIBOR plus 1.7% divided by 0.946. Borrowings under the 120 million New Taiwan dollars credit facility will bear interest at a rate equal to the bank’s personal monthly time deposit interest rate plus 0.480%. Any future borrowings under the 120 million New Taiwan dollars credit facility are available provided that we purchase certificates of deposit in amounts equal to the borrowing from the bank. As of September 30, 2016, we have no balance outstanding under the 120 million New Taiwan dollars credit facility and we have $2.2 million outstanding under the 90 million New Taiwan dollars credit facility.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ind w:right="40" w:firstLine="648"/>
        <w:spacing w:after="0" w:line="270" w:lineRule="auto"/>
        <w:rPr>
          <w:sz w:val="20"/>
          <w:szCs w:val="20"/>
          <w:color w:val="auto"/>
        </w:rPr>
      </w:pPr>
      <w:r>
        <w:rPr>
          <w:rFonts w:ascii="Arial" w:cs="Arial" w:eastAsia="Arial" w:hAnsi="Arial"/>
          <w:sz w:val="17"/>
          <w:szCs w:val="17"/>
          <w:color w:val="auto"/>
        </w:rPr>
        <w:t>On December 22, 2015, our Taiwan branch renewed its $4.0 million credit facility, originally dated December 20, 2013, and entered into a $2.0 million, one year revolving credit facility agreement with Mega International Commercial Bank (“Mega Bank”). Obligations under the $4.0 million credit facility are available provided that we purchase certificates of deposit in amounts equal to the borrowing from Mega Bank. Borrowings under the $4.0 million credit facility bear interest at a rate not less than the LIBOR borrowing rate plus 1.0%, divided by 0.946 for U.S. and other currency borrowings; New Taiwan dollars borrowings bear interest at a rate equal to the bank’s base lending rate plus 0.76%. Borrowings under the $2.0 million credit facility bear interest at a rate not less than the LIBOR borrowing rate plus 1.2%, divided by 0.946 for U.S. dollar borrowings; New Taiwan dollars borrowings bear interest at a rate equal to the bank’s base lending rate plus 0.76% but shall not be less than 1.90%; and other currency borrowings shall bear interest at a rate at the bank’s based lending rate plus 1.0%, divided by 0.946. As of September 30, 2016, $2.0 million was outstanding under the unsecured credit facility and no balance was outstanding under the $4.0 million credit facility.</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April 22, 2016, our Taiwan branch entered into a Comprehensive Credit Line Agreement originally dated April 1, 2015, with the Taipei branch of China Construction Bank, providing a revolving credit line of $10 million, maturing on March 15, 2017. Borrowings under the Comprehensive Credit Line Agreement are secured by a standby letter of credit issued by the China branch of the bank under existing agreements between the bank and our China subsidiary. Borrowings under the Comprehensive Credit Line Agreement reduce the amounts available under the existing credit line between the bank and our China subsidiary and cannot exceed 97% of the amount of the standby letter of credit issued by the China branch of the bank. Borrowings under the Comprehensive Credit Line Agreement bear interest at a rate negotiated separately for each drawing depending on the nature of the borrowings. As of September 30, 2016, $6.9 million was outstanding under this credit facility with interest rates at approximately 2.67%..</w:t>
      </w:r>
    </w:p>
    <w:p>
      <w:pPr>
        <w:spacing w:after="0" w:line="17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On June 30, 2015, our Taiwan branch entered into a Purchase and Sale Contract and a Finance Lease Agreement with Chailease Finance Co, Ltd. (“Chailease”) in connection with certain equipment, structured as a sale lease-back transaction. Pursuant to the sale contract, our Taiwan branch sold certain equipment to Chailease for a purchase price of 115,240,903 New Taiwan dollars, approximately $3.7 million, and simultaneously leased the equipment back from Chailease pursuant to the Finance Lease Agreement. The monthly lease payments range from 2,088,804 New Taiwan dollars, approximately $0.1 million, to 2,364,650 New Taiwan dollars, approximately $0.1 million, during the term of the Finance Lease Agreement, including an initial payment in an amount of 40,240,903 New Taiwan dollars, approximately $1.3 million. The Finance Lease Agreement has a three year term, with monthly payments, maturing on May 27 and June 30, 2018 respectively. The title to the equipment will be transferred to our Taiwan branch upon the expiration of the Finance Lease Agreement. As of September 30, 2016, $3.5 million was outstanding under this Finance Lease Agreement.</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March 31, 2016, our Taiwan branch entered into a Purchase and Sale Contract and a Finance Lease Agreement with Chailease in connection with certain equipment, structured as a sale lease-back transaction. Pursuant to the Purchase and Sale Contract, our Taiwan branch sold certain equipment to Chailease for a purchase price of 312,927,180 New Taiwan dollars, approximately $10.1 million, and simultaneously leased the equipment back from Chailease pursuant to the Finance Lease Agreement. The Finance Lease Agreement has a three 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our Taiwan branch upon the expiration of the Finance Lease Agreement. As of September 30, 2016, $6.6 million was outstanding under this Finance Lease Agreement.</w:t>
      </w:r>
    </w:p>
    <w:p>
      <w:pPr>
        <w:spacing w:after="0" w:line="166"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As of September 30, 2016, our Chinese subsidiary had credit facilities with China Construction Bank totaling $13.3 million, which can be drawn in U.S. currency, RMB currency, issuing bank acceptance notes to vendors with different interest rates or issuing standby letters of credit. As of September 30, 2016, our Chinese subsidiary used $7.0 million of its credit facility and issued standby letters of credit as collateral for our Taiwan branch line of credit with China Construction Bank. As of September 30, 2016, we had no outstanding balance for the U.S. currency based loan. The outstanding balances of bank acceptance notes issued to vendors were $3.2 million with zero interest rate as of September 30, 2016.</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2016, there was $4.9 million of restricted cash, investments or security deposit associated mainly with the loan facilities.</w:t>
      </w:r>
    </w:p>
    <w:p>
      <w:pPr>
        <w:spacing w:after="0" w:line="23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nine months, and such notes receivable may be redeemed with the issuing bank prior to maturity at a discount. Historically, we have collected on the notes receivable in full at the time of maturity.</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believe that our existing cash and cash equivalents, and cash flows from our operating activities and borrowings from our lenders,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including our equity financing under our Registration Statement filed with the SEC in October 2016. The sale of additional equity or debt security could result in additional dilution to our stockholders, and its terms and prices may not be acceptable to us. If we are unable to raise additional capital when desired, our business, operating results and financial condition would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September 30, 2016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6"/>
              </w:rPr>
              <w:t>Less than 1</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Year</w:t>
            </w:r>
          </w:p>
        </w:tc>
        <w:tc>
          <w:tcPr>
            <w:tcW w:w="3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1-3 Years</w:t>
            </w:r>
          </w:p>
        </w:tc>
        <w:tc>
          <w:tcPr>
            <w:tcW w:w="32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3-5 Years</w:t>
            </w:r>
          </w:p>
        </w:tc>
        <w:tc>
          <w:tcPr>
            <w:tcW w:w="320" w:type="dxa"/>
            <w:vAlign w:val="bottom"/>
            <w:tcBorders>
              <w:bottom w:val="single" w:sz="8" w:color="EEEEEE"/>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00" w:type="dxa"/>
            <w:vAlign w:val="bottom"/>
            <w:tcBorders>
              <w:bottom w:val="single" w:sz="8" w:color="EEEEEE"/>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shd w:val="clear" w:color="auto" w:fill="EEEEEE"/>
          </w:tcPr>
          <w:p>
            <w:pPr>
              <w:ind w:left="140"/>
              <w:spacing w:after="0" w:line="236" w:lineRule="exact"/>
              <w:rPr>
                <w:sz w:val="20"/>
                <w:szCs w:val="20"/>
                <w:color w:val="auto"/>
              </w:rPr>
            </w:pPr>
            <w:r>
              <w:rPr>
                <w:rFonts w:ascii="Arial" w:cs="Arial" w:eastAsia="Arial" w:hAnsi="Arial"/>
                <w:sz w:val="17"/>
                <w:szCs w:val="17"/>
                <w:color w:val="auto"/>
              </w:rPr>
              <w:t>Bank acceptance payable and long-term debt</w:t>
            </w:r>
            <w:r>
              <w:rPr>
                <w:rFonts w:ascii="Arial" w:cs="Arial" w:eastAsia="Arial" w:hAnsi="Arial"/>
                <w:sz w:val="27"/>
                <w:szCs w:val="27"/>
                <w:color w:val="auto"/>
                <w:vertAlign w:val="superscript"/>
              </w:rPr>
              <w:t>(1)</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95,524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28,323</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44,319</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4,381</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18,501</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tcPr>
          <w:p>
            <w:pPr>
              <w:ind w:left="140"/>
              <w:spacing w:after="0" w:line="269" w:lineRule="exact"/>
              <w:rPr>
                <w:sz w:val="20"/>
                <w:szCs w:val="20"/>
                <w:color w:val="auto"/>
              </w:rPr>
            </w:pPr>
            <w:r>
              <w:rPr>
                <w:rFonts w:ascii="Arial" w:cs="Arial" w:eastAsia="Arial" w:hAnsi="Arial"/>
                <w:sz w:val="18"/>
                <w:szCs w:val="18"/>
                <w:color w:val="auto"/>
              </w:rPr>
              <w:t>Operating leases</w:t>
            </w:r>
            <w:r>
              <w:rPr>
                <w:rFonts w:ascii="Arial" w:cs="Arial" w:eastAsia="Arial" w:hAnsi="Arial"/>
                <w:sz w:val="30"/>
                <w:szCs w:val="30"/>
                <w:color w:val="auto"/>
                <w:vertAlign w:val="superscript"/>
              </w:rPr>
              <w:t>(2)</w:t>
            </w:r>
          </w:p>
        </w:tc>
        <w:tc>
          <w:tcPr>
            <w:tcW w:w="240" w:type="dxa"/>
            <w:vAlign w:val="bottom"/>
          </w:tcPr>
          <w:p>
            <w:pPr>
              <w:spacing w:after="0"/>
              <w:rPr>
                <w:sz w:val="23"/>
                <w:szCs w:val="2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13,039</w:t>
            </w:r>
          </w:p>
        </w:tc>
        <w:tc>
          <w:tcPr>
            <w:tcW w:w="120" w:type="dxa"/>
            <w:vAlign w:val="bottom"/>
          </w:tcPr>
          <w:p>
            <w:pPr>
              <w:spacing w:after="0"/>
              <w:rPr>
                <w:sz w:val="23"/>
                <w:szCs w:val="23"/>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913</w:t>
            </w:r>
          </w:p>
        </w:tc>
        <w:tc>
          <w:tcPr>
            <w:tcW w:w="160" w:type="dxa"/>
            <w:vAlign w:val="bottom"/>
          </w:tcPr>
          <w:p>
            <w:pPr>
              <w:spacing w:after="0"/>
              <w:rPr>
                <w:sz w:val="23"/>
                <w:szCs w:val="23"/>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2,893</w:t>
            </w:r>
          </w:p>
        </w:tc>
        <w:tc>
          <w:tcPr>
            <w:tcW w:w="160" w:type="dxa"/>
            <w:vAlign w:val="bottom"/>
          </w:tcPr>
          <w:p>
            <w:pPr>
              <w:spacing w:after="0"/>
              <w:rPr>
                <w:sz w:val="23"/>
                <w:szCs w:val="23"/>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5,187</w:t>
            </w:r>
          </w:p>
        </w:tc>
        <w:tc>
          <w:tcPr>
            <w:tcW w:w="8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4,046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commitments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108,563</w:t>
            </w:r>
          </w:p>
        </w:tc>
        <w:tc>
          <w:tcPr>
            <w:tcW w:w="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29,236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47,212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9,568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22,547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right="280" w:hanging="352"/>
        <w:spacing w:after="0" w:line="258"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term loans and bank acceptance notes. The amount presented in the table represents the principal portion of the obligations.</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entered into various non-cancellable operating lease agreements for our offices in Taiwan.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sales or operating results or on the prices of raw materials. However, an increase in the rate of inflation in the future may have an adverse effect on our levels of gross profit if material prices rise and if sales prices for our products do not proportionately increase. Changes in the proportion of our operations in China or Taiwan may result in the rate of inflation having a more significant impact on our operating results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three and nine months ended September 30, 2016, we did not, and we do not currently, have any off-balance sheet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our annual report on Form 10-K for the year ended December 31, 2015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 billion will, in general, qualify as an “emerging growth company” until the earliest of:</w:t>
      </w:r>
    </w:p>
    <w:p>
      <w:pPr>
        <w:spacing w:after="0" w:line="14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 billion or more;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 billion in non-convertible debt; and</w:t>
      </w:r>
    </w:p>
    <w:p>
      <w:pPr>
        <w:spacing w:after="0" w:line="225" w:lineRule="exact"/>
        <w:rPr>
          <w:rFonts w:ascii="Arial" w:cs="Arial" w:eastAsia="Arial" w:hAnsi="Arial"/>
          <w:sz w:val="18"/>
          <w:szCs w:val="18"/>
          <w:color w:val="auto"/>
        </w:rPr>
      </w:pPr>
    </w:p>
    <w:p>
      <w:pPr>
        <w:ind w:left="980" w:right="280" w:hanging="324"/>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date on which it is deemed to be a “large accelerated filer,” which will occur at such time as the company (a) has an aggregate worldwide market value of common equity securities held by non-affiliates of $700 million or more as of the last business day of its most recently completed second fiscal quarter, (b) has been required to file annual and quarterly reports under the Exchange Act for a period of at least 12 months and (c) has filed at least one annual report pursuant to the Securities Act of 1934, as amended.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this definition, we are an “emerging growth company” and could remain one until as late as December 31, 2018.</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the Company, see Item 7A – Quantitative and Qualitative Disclosures about Market Risk in our Annual Report on Form 10-K for the fiscal year ended December 31, 2015. We do not believe the Company’s exposure to market risk has changed materially since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2016. Based upon that evaluation, our Chief Executive Officer and Chief Financial Officer concluded that, as of the end of the period covered by this report, our disclosure controls and procedures were effective.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2016, we were not involved in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generate much of our revenue from a limited number of customers. In 2015, 2014 and 2013 and the three and nine months ended September 30, 2016, our top ten customers represented 88.7%, 87.2%, 76.9%, 95.5% and 95.2% of our revenue, respectively. In 2015, Amazon represented 52.5% of our revenue, Microsoft represented 11.6% of our revenue, and Cisco represented 10.4%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6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For example, in January 2016, Arris Group Inc. (“Arris”) completed its purchase of Pace Plc (“Pace”). Pace and Arris have historically been our customers, and if we fail to achieve historical levels of sales of our products to the new entity, the loss or reduction in sales could have an adverse effect on our business, financial condition, results of operations, and cash flows.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5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If the CATV market does not continue to develop as we expect, or if there is any downturn in this market, our business would be adversely affected.</w:t>
      </w:r>
    </w:p>
    <w:p>
      <w:pPr>
        <w:spacing w:after="0" w:line="24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Historically, we have generated much of our revenue from the CATV market. In 2015, 2014 and 2013, the CATV market represented 28.3%, 36.3% and 60.4%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expanded to new facilities in our Sugar Land, TX location. These facilities will add significant additional costs and if we fail to adequately utilize the additional production capacity, our results of operations will suffer.</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2015, we began construction of two new buildings located immediately adjacent to our existing headquarters building in Sugar Land, TX. The construction of these two new buildings was completed in May, 2016. The estimated cost of construction for these new facilities is approximately $33 million, and we expect to invest significant additional resources to add production equipment to the new facilities. Much of this equipment must be ordered far in advance of its delivery date, and accordingly we must make the decision to purchase equipment long before we see additional orders for our products. While we endeavor to order equipment that is flexible in utilization, if we over-estimate aggregate demand for our products, or if we fail to accurately predict the types of products that customers will demand in the future, we may be forced to under-utilize this equipment, which could result in asset impairment charges, additional costs to reconfigure equipment to be used in other production, or other charges that would negatively affect our results of operations. Any delay to our start-up schedule for this new equipment could cause us to have insufficient production capacity to meet customer orders.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operating history in the FTTH market, and our business could be harmed if this market does not develop as we expect.</w:t>
      </w:r>
    </w:p>
    <w:p>
      <w:pPr>
        <w:spacing w:after="0" w:line="23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2015 and 2014, respectively, we generated 1.3%, and 10.4% of our revenue from the FTTH market. We have only recently begun offering products to the FTTH market, and our WDM-PON products designed for this market have not yet,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gigabit per second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1,960 of our employees as of December 31, 2015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have a substantial accumulated deficit.</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have a history of losses and have a substantial accumulated deficit. In the years ended December 31, 2013 and 2012, we experienced net losses of $1.4 million and $0.9 million, respectively. In 2014 and 2015, we experienced profit of $4.3 million and $10.8 million, respectively. As of December 31, 2015 and 2014, our accumulated deficit was $68.2 million and $79.0 million, respectively. Our losses in past years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quarter-to-quarter due to a number of factors, which may lead to volatility in our stock price.</w:t>
      </w:r>
    </w:p>
    <w:p>
      <w:pPr>
        <w:spacing w:after="0" w:line="24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design, manufacture and deliver products which meet customer requirements in a timely and cost-effective manner;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800" w:right="599" w:bottom="1440" w:gutter="0" w:footer="0" w:header="0"/>
        </w:sectPr>
      </w:pPr>
    </w:p>
    <w:bookmarkStart w:id="36" w:name="page37"/>
    <w:bookmarkEnd w:id="36"/>
    <w:p>
      <w:pPr>
        <w:ind w:firstLine="648"/>
        <w:spacing w:after="0" w:line="255"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outside contract manufacturers for a portion of the manufacturing process for some of our products.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2015, 2014 and 2013, 19.0%, 29.5% and 41.0%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8" w:name="page39"/>
    <w:bookmarkEnd w:id="38"/>
    <w:p>
      <w:pPr>
        <w:ind w:right="40"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lending arrangements with several financial institutions, including loan agreements with East West Bank and Comerica Bank in the U.S., and our Taiwan location and China subsidiary have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East West Bank and Comerica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difficulties integrating the business relationships with suppliers and customers of the acquired business with our existing business relationships;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0" w:name="page41"/>
    <w:bookmarkEnd w:id="40"/>
    <w:p>
      <w:pPr>
        <w:ind w:right="20" w:firstLine="648"/>
        <w:spacing w:after="0" w:line="293"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6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1" w:name="page42"/>
    <w:bookmarkEnd w:id="41"/>
    <w:p>
      <w:pPr>
        <w:ind w:firstLine="648"/>
        <w:spacing w:after="0" w:line="270"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8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2" w:name="page43"/>
    <w:bookmarkEnd w:id="42"/>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w:t>
      </w:r>
    </w:p>
    <w:p>
      <w:pPr>
        <w:spacing w:after="0" w:line="5" w:lineRule="exact"/>
        <w:rPr>
          <w:sz w:val="20"/>
          <w:szCs w:val="20"/>
          <w:color w:val="auto"/>
        </w:rPr>
      </w:pPr>
    </w:p>
    <w:p>
      <w:pPr>
        <w:ind w:right="600"/>
        <w:spacing w:after="0" w:line="255" w:lineRule="auto"/>
        <w:rPr>
          <w:sz w:val="20"/>
          <w:szCs w:val="20"/>
          <w:color w:val="auto"/>
        </w:rPr>
      </w:pPr>
      <w:r>
        <w:rPr>
          <w:rFonts w:ascii="Arial" w:cs="Arial" w:eastAsia="Arial" w:hAnsi="Arial"/>
          <w:sz w:val="18"/>
          <w:szCs w:val="18"/>
          <w:color w:val="auto"/>
        </w:rPr>
        <w:t>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9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December 31, 2015, we had U.S. accumulated net operating losses, or NOLs, of approximately $50.3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and therefore our annual utilization of our NOLs is limited. In addition, should we experience additional ownership changes, our NOL carry forwards may be further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We are exposed to risks and increased expenses and business risk as a result of Restriction on Hazardous Substances, or RoHS directives.</w:t>
      </w:r>
    </w:p>
    <w:p>
      <w:pPr>
        <w:spacing w:after="0" w:line="23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01"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initial conflict minerals report on Form SD on May 31, 2016.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business operations conducted in China are critical to our success. A total of $20.6 million, $22.0 million and $31.9 million or 11.0% 16.9% and 40.6%, of our revenue in the years ended December 31, 2015, 2014 and 2013 was attributable to our product manufacturing plants in China, respectively. Additionally, a substantial portion of our property, plant and equipment, 22% and 26% as of December 31, 2015 and 2014,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5" w:name="page46"/>
    <w:bookmarkEnd w:id="45"/>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6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has applied to calendar years 2015, 2014, 2013 and 2012. We have not yet realized any benefit from the 10% reduction in income tax rate due to losses incurred by our China subsidiary; however, if we fail to continue to qualify for this preferential rate in the future, we may incur higher tax rates on our income in China. In order to retain the preferential tax rate, we must meet certain operating conditions, satisfy certain product requirements, meet certain headcount requirements and maintain certain levels of research expenditures. We applied for an additional three years of preferential status with the Chinese government in 2014 and received approval as a high-technology enterprise through September 2017. Any future increase in the enterprise income tax rate applicable to us or the expiration or other limitation of preferential tax rates available to us could increase our tax liabilities and reduce our net income.</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China regulation of loans to and direct investment by offshore holding companies in China entities may delay or prevent us from making loans or additional capital contributions to our China subsidiary.</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7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We currently do not plan to declare or pay dividends on shares of our common stock in the foreseeable future. In addition, the terms of our loan and security agreement with East West Bank and Comerica Bank restrict our ability to pay dividends.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7" w:name="page48"/>
    <w:bookmarkEnd w:id="47"/>
    <w:p>
      <w:pPr>
        <w:ind w:right="14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issued under such plans.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8" w:name="page49"/>
    <w:bookmarkEnd w:id="48"/>
    <w:p>
      <w:pPr>
        <w:ind w:right="440"/>
        <w:spacing w:after="0" w:line="277" w:lineRule="auto"/>
        <w:rPr>
          <w:sz w:val="20"/>
          <w:szCs w:val="20"/>
          <w:color w:val="auto"/>
        </w:rPr>
      </w:pPr>
      <w:r>
        <w:rPr>
          <w:rFonts w:ascii="Arial" w:cs="Arial" w:eastAsia="Arial" w:hAnsi="Arial"/>
          <w:sz w:val="18"/>
          <w:szCs w:val="18"/>
          <w:b w:val="1"/>
          <w:bCs w:val="1"/>
          <w:i w:val="1"/>
          <w:iCs w:val="1"/>
          <w:color w:val="auto"/>
        </w:rPr>
        <w:t>As an “emerging growth company” within the meaning of the Securities Act, we utilize certain modified disclosure requirements, and we cannot be certain if these reduced requirements will make our common stock less attractive to investors.</w:t>
      </w:r>
    </w:p>
    <w:p>
      <w:pPr>
        <w:spacing w:after="0" w:line="17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We are an emerging growth company within the meaning of the rules under the Securities Act. We have in this Quarterly Report on Form 10-Q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49" w:name="page50"/>
    <w:bookmarkEnd w:id="49"/>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5080" w:type="dxa"/>
            <w:vAlign w:val="bottom"/>
            <w:gridSpan w:val="3"/>
          </w:tcPr>
          <w:p>
            <w:pPr>
              <w:ind w:left="1960"/>
              <w:spacing w:after="0"/>
              <w:rPr>
                <w:sz w:val="20"/>
                <w:szCs w:val="20"/>
                <w:color w:val="auto"/>
              </w:rPr>
            </w:pPr>
            <w:r>
              <w:rPr>
                <w:rFonts w:ascii="Arial" w:cs="Arial" w:eastAsia="Arial" w:hAnsi="Arial"/>
                <w:sz w:val="18"/>
                <w:szCs w:val="18"/>
                <w:b w:val="1"/>
                <w:bCs w:val="1"/>
                <w:color w:val="auto"/>
              </w:rPr>
              <w:t>APPLIED OPTOELECTRONICS, INC.</w:t>
            </w:r>
          </w:p>
        </w:tc>
      </w:tr>
      <w:tr>
        <w:trPr>
          <w:trHeight w:val="608"/>
        </w:trPr>
        <w:tc>
          <w:tcPr>
            <w:tcW w:w="3760" w:type="dxa"/>
            <w:vAlign w:val="bottom"/>
          </w:tcPr>
          <w:p>
            <w:pPr>
              <w:spacing w:after="0"/>
              <w:rPr>
                <w:sz w:val="20"/>
                <w:szCs w:val="20"/>
                <w:color w:val="auto"/>
              </w:rPr>
            </w:pPr>
            <w:r>
              <w:rPr>
                <w:rFonts w:ascii="Arial" w:cs="Arial" w:eastAsia="Arial" w:hAnsi="Arial"/>
                <w:sz w:val="18"/>
                <w:szCs w:val="18"/>
                <w:color w:val="auto"/>
              </w:rPr>
              <w:t>Date: November 8, 2016</w:t>
            </w:r>
          </w:p>
        </w:tc>
        <w:tc>
          <w:tcPr>
            <w:tcW w:w="5080" w:type="dxa"/>
            <w:vAlign w:val="bottom"/>
            <w:gridSpan w:val="3"/>
          </w:tcPr>
          <w:p>
            <w:pPr>
              <w:ind w:left="1960"/>
              <w:spacing w:after="0"/>
              <w:rPr>
                <w:sz w:val="20"/>
                <w:szCs w:val="20"/>
                <w:color w:val="auto"/>
              </w:rPr>
            </w:pPr>
            <w:r>
              <w:rPr>
                <w:rFonts w:ascii="Arial" w:cs="Arial" w:eastAsia="Arial" w:hAnsi="Arial"/>
                <w:sz w:val="18"/>
                <w:szCs w:val="18"/>
                <w:color w:val="auto"/>
              </w:rPr>
              <w:t>By:    /s/ STEFAN J. MURRY</w:t>
            </w:r>
          </w:p>
        </w:tc>
      </w:tr>
      <w:tr>
        <w:trPr>
          <w:trHeight w:val="222"/>
        </w:trPr>
        <w:tc>
          <w:tcPr>
            <w:tcW w:w="37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c>
          <w:tcPr>
            <w:tcW w:w="820" w:type="dxa"/>
            <w:vAlign w:val="bottom"/>
          </w:tcPr>
          <w:p>
            <w:pPr>
              <w:spacing w:after="0"/>
              <w:rPr>
                <w:sz w:val="19"/>
                <w:szCs w:val="19"/>
                <w:color w:val="auto"/>
              </w:rPr>
            </w:pPr>
          </w:p>
        </w:tc>
      </w:tr>
      <w:tr>
        <w:trPr>
          <w:trHeight w:val="216"/>
        </w:trPr>
        <w:tc>
          <w:tcPr>
            <w:tcW w:w="3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796" w:right="3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80" w:type="dxa"/>
            <w:vAlign w:val="bottom"/>
          </w:tcPr>
          <w:p>
            <w:pPr>
              <w:ind w:left="2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92"/>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3"/>
              </w:rPr>
              <w:t>Amended and Restated Certificate of Incorporation, as currently in effect (filed as Exhibit 3.1 to the Registrant’s Quarterly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10-Q filed with the Securities and Exchange Commission on November 14,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3.2*</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3"/>
              </w:rPr>
              <w:t>Amended and Restated Bylaws, as currently in effect (filed as Exhibit 3.2 to the Registrant’s Quarterly Report on Form 10-Q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Securities and Exchange Commission on November 14,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4.1*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7"/>
              </w:rPr>
              <w:t>Common Stock Specimen (filed as Exhibit 4.1 to the Registrant’s Current Report on Form 8-K filed with the Securities and Exchange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Commission on July 15, 2015).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520" w:type="dxa"/>
            <w:vAlign w:val="bottom"/>
          </w:tcPr>
          <w:p>
            <w:pPr>
              <w:spacing w:after="0"/>
              <w:rPr>
                <w:sz w:val="17"/>
                <w:szCs w:val="17"/>
                <w:color w:val="auto"/>
              </w:rPr>
            </w:pPr>
          </w:p>
        </w:tc>
        <w:tc>
          <w:tcPr>
            <w:tcW w:w="10260" w:type="dxa"/>
            <w:vAlign w:val="bottom"/>
            <w:gridSpan w:val="2"/>
          </w:tcPr>
          <w:p>
            <w:pPr>
              <w:spacing w:after="0" w:line="201" w:lineRule="exact"/>
              <w:rPr>
                <w:sz w:val="20"/>
                <w:szCs w:val="20"/>
                <w:color w:val="auto"/>
              </w:rPr>
            </w:pPr>
            <w:r>
              <w:rPr>
                <w:rFonts w:ascii="Arial" w:cs="Arial" w:eastAsia="Arial" w:hAnsi="Arial"/>
                <w:sz w:val="18"/>
                <w:szCs w:val="18"/>
                <w:color w:val="auto"/>
                <w:w w:val="91"/>
              </w:rPr>
              <w:t>Change in Terms Agreement, dated October 5, 2016, between Applied Optoelectronics, Inc. and East West Bank (filed as Exhibit 10.1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Registrant’s Current Report on Form 8-K filed with the Securities and Exchange Commission on October 7,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10.2*</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3"/>
              </w:rPr>
              <w:t>Notice of Final Agreement, dated October 5, 2016, between Applied Optoelectronics, Inc. and East West Bank (filed as Exhibit 10.2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Registrant’s Current Report on Form 8-K filed with the Securities and Exchange Commission on October 7,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line="201" w:lineRule="exact"/>
              <w:rPr>
                <w:sz w:val="20"/>
                <w:szCs w:val="20"/>
                <w:color w:val="auto"/>
              </w:rPr>
            </w:pPr>
            <w:r>
              <w:rPr>
                <w:rFonts w:ascii="Arial" w:cs="Arial" w:eastAsia="Arial" w:hAnsi="Arial"/>
                <w:sz w:val="18"/>
                <w:szCs w:val="18"/>
                <w:color w:val="auto"/>
              </w:rPr>
              <w:t>10.3*</w:t>
            </w:r>
          </w:p>
        </w:tc>
        <w:tc>
          <w:tcPr>
            <w:tcW w:w="520" w:type="dxa"/>
            <w:vAlign w:val="bottom"/>
          </w:tcPr>
          <w:p>
            <w:pPr>
              <w:spacing w:after="0"/>
              <w:rPr>
                <w:sz w:val="17"/>
                <w:szCs w:val="17"/>
                <w:color w:val="auto"/>
              </w:rPr>
            </w:pPr>
          </w:p>
        </w:tc>
        <w:tc>
          <w:tcPr>
            <w:tcW w:w="10260" w:type="dxa"/>
            <w:vAlign w:val="bottom"/>
            <w:gridSpan w:val="2"/>
          </w:tcPr>
          <w:p>
            <w:pPr>
              <w:spacing w:after="0" w:line="201" w:lineRule="exact"/>
              <w:rPr>
                <w:sz w:val="20"/>
                <w:szCs w:val="20"/>
                <w:color w:val="auto"/>
              </w:rPr>
            </w:pPr>
            <w:r>
              <w:rPr>
                <w:rFonts w:ascii="Arial" w:cs="Arial" w:eastAsia="Arial" w:hAnsi="Arial"/>
                <w:sz w:val="18"/>
                <w:szCs w:val="18"/>
                <w:color w:val="auto"/>
                <w:w w:val="90"/>
              </w:rPr>
              <w:t>Second Modification to the Construction Loan Agreement, dated October 5, 2016, between Applied Optoelectronics, Inc. and East West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(filed as Exhibit 10.3 to the Registrant’s Current Report on Form 8-K filed with the Securities and Exchange Commission on October 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2016).</w:t>
            </w:r>
          </w:p>
        </w:tc>
        <w:tc>
          <w:tcPr>
            <w:tcW w:w="9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31.1**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2"/>
              </w:rPr>
              <w:t>Certification of Chief Executive Officer pursuant to Exchange Act Rule, 13a-14(a) and 15d-14(a), as adopted pursuant to Section 302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31.2**</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3"/>
              </w:rPr>
              <w:t>Certification of Chief Financial Officer pursuant to Exchange Act Rule, 13a-14(a) and 15d-14(a), as adopted pursuant to Section 302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32.1**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1"/>
              </w:rPr>
              <w:t>Certification pursuant to 18 U.S.C. 1350, adopted pursuant to Section 906 of the Sarbanes-Oxley Act of 2002, by Chief Executive Officer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700" w:hanging="69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w:t>
      </w:r>
    </w:p>
    <w:p>
      <w:pPr>
        <w:spacing w:after="0" w:line="23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1420" w:hanging="1412"/>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1420" w:right="520" w:hanging="1412"/>
        <w:spacing w:after="0" w:line="264"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1420" w:right="520" w:hanging="1412"/>
        <w:spacing w:after="0" w:line="264"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jc w:val="both"/>
        <w:ind w:left="1420" w:right="520" w:hanging="1412"/>
        <w:spacing w:after="0" w:line="286" w:lineRule="auto"/>
        <w:tabs>
          <w:tab w:leader="none" w:pos="1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2040" w:hanging="254"/>
        <w:spacing w:after="0" w:line="259" w:lineRule="auto"/>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2040" w:hanging="264"/>
        <w:spacing w:after="0" w:line="259" w:lineRule="auto"/>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2040" w:hanging="254"/>
        <w:spacing w:after="0" w:line="264" w:lineRule="auto"/>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2040" w:hanging="264"/>
        <w:spacing w:after="0" w:line="259" w:lineRule="auto"/>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1420" w:right="520" w:hanging="1412"/>
        <w:spacing w:after="0" w:line="264"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jc w:val="both"/>
        <w:ind w:left="2040" w:hanging="254"/>
        <w:spacing w:after="0" w:line="264" w:lineRule="auto"/>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2040" w:hanging="264"/>
        <w:spacing w:after="0" w:line="277" w:lineRule="auto"/>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1420" w:hanging="1412"/>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1420" w:right="520" w:hanging="1412"/>
        <w:spacing w:after="0" w:line="264"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1420" w:right="520" w:hanging="1412"/>
        <w:spacing w:after="0" w:line="264"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jc w:val="both"/>
        <w:ind w:left="1420" w:right="520" w:hanging="1412"/>
        <w:spacing w:after="0" w:line="286" w:lineRule="auto"/>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2040" w:hanging="254"/>
        <w:spacing w:after="0" w:line="259" w:lineRule="auto"/>
        <w:tabs>
          <w:tab w:leader="none" w:pos="2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2040" w:hanging="264"/>
        <w:spacing w:after="0" w:line="259" w:lineRule="auto"/>
        <w:tabs>
          <w:tab w:leader="none" w:pos="2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2040" w:hanging="254"/>
        <w:spacing w:after="0" w:line="264" w:lineRule="auto"/>
        <w:tabs>
          <w:tab w:leader="none" w:pos="2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2040" w:hanging="264"/>
        <w:spacing w:after="0" w:line="259" w:lineRule="auto"/>
        <w:tabs>
          <w:tab w:leader="none" w:pos="2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1420" w:right="520" w:hanging="1412"/>
        <w:spacing w:after="0" w:line="264"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jc w:val="both"/>
        <w:ind w:left="2040" w:hanging="254"/>
        <w:spacing w:after="0" w:line="264" w:lineRule="auto"/>
        <w:tabs>
          <w:tab w:leader="none" w:pos="2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2040" w:hanging="264"/>
        <w:spacing w:after="0" w:line="277" w:lineRule="auto"/>
        <w:tabs>
          <w:tab w:leader="none" w:pos="2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7" w:lineRule="exact"/>
        <w:rPr>
          <w:sz w:val="20"/>
          <w:szCs w:val="20"/>
          <w:color w:val="auto"/>
        </w:rPr>
      </w:pPr>
    </w:p>
    <w:p>
      <w:pPr>
        <w:ind w:left="980" w:hanging="459"/>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2016, to which this Certification is attached as Exhibit 32.1 (the “Quarterly Report”) fully complies with the requirements of Section 13(a) or Section 15(d) of the Exchange Act; and</w:t>
      </w:r>
    </w:p>
    <w:p>
      <w:pPr>
        <w:spacing w:after="0" w:line="146" w:lineRule="exact"/>
        <w:rPr>
          <w:rFonts w:ascii="Arial" w:cs="Arial" w:eastAsia="Arial" w:hAnsi="Arial"/>
          <w:sz w:val="17"/>
          <w:szCs w:val="17"/>
          <w:color w:val="auto"/>
        </w:rPr>
      </w:pPr>
    </w:p>
    <w:p>
      <w:pPr>
        <w:ind w:left="980" w:hanging="459"/>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the operation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Arial" w:cs="Arial" w:eastAsia="Arial" w:hAnsi="Arial"/>
                <w:sz w:val="18"/>
                <w:szCs w:val="18"/>
                <w:color w:val="auto"/>
              </w:rPr>
              <w:t>/s/ CHIH-HSIANG (THOMPSON) LIN</w:t>
            </w:r>
          </w:p>
        </w:tc>
        <w:tc>
          <w:tcPr>
            <w:tcW w:w="1740" w:type="dxa"/>
            <w:vAlign w:val="bottom"/>
          </w:tcPr>
          <w:p>
            <w:pPr>
              <w:spacing w:after="0"/>
              <w:rPr>
                <w:sz w:val="20"/>
                <w:szCs w:val="20"/>
                <w:color w:val="auto"/>
              </w:rPr>
            </w:pPr>
            <w:r>
              <w:rPr>
                <w:rFonts w:ascii="Arial" w:cs="Arial" w:eastAsia="Arial" w:hAnsi="Arial"/>
                <w:sz w:val="18"/>
                <w:szCs w:val="18"/>
                <w:color w:val="auto"/>
                <w:w w:val="92"/>
              </w:rPr>
              <w:t>/s/ STEFAN J. MURRY</w:t>
            </w:r>
          </w:p>
        </w:tc>
      </w:tr>
      <w:tr>
        <w:trPr>
          <w:trHeight w:val="222"/>
        </w:trPr>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tc>
        <w:tc>
          <w:tcPr>
            <w:tcW w:w="28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740" w:type="dxa"/>
            <w:vAlign w:val="bottom"/>
          </w:tcPr>
          <w:p>
            <w:pPr>
              <w:spacing w:after="0"/>
              <w:rPr>
                <w:sz w:val="20"/>
                <w:szCs w:val="20"/>
                <w:color w:val="auto"/>
              </w:rPr>
            </w:pPr>
            <w:r>
              <w:rPr>
                <w:rFonts w:ascii="Arial" w:cs="Arial" w:eastAsia="Arial" w:hAnsi="Arial"/>
                <w:sz w:val="18"/>
                <w:szCs w:val="18"/>
                <w:color w:val="auto"/>
                <w:w w:val="97"/>
              </w:rPr>
              <w:t>Chief Financial Officer</w:t>
            </w:r>
          </w:p>
        </w:tc>
      </w:tr>
    </w:tbl>
    <w:p>
      <w:pPr>
        <w:spacing w:after="0" w:line="200" w:lineRule="exact"/>
        <w:rPr>
          <w:sz w:val="20"/>
          <w:szCs w:val="20"/>
          <w:color w:val="auto"/>
        </w:rPr>
      </w:pPr>
    </w:p>
    <w:p>
      <w:pPr>
        <w:spacing w:after="0" w:line="218"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28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2019-12-07T14:18:23Z</dcterms:created>
  <dcterms:modified xsi:type="dcterms:W3CDTF">2019-12-07T14:18:23Z</dcterms:modified>
</cp:coreProperties>
</file>