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aaoi20230331_10q.htm"/>
      <w:bookmarkStart w:id="1" w:name="ksaaoi20230331_10q"/>
      <w:bookmarkEnd w:id="0"/>
      <w:bookmarkEnd w:id="1"/>
      <w:r>
        <w:rPr/>
        <w:t xml:space="preserve">  </w:t>
      </w:r>
    </w:p>
    <w:p>
      <w:pPr>
        <w:pStyle w:val="TextBody"/>
        <w:rPr/>
      </w:pPr>
      <w:r>
        <w:rPr/>
        <w:t xml:space="preserve">  </w:t>
      </w:r>
    </w:p>
    <w:p>
      <w:pPr>
        <w:pStyle w:val="TextBody"/>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spacing w:before="0" w:after="0"/>
        <w:ind w:left="0" w:right="0" w:hanging="0"/>
        <w:jc w:val="center"/>
        <w:rPr/>
      </w:pPr>
      <w:r>
        <w:rPr/>
        <w:t>​</w:t>
      </w:r>
    </w:p>
    <w:p>
      <w:pPr>
        <w:pStyle w:val="HorizontalLine"/>
        <w:rPr/>
      </w:pPr>
      <w:r>
        <w:rPr/>
      </w:r>
    </w:p>
    <w:p>
      <w:pPr>
        <w:pStyle w:val="HorizontalLine"/>
        <w:rPr/>
      </w:pPr>
      <w:r>
        <w:rPr/>
      </w:r>
    </w:p>
    <w:p>
      <w:pPr>
        <w:pStyle w:val="TextBody"/>
        <w:spacing w:before="0" w:after="0"/>
        <w:ind w:left="0" w:right="0" w:hanging="0"/>
        <w:jc w:val="center"/>
        <w:rPr/>
      </w:pPr>
      <w:r>
        <w:rPr/>
        <w:t>​</w:t>
      </w:r>
    </w:p>
    <w:p>
      <w:pPr>
        <w:pStyle w:val="TextBody"/>
        <w:spacing w:before="0" w:after="0"/>
        <w:ind w:left="0" w:right="0" w:hanging="0"/>
        <w:jc w:val="center"/>
        <w:rPr>
          <w:rFonts w:ascii="Times New Roman" w:hAnsi="Times New Roman"/>
          <w:b/>
          <w:sz w:val="20"/>
        </w:rPr>
      </w:pPr>
      <w:r>
        <w:rPr>
          <w:rFonts w:ascii="Times New Roman" w:hAnsi="Times New Roman"/>
          <w:b/>
          <w:sz w:val="20"/>
        </w:rPr>
        <w:t>UNITED STATES</w:t>
      </w:r>
    </w:p>
    <w:p>
      <w:pPr>
        <w:pStyle w:val="TextBody"/>
        <w:spacing w:before="0" w:after="0"/>
        <w:ind w:left="0" w:right="0" w:hanging="0"/>
        <w:jc w:val="center"/>
        <w:rPr>
          <w:rFonts w:ascii="Times New Roman" w:hAnsi="Times New Roman"/>
          <w:b/>
          <w:sz w:val="20"/>
        </w:rPr>
      </w:pPr>
      <w:r>
        <w:rPr>
          <w:rFonts w:ascii="Times New Roman" w:hAnsi="Times New Roman"/>
          <w:b/>
          <w:sz w:val="20"/>
        </w:rPr>
        <w:t>SECURITIES AND EXCHANGE COMMISSION</w:t>
      </w:r>
    </w:p>
    <w:p>
      <w:pPr>
        <w:pStyle w:val="TextBody"/>
        <w:spacing w:before="0" w:after="0"/>
        <w:ind w:left="0" w:right="0" w:hanging="0"/>
        <w:jc w:val="center"/>
        <w:rPr>
          <w:rFonts w:ascii="Times New Roman" w:hAnsi="Times New Roman"/>
          <w:b/>
          <w:sz w:val="20"/>
        </w:rPr>
      </w:pPr>
      <w:r>
        <w:rPr>
          <w:rFonts w:ascii="Times New Roman" w:hAnsi="Times New Roman"/>
          <w:b/>
          <w:sz w:val="20"/>
        </w:rPr>
        <w:t>Washington, D.C. 20549</w:t>
      </w:r>
    </w:p>
    <w:p>
      <w:pPr>
        <w:pStyle w:val="TextBody"/>
        <w:spacing w:before="0" w:after="0"/>
        <w:ind w:left="0" w:right="0" w:hanging="0"/>
        <w:jc w:val="center"/>
        <w:rPr/>
      </w:pPr>
      <w:r>
        <w:rPr/>
        <w:t>​</w:t>
      </w:r>
    </w:p>
    <w:p>
      <w:pPr>
        <w:pStyle w:val="TextBody"/>
        <w:spacing w:before="0" w:after="0"/>
        <w:ind w:left="0" w:right="0" w:hanging="0"/>
        <w:jc w:val="center"/>
        <w:rPr>
          <w:rFonts w:ascii="Times New Roman" w:hAnsi="Times New Roman"/>
          <w:b/>
          <w:sz w:val="20"/>
        </w:rPr>
      </w:pPr>
      <w:r>
        <w:rPr>
          <w:rFonts w:ascii="Times New Roman" w:hAnsi="Times New Roman"/>
          <w:b/>
          <w:sz w:val="20"/>
        </w:rPr>
        <w:t>FORM 10-Q​</w:t>
      </w:r>
    </w:p>
    <w:p>
      <w:pPr>
        <w:pStyle w:val="TextBody"/>
        <w:spacing w:before="0" w:after="0"/>
        <w:ind w:left="0" w:right="0" w:hanging="0"/>
        <w:jc w:val="left"/>
        <w:rPr>
          <w:rFonts w:ascii="Times New Roman" w:hAnsi="Times New Roman"/>
          <w:sz w:val="20"/>
        </w:rPr>
      </w:pPr>
      <w:r>
        <w:rPr>
          <w:rFonts w:ascii="Times New Roman" w:hAnsi="Times New Roman"/>
          <w:sz w:val="20"/>
        </w:rPr>
        <w:t>(Mark One)</w:t>
      </w:r>
    </w:p>
    <w:p>
      <w:pPr>
        <w:pStyle w:val="TextBody"/>
        <w:spacing w:before="0" w:after="0"/>
        <w:ind w:left="0" w:right="0" w:hanging="0"/>
        <w:jc w:val="left"/>
        <w:rPr/>
      </w:pPr>
      <w:r>
        <w:rPr/>
        <w:t xml:space="preserve">☒ </w:t>
      </w:r>
      <w:r>
        <w:rPr>
          <w:rFonts w:ascii="Times New Roman" w:hAnsi="Times New Roman"/>
          <w:b/>
          <w:sz w:val="20"/>
        </w:rPr>
        <w:t>QUARTERLY REPORT PURSUANT TO SECTION 13 OR 15(d) OF THE SECURITIES EXCHANGE ACT OF 1934</w:t>
      </w:r>
    </w:p>
    <w:p>
      <w:pPr>
        <w:pStyle w:val="TextBody"/>
        <w:spacing w:before="0" w:after="0"/>
        <w:ind w:left="0" w:right="0" w:hanging="0"/>
        <w:jc w:val="center"/>
        <w:rPr/>
      </w:pPr>
      <w:r>
        <w:rPr/>
        <w:t>​</w:t>
      </w:r>
    </w:p>
    <w:p>
      <w:pPr>
        <w:pStyle w:val="TextBody"/>
        <w:spacing w:before="0" w:after="0"/>
        <w:ind w:left="0" w:right="0" w:hanging="0"/>
        <w:jc w:val="center"/>
        <w:rPr>
          <w:rFonts w:ascii="Times New Roman" w:hAnsi="Times New Roman"/>
          <w:b/>
          <w:sz w:val="20"/>
        </w:rPr>
      </w:pPr>
      <w:r>
        <w:rPr>
          <w:rFonts w:ascii="Times New Roman" w:hAnsi="Times New Roman"/>
          <w:b/>
          <w:sz w:val="20"/>
        </w:rPr>
        <w:t>For the quarterly period ended March 31, 2023</w:t>
      </w:r>
    </w:p>
    <w:p>
      <w:pPr>
        <w:pStyle w:val="TextBody"/>
        <w:spacing w:before="0" w:after="0"/>
        <w:ind w:left="0" w:right="0" w:hanging="0"/>
        <w:jc w:val="center"/>
        <w:rPr/>
      </w:pPr>
      <w:r>
        <w:rPr/>
        <w:t>​</w:t>
      </w:r>
    </w:p>
    <w:p>
      <w:pPr>
        <w:pStyle w:val="TextBody"/>
        <w:spacing w:before="0" w:after="0"/>
        <w:ind w:left="0" w:right="0" w:hanging="0"/>
        <w:jc w:val="center"/>
        <w:rPr>
          <w:rFonts w:ascii="Times New Roman" w:hAnsi="Times New Roman"/>
          <w:b/>
          <w:sz w:val="20"/>
        </w:rPr>
      </w:pPr>
      <w:r>
        <w:rPr>
          <w:rFonts w:ascii="Times New Roman" w:hAnsi="Times New Roman"/>
          <w:b/>
          <w:sz w:val="20"/>
        </w:rPr>
        <w:t>OR</w:t>
      </w:r>
    </w:p>
    <w:p>
      <w:pPr>
        <w:pStyle w:val="TextBody"/>
        <w:spacing w:before="0" w:after="0"/>
        <w:ind w:left="0" w:right="0" w:hanging="0"/>
        <w:jc w:val="center"/>
        <w:rPr/>
      </w:pPr>
      <w:r>
        <w:rPr/>
        <w:t>​</w:t>
      </w:r>
    </w:p>
    <w:p>
      <w:pPr>
        <w:pStyle w:val="TextBody"/>
        <w:spacing w:before="0" w:after="0"/>
        <w:ind w:left="0" w:right="0" w:hanging="0"/>
        <w:jc w:val="left"/>
        <w:rPr/>
      </w:pPr>
      <w:r>
        <w:rPr/>
        <w:t xml:space="preserve">☐ </w:t>
      </w:r>
      <w:r>
        <w:rPr>
          <w:rFonts w:ascii="Times New Roman" w:hAnsi="Times New Roman"/>
          <w:b/>
          <w:sz w:val="20"/>
        </w:rPr>
        <w:t>TRANSITION REPORT PURSUANT TO SECTION 13 OR 15(d) OF THE SECURITIES EXCHANGE ACT OF 1934</w:t>
      </w:r>
    </w:p>
    <w:p>
      <w:pPr>
        <w:pStyle w:val="TextBody"/>
        <w:spacing w:before="0" w:after="0"/>
        <w:ind w:left="0" w:right="0" w:hanging="0"/>
        <w:jc w:val="center"/>
        <w:rPr/>
      </w:pPr>
      <w:r>
        <w:rPr/>
        <w:t>​</w:t>
      </w:r>
    </w:p>
    <w:p>
      <w:pPr>
        <w:pStyle w:val="TextBody"/>
        <w:spacing w:before="0" w:after="0"/>
        <w:ind w:left="0" w:right="0" w:hanging="0"/>
        <w:jc w:val="center"/>
        <w:rPr>
          <w:rFonts w:ascii="Times New Roman" w:hAnsi="Times New Roman"/>
          <w:sz w:val="20"/>
        </w:rPr>
      </w:pPr>
      <w:r>
        <w:rPr>
          <w:rFonts w:ascii="Times New Roman" w:hAnsi="Times New Roman"/>
          <w:b/>
          <w:sz w:val="20"/>
        </w:rPr>
        <w:t xml:space="preserve">For the transition period from __________ to </w:t>
      </w:r>
      <w:r>
        <w:rPr>
          <w:rFonts w:ascii="Times New Roman" w:hAnsi="Times New Roman"/>
          <w:sz w:val="20"/>
        </w:rPr>
        <w:t>__________</w:t>
      </w:r>
    </w:p>
    <w:p>
      <w:pPr>
        <w:pStyle w:val="TextBody"/>
        <w:spacing w:before="0" w:after="0"/>
        <w:ind w:left="0" w:right="0" w:hanging="0"/>
        <w:jc w:val="center"/>
        <w:rPr/>
      </w:pPr>
      <w:r>
        <w:rPr/>
        <w:t>​</w:t>
      </w:r>
    </w:p>
    <w:p>
      <w:pPr>
        <w:pStyle w:val="TextBody"/>
        <w:spacing w:before="0" w:after="0"/>
        <w:ind w:left="0" w:right="0" w:hanging="0"/>
        <w:jc w:val="center"/>
        <w:rPr>
          <w:rFonts w:ascii="Times New Roman" w:hAnsi="Times New Roman"/>
          <w:b/>
          <w:sz w:val="20"/>
        </w:rPr>
      </w:pPr>
      <w:r>
        <w:rPr>
          <w:rFonts w:ascii="Times New Roman" w:hAnsi="Times New Roman"/>
          <w:b/>
          <w:sz w:val="20"/>
        </w:rPr>
        <w:t>Commission File Number: 001-36083</w:t>
      </w:r>
    </w:p>
    <w:p>
      <w:pPr>
        <w:pStyle w:val="TextBody"/>
        <w:spacing w:before="0" w:after="0"/>
        <w:ind w:left="0" w:right="0" w:hanging="0"/>
        <w:jc w:val="center"/>
        <w:rPr/>
      </w:pPr>
      <w:r>
        <w:rPr/>
        <w:t>​</w:t>
      </w:r>
    </w:p>
    <w:p>
      <w:pPr>
        <w:pStyle w:val="TextBody"/>
        <w:spacing w:before="0" w:after="0"/>
        <w:ind w:left="0" w:right="0" w:hanging="0"/>
        <w:jc w:val="center"/>
        <w:rPr>
          <w:rFonts w:ascii="Times New Roman" w:hAnsi="Times New Roman"/>
          <w:b/>
          <w:sz w:val="20"/>
        </w:rPr>
      </w:pPr>
      <w:r>
        <w:rPr>
          <w:rFonts w:ascii="Times New Roman" w:hAnsi="Times New Roman"/>
          <w:b/>
          <w:sz w:val="20"/>
        </w:rPr>
        <w:t>Applied Optoelectronics, Inc.</w:t>
      </w:r>
    </w:p>
    <w:p>
      <w:pPr>
        <w:pStyle w:val="TextBody"/>
        <w:spacing w:before="0" w:after="0"/>
        <w:ind w:left="0" w:right="0" w:hanging="0"/>
        <w:jc w:val="center"/>
        <w:rPr>
          <w:rFonts w:ascii="Times New Roman" w:hAnsi="Times New Roman"/>
          <w:b/>
          <w:sz w:val="20"/>
        </w:rPr>
      </w:pPr>
      <w:r>
        <w:rPr>
          <w:rFonts w:ascii="Times New Roman" w:hAnsi="Times New Roman"/>
          <w:b/>
          <w:sz w:val="20"/>
        </w:rPr>
        <w:t>(Exact name of registrant as specified in its charter)</w:t>
      </w:r>
    </w:p>
    <w:p>
      <w:pPr>
        <w:pStyle w:val="TextBody"/>
        <w:spacing w:before="0" w:after="0"/>
        <w:ind w:left="0" w:right="0" w:hanging="0"/>
        <w:jc w:val="center"/>
        <w:rPr/>
      </w:pPr>
      <w:r>
        <w:rPr/>
        <w:t>​</w:t>
      </w:r>
    </w:p>
    <w:tbl>
      <w:tblPr>
        <w:tblW w:w="8140" w:type="dxa"/>
        <w:jc w:val="left"/>
        <w:tblInd w:w="0" w:type="dxa"/>
        <w:tblCellMar>
          <w:top w:w="0" w:type="dxa"/>
          <w:left w:w="0" w:type="dxa"/>
          <w:bottom w:w="0" w:type="dxa"/>
          <w:right w:w="0" w:type="dxa"/>
        </w:tblCellMar>
      </w:tblPr>
      <w:tblGrid>
        <w:gridCol w:w="5135"/>
        <w:gridCol w:w="3005"/>
      </w:tblGrid>
      <w:tr>
        <w:trPr/>
        <w:tc>
          <w:tcPr>
            <w:tcW w:w="5135" w:type="dxa"/>
            <w:tcBorders/>
            <w:shd w:fill="auto" w:val="clear"/>
            <w:vAlign w:val="center"/>
          </w:tcPr>
          <w:p>
            <w:pPr>
              <w:pStyle w:val="TableContents"/>
              <w:spacing w:before="0" w:after="0"/>
              <w:ind w:left="0" w:right="0" w:hanging="0"/>
              <w:jc w:val="center"/>
              <w:rPr>
                <w:rFonts w:ascii="Times New Roman" w:hAnsi="Times New Roman"/>
                <w:b/>
                <w:sz w:val="20"/>
              </w:rPr>
            </w:pPr>
            <w:r>
              <w:rPr>
                <w:rFonts w:ascii="Times New Roman" w:hAnsi="Times New Roman"/>
                <w:b/>
                <w:sz w:val="20"/>
              </w:rPr>
              <w:t>Delaware</w:t>
            </w:r>
          </w:p>
        </w:tc>
        <w:tc>
          <w:tcPr>
            <w:tcW w:w="3005" w:type="dxa"/>
            <w:tcBorders/>
            <w:shd w:fill="auto" w:val="clear"/>
            <w:vAlign w:val="center"/>
          </w:tcPr>
          <w:p>
            <w:pPr>
              <w:pStyle w:val="TableContents"/>
              <w:spacing w:before="0" w:after="0"/>
              <w:ind w:left="0" w:right="0" w:hanging="0"/>
              <w:jc w:val="center"/>
              <w:rPr>
                <w:rFonts w:ascii="Times New Roman" w:hAnsi="Times New Roman"/>
                <w:b/>
                <w:sz w:val="20"/>
              </w:rPr>
            </w:pPr>
            <w:r>
              <w:rPr>
                <w:rFonts w:ascii="Times New Roman" w:hAnsi="Times New Roman"/>
                <w:b/>
                <w:sz w:val="20"/>
              </w:rPr>
              <w:t>76-0533927</w:t>
            </w:r>
          </w:p>
        </w:tc>
      </w:tr>
      <w:tr>
        <w:trPr/>
        <w:tc>
          <w:tcPr>
            <w:tcW w:w="5135" w:type="dxa"/>
            <w:tcBorders/>
            <w:shd w:fill="auto" w:val="clear"/>
            <w:vAlign w:val="center"/>
          </w:tcPr>
          <w:p>
            <w:pPr>
              <w:pStyle w:val="TableContents"/>
              <w:spacing w:before="0" w:after="0"/>
              <w:ind w:left="0" w:right="0" w:hanging="0"/>
              <w:jc w:val="center"/>
              <w:rPr>
                <w:rFonts w:ascii="Times New Roman" w:hAnsi="Times New Roman"/>
                <w:b/>
                <w:sz w:val="20"/>
              </w:rPr>
            </w:pPr>
            <w:r>
              <w:rPr>
                <w:rFonts w:ascii="Times New Roman" w:hAnsi="Times New Roman"/>
                <w:b/>
                <w:sz w:val="20"/>
              </w:rPr>
              <w:t>(State or other jurisdiction of incorporation or organization)</w:t>
            </w:r>
          </w:p>
        </w:tc>
        <w:tc>
          <w:tcPr>
            <w:tcW w:w="3005" w:type="dxa"/>
            <w:tcBorders/>
            <w:shd w:fill="auto" w:val="clear"/>
            <w:vAlign w:val="center"/>
          </w:tcPr>
          <w:p>
            <w:pPr>
              <w:pStyle w:val="TableContents"/>
              <w:spacing w:before="0" w:after="0"/>
              <w:ind w:left="0" w:right="0" w:hanging="0"/>
              <w:jc w:val="center"/>
              <w:rPr>
                <w:rFonts w:ascii="Times New Roman" w:hAnsi="Times New Roman"/>
                <w:b/>
                <w:sz w:val="20"/>
              </w:rPr>
            </w:pPr>
            <w:r>
              <w:rPr>
                <w:rFonts w:ascii="Times New Roman" w:hAnsi="Times New Roman"/>
                <w:b/>
                <w:sz w:val="20"/>
              </w:rPr>
              <w:t>(I.R.S. Employer Identification No.)</w:t>
            </w:r>
          </w:p>
        </w:tc>
      </w:tr>
    </w:tbl>
    <w:p>
      <w:pPr>
        <w:pStyle w:val="TextBody"/>
        <w:spacing w:before="0" w:after="0"/>
        <w:ind w:left="0" w:right="0" w:hanging="0"/>
        <w:jc w:val="left"/>
        <w:rPr/>
      </w:pPr>
      <w:r>
        <w:rPr/>
        <w:t>​</w:t>
      </w:r>
    </w:p>
    <w:p>
      <w:pPr>
        <w:pStyle w:val="TextBody"/>
        <w:spacing w:before="0" w:after="0"/>
        <w:ind w:left="0" w:right="0" w:hanging="0"/>
        <w:jc w:val="center"/>
        <w:rPr>
          <w:rFonts w:ascii="Times New Roman" w:hAnsi="Times New Roman"/>
          <w:b/>
          <w:sz w:val="20"/>
        </w:rPr>
      </w:pPr>
      <w:r>
        <w:rPr>
          <w:rFonts w:ascii="Times New Roman" w:hAnsi="Times New Roman"/>
          <w:b/>
          <w:sz w:val="20"/>
        </w:rPr>
        <w:t>13139 Jess Pirtle Blvd.</w:t>
      </w:r>
    </w:p>
    <w:p>
      <w:pPr>
        <w:pStyle w:val="TextBody"/>
        <w:spacing w:before="0" w:after="0"/>
        <w:ind w:left="0" w:right="0" w:hanging="0"/>
        <w:jc w:val="center"/>
        <w:rPr>
          <w:rFonts w:ascii="Times New Roman" w:hAnsi="Times New Roman"/>
          <w:b/>
          <w:sz w:val="20"/>
        </w:rPr>
      </w:pPr>
      <w:r>
        <w:rPr>
          <w:rFonts w:ascii="Times New Roman" w:hAnsi="Times New Roman"/>
          <w:b/>
          <w:sz w:val="20"/>
        </w:rPr>
        <w:t>Sugar Land, TX 77478</w:t>
      </w:r>
    </w:p>
    <w:p>
      <w:pPr>
        <w:pStyle w:val="TextBody"/>
        <w:spacing w:before="0" w:after="0"/>
        <w:ind w:left="0" w:right="0" w:hanging="0"/>
        <w:jc w:val="center"/>
        <w:rPr>
          <w:rFonts w:ascii="Times New Roman" w:hAnsi="Times New Roman"/>
          <w:b/>
          <w:sz w:val="20"/>
        </w:rPr>
      </w:pPr>
      <w:r>
        <w:rPr>
          <w:rFonts w:ascii="Times New Roman" w:hAnsi="Times New Roman"/>
          <w:b/>
          <w:sz w:val="20"/>
        </w:rPr>
        <w:t>(Address of principal executive offices)</w:t>
      </w:r>
    </w:p>
    <w:p>
      <w:pPr>
        <w:pStyle w:val="TextBody"/>
        <w:spacing w:before="0" w:after="0"/>
        <w:ind w:left="0" w:right="0" w:hanging="0"/>
        <w:jc w:val="center"/>
        <w:rPr/>
      </w:pPr>
      <w:r>
        <w:rPr/>
        <w:t>​</w:t>
      </w:r>
    </w:p>
    <w:p>
      <w:pPr>
        <w:pStyle w:val="TextBody"/>
        <w:spacing w:before="0" w:after="0"/>
        <w:ind w:left="0" w:right="0" w:hanging="0"/>
        <w:jc w:val="center"/>
        <w:rPr>
          <w:rFonts w:ascii="Times New Roman" w:hAnsi="Times New Roman"/>
          <w:b/>
          <w:sz w:val="20"/>
        </w:rPr>
      </w:pPr>
      <w:r>
        <w:rPr>
          <w:rFonts w:ascii="Times New Roman" w:hAnsi="Times New Roman"/>
          <w:b/>
          <w:sz w:val="20"/>
        </w:rPr>
        <w:t>(281) 295-1800</w:t>
      </w:r>
    </w:p>
    <w:p>
      <w:pPr>
        <w:pStyle w:val="TextBody"/>
        <w:spacing w:before="0" w:after="0"/>
        <w:ind w:left="0" w:right="0" w:hanging="0"/>
        <w:jc w:val="center"/>
        <w:rPr>
          <w:rFonts w:ascii="Times New Roman" w:hAnsi="Times New Roman"/>
          <w:b/>
          <w:sz w:val="20"/>
        </w:rPr>
      </w:pPr>
      <w:r>
        <w:rPr>
          <w:rFonts w:ascii="Times New Roman" w:hAnsi="Times New Roman"/>
          <w:b/>
          <w:sz w:val="20"/>
        </w:rPr>
        <w:t>(Registrant’s telephone number)</w:t>
      </w:r>
    </w:p>
    <w:p>
      <w:pPr>
        <w:pStyle w:val="TextBody"/>
        <w:spacing w:before="0" w:after="0"/>
        <w:ind w:left="0" w:right="0" w:hanging="0"/>
        <w:jc w:val="left"/>
        <w:rPr/>
      </w:pPr>
      <w:r>
        <w:rPr/>
        <w:t>​</w:t>
      </w:r>
    </w:p>
    <w:p>
      <w:pPr>
        <w:pStyle w:val="TextBody"/>
        <w:spacing w:before="0" w:after="0"/>
        <w:ind w:left="0" w:right="0" w:firstLine="462"/>
        <w:jc w:val="both"/>
        <w:rPr/>
      </w:pPr>
      <w:r>
        <w:rPr/>
        <w:t> </w:t>
      </w:r>
    </w:p>
    <w:p>
      <w:pPr>
        <w:pStyle w:val="TextBody"/>
        <w:spacing w:before="0" w:after="0"/>
        <w:ind w:left="729" w:right="294" w:hanging="0"/>
        <w:jc w:val="left"/>
        <w:rPr>
          <w:rFonts w:ascii="Times New Roman" w:hAnsi="Times New Roman"/>
          <w:sz w:val="20"/>
        </w:rPr>
      </w:pPr>
      <w:r>
        <w:rPr>
          <w:rFonts w:ascii="Times New Roman" w:hAnsi="Times New Roman"/>
          <w:sz w:val="20"/>
        </w:rPr>
        <w:t>Securities registered pursuant to Section 12(b) of the Act:</w:t>
      </w:r>
    </w:p>
    <w:p>
      <w:pPr>
        <w:pStyle w:val="TextBody"/>
        <w:spacing w:before="0" w:after="0"/>
        <w:rPr/>
      </w:pPr>
      <w:r>
        <w:rPr/>
        <w:t> </w:t>
      </w:r>
    </w:p>
    <w:tbl>
      <w:tblPr>
        <w:tblW w:w="8535" w:type="dxa"/>
        <w:jc w:val="left"/>
        <w:tblInd w:w="0" w:type="dxa"/>
        <w:tblCellMar>
          <w:top w:w="0" w:type="dxa"/>
          <w:left w:w="0" w:type="dxa"/>
          <w:bottom w:w="28" w:type="dxa"/>
          <w:right w:w="0" w:type="dxa"/>
        </w:tblCellMar>
      </w:tblPr>
      <w:tblGrid>
        <w:gridCol w:w="2735"/>
        <w:gridCol w:w="1535"/>
        <w:gridCol w:w="4265"/>
      </w:tblGrid>
      <w:tr>
        <w:trPr/>
        <w:tc>
          <w:tcPr>
            <w:tcW w:w="2735" w:type="dxa"/>
            <w:tcBorders>
              <w:bottom w:val="single" w:sz="2" w:space="0" w:color="000000"/>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Title of each class</w:t>
            </w:r>
          </w:p>
        </w:tc>
        <w:tc>
          <w:tcPr>
            <w:tcW w:w="1535" w:type="dxa"/>
            <w:tcBorders>
              <w:bottom w:val="single" w:sz="2" w:space="0" w:color="000000"/>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Trading Symbol(s)</w:t>
            </w:r>
          </w:p>
        </w:tc>
        <w:tc>
          <w:tcPr>
            <w:tcW w:w="4265" w:type="dxa"/>
            <w:tcBorders>
              <w:bottom w:val="single" w:sz="2" w:space="0" w:color="000000"/>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Trading Name of each exchange on which registered</w:t>
            </w:r>
          </w:p>
        </w:tc>
      </w:tr>
      <w:tr>
        <w:trPr/>
        <w:tc>
          <w:tcPr>
            <w:tcW w:w="2735" w:type="dxa"/>
            <w:tcBorders/>
            <w:shd w:fill="auto" w:val="clear"/>
            <w:tcMar>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Common Stock, Par value $0.001</w:t>
            </w:r>
          </w:p>
        </w:tc>
        <w:tc>
          <w:tcPr>
            <w:tcW w:w="1535" w:type="dxa"/>
            <w:tcBorders/>
            <w:shd w:fill="auto" w:val="clear"/>
            <w:tcMar>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AAOI</w:t>
            </w:r>
          </w:p>
        </w:tc>
        <w:tc>
          <w:tcPr>
            <w:tcW w:w="4265" w:type="dxa"/>
            <w:tcBorders/>
            <w:shd w:fill="auto" w:val="clear"/>
            <w:tcMar>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NASDAQ Global Market</w:t>
            </w:r>
          </w:p>
        </w:tc>
      </w:tr>
    </w:tbl>
    <w:p>
      <w:pPr>
        <w:pStyle w:val="TextBody"/>
        <w:spacing w:before="0" w:after="0"/>
        <w:rPr/>
      </w:pPr>
      <w:r>
        <w:rPr/>
        <w:t> </w:t>
      </w:r>
    </w:p>
    <w:p>
      <w:pPr>
        <w:pStyle w:val="TextBody"/>
        <w:spacing w:before="0" w:after="0"/>
        <w:ind w:left="294" w:right="294" w:firstLine="462"/>
        <w:jc w:val="both"/>
        <w:rPr>
          <w:rFonts w:ascii="Times New Roman" w:hAnsi="Times New Roman"/>
          <w:sz w:val="20"/>
        </w:rPr>
      </w:pPr>
      <w:r>
        <w:rPr>
          <w:rFonts w:ascii="Times New Roman" w:hAnsi="Times New Roman"/>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spacing w:before="0" w:after="0"/>
        <w:rPr/>
      </w:pPr>
      <w:r>
        <w:rPr/>
        <w:t> </w:t>
      </w:r>
    </w:p>
    <w:p>
      <w:pPr>
        <w:pStyle w:val="TextBody"/>
        <w:spacing w:before="0" w:after="0"/>
        <w:ind w:left="294" w:right="294" w:firstLine="462"/>
        <w:jc w:val="both"/>
        <w:rPr>
          <w:rFonts w:ascii="Times New Roman" w:hAnsi="Times New Roman"/>
          <w:sz w:val="20"/>
        </w:rPr>
      </w:pPr>
      <w:r>
        <w:rPr>
          <w:rFonts w:ascii="Times New Roman" w:hAnsi="Times New Roman"/>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 </w:t>
      </w:r>
    </w:p>
    <w:p>
      <w:pPr>
        <w:pStyle w:val="TextBody"/>
        <w:spacing w:before="0" w:after="0"/>
        <w:rPr/>
      </w:pPr>
      <w:r>
        <w:rPr/>
        <w:t> </w:t>
      </w:r>
    </w:p>
    <w:p>
      <w:pPr>
        <w:pStyle w:val="TextBody"/>
        <w:spacing w:before="0" w:after="0"/>
        <w:ind w:left="294" w:right="294" w:firstLine="462"/>
        <w:jc w:val="both"/>
        <w:rPr>
          <w:rFonts w:ascii="Times New Roman" w:hAnsi="Times New Roman"/>
          <w:sz w:val="20"/>
        </w:rPr>
      </w:pPr>
      <w:r>
        <w:rPr>
          <w:rFonts w:ascii="Times New Roman" w:hAnsi="Times New Roman"/>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spacing w:before="0" w:after="0"/>
        <w:rPr/>
      </w:pPr>
      <w:r>
        <w:rPr/>
        <w:t> </w:t>
      </w:r>
    </w:p>
    <w:tbl>
      <w:tblPr>
        <w:tblW w:w="4745" w:type="dxa"/>
        <w:jc w:val="left"/>
        <w:tblInd w:w="0" w:type="dxa"/>
        <w:tblCellMar>
          <w:top w:w="0" w:type="dxa"/>
          <w:left w:w="0" w:type="dxa"/>
          <w:bottom w:w="0" w:type="dxa"/>
          <w:right w:w="0" w:type="dxa"/>
        </w:tblCellMar>
      </w:tblPr>
      <w:tblGrid>
        <w:gridCol w:w="60"/>
        <w:gridCol w:w="1820"/>
        <w:gridCol w:w="350"/>
        <w:gridCol w:w="2225"/>
        <w:gridCol w:w="290"/>
      </w:tblGrid>
      <w:tr>
        <w:trPr/>
        <w:tc>
          <w:tcPr>
            <w:tcW w:w="60" w:type="dxa"/>
            <w:tcBorders/>
            <w:shd w:fill="auto" w:val="clear"/>
            <w:vAlign w:val="center"/>
          </w:tcPr>
          <w:p>
            <w:pPr>
              <w:pStyle w:val="TableContents"/>
              <w:spacing w:before="0" w:after="0"/>
              <w:ind w:left="0" w:right="0" w:hanging="0"/>
              <w:jc w:val="left"/>
              <w:rPr/>
            </w:pPr>
            <w:r>
              <w:rPr/>
              <w:t> </w:t>
            </w:r>
          </w:p>
        </w:tc>
        <w:tc>
          <w:tcPr>
            <w:tcW w:w="182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Large accelerated filer</w:t>
            </w:r>
          </w:p>
        </w:tc>
        <w:tc>
          <w:tcPr>
            <w:tcW w:w="350" w:type="dxa"/>
            <w:tcBorders/>
            <w:shd w:fill="auto" w:val="clear"/>
            <w:vAlign w:val="center"/>
          </w:tcPr>
          <w:p>
            <w:pPr>
              <w:pStyle w:val="TableContents"/>
              <w:spacing w:before="0" w:after="0"/>
              <w:ind w:left="0" w:right="0" w:hanging="0"/>
              <w:jc w:val="left"/>
              <w:rPr/>
            </w:pPr>
            <w:r>
              <w:rPr/>
              <w:t>☐ </w:t>
            </w:r>
          </w:p>
        </w:tc>
        <w:tc>
          <w:tcPr>
            <w:tcW w:w="2225"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Accelerated filer</w:t>
            </w:r>
          </w:p>
        </w:tc>
        <w:tc>
          <w:tcPr>
            <w:tcW w:w="290" w:type="dxa"/>
            <w:tcBorders/>
            <w:shd w:fill="auto" w:val="clear"/>
            <w:vAlign w:val="center"/>
          </w:tcPr>
          <w:p>
            <w:pPr>
              <w:pStyle w:val="TableContents"/>
              <w:spacing w:before="0" w:after="283"/>
              <w:rPr/>
            </w:pPr>
            <w:r>
              <w:rPr/>
              <w:t>☐</w:t>
            </w:r>
          </w:p>
        </w:tc>
      </w:tr>
      <w:tr>
        <w:trPr/>
        <w:tc>
          <w:tcPr>
            <w:tcW w:w="60" w:type="dxa"/>
            <w:tcBorders/>
            <w:shd w:fill="auto" w:val="clear"/>
            <w:vAlign w:val="center"/>
          </w:tcPr>
          <w:p>
            <w:pPr>
              <w:pStyle w:val="TableContents"/>
              <w:spacing w:before="0" w:after="0"/>
              <w:ind w:left="0" w:right="0" w:hanging="0"/>
              <w:jc w:val="left"/>
              <w:rPr/>
            </w:pPr>
            <w:r>
              <w:rPr/>
              <w:t> </w:t>
            </w:r>
          </w:p>
        </w:tc>
        <w:tc>
          <w:tcPr>
            <w:tcW w:w="182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Non-accelerated filer</w:t>
            </w:r>
          </w:p>
        </w:tc>
        <w:tc>
          <w:tcPr>
            <w:tcW w:w="350" w:type="dxa"/>
            <w:tcBorders/>
            <w:shd w:fill="auto" w:val="clear"/>
            <w:vAlign w:val="center"/>
          </w:tcPr>
          <w:p>
            <w:pPr>
              <w:pStyle w:val="TableContents"/>
              <w:spacing w:before="0" w:after="0"/>
              <w:ind w:left="0" w:right="0" w:hanging="0"/>
              <w:jc w:val="left"/>
              <w:rPr/>
            </w:pPr>
            <w:r>
              <w:rPr/>
              <w:t>☒  </w:t>
            </w:r>
          </w:p>
        </w:tc>
        <w:tc>
          <w:tcPr>
            <w:tcW w:w="2225"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Smaller reporting company</w:t>
            </w:r>
          </w:p>
        </w:tc>
        <w:tc>
          <w:tcPr>
            <w:tcW w:w="290" w:type="dxa"/>
            <w:tcBorders/>
            <w:shd w:fill="auto" w:val="clear"/>
            <w:vAlign w:val="center"/>
          </w:tcPr>
          <w:p>
            <w:pPr>
              <w:pStyle w:val="TableContents"/>
              <w:spacing w:before="0" w:after="0"/>
              <w:ind w:left="0" w:right="0" w:hanging="0"/>
              <w:jc w:val="left"/>
              <w:rPr/>
            </w:pPr>
            <w:r>
              <w:rPr/>
              <w:t>☒ </w:t>
            </w:r>
          </w:p>
        </w:tc>
      </w:tr>
      <w:tr>
        <w:trPr/>
        <w:tc>
          <w:tcPr>
            <w:tcW w:w="60" w:type="dxa"/>
            <w:tcBorders/>
            <w:shd w:fill="auto" w:val="clear"/>
            <w:vAlign w:val="center"/>
          </w:tcPr>
          <w:p>
            <w:pPr>
              <w:pStyle w:val="TableContents"/>
              <w:spacing w:before="0" w:after="0"/>
              <w:ind w:left="0" w:right="0" w:hanging="0"/>
              <w:jc w:val="left"/>
              <w:rPr/>
            </w:pPr>
            <w:r>
              <w:rPr/>
              <w:t> </w:t>
            </w:r>
          </w:p>
        </w:tc>
        <w:tc>
          <w:tcPr>
            <w:tcW w:w="1820"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2225"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Emerging growth company</w:t>
            </w:r>
          </w:p>
        </w:tc>
        <w:tc>
          <w:tcPr>
            <w:tcW w:w="290" w:type="dxa"/>
            <w:tcBorders/>
            <w:shd w:fill="auto" w:val="clear"/>
            <w:vAlign w:val="center"/>
          </w:tcPr>
          <w:p>
            <w:pPr>
              <w:pStyle w:val="TableContents"/>
              <w:spacing w:before="0" w:after="0"/>
              <w:ind w:left="0" w:right="0" w:hanging="0"/>
              <w:jc w:val="left"/>
              <w:rPr/>
            </w:pPr>
            <w:r>
              <w:rPr/>
              <w:t>☐</w:t>
            </w:r>
          </w:p>
        </w:tc>
      </w:tr>
    </w:tbl>
    <w:p>
      <w:pPr>
        <w:pStyle w:val="TextBody"/>
        <w:spacing w:before="0" w:after="0"/>
        <w:rPr/>
      </w:pPr>
      <w:r>
        <w:rPr/>
        <w:t> </w:t>
      </w:r>
    </w:p>
    <w:p>
      <w:pPr>
        <w:pStyle w:val="TextBody"/>
        <w:spacing w:before="0" w:after="0"/>
        <w:ind w:left="294" w:right="294" w:firstLine="462"/>
        <w:jc w:val="both"/>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spacing w:before="0" w:after="0"/>
        <w:rPr/>
      </w:pPr>
      <w:r>
        <w:rPr/>
        <w:t> </w:t>
      </w:r>
    </w:p>
    <w:p>
      <w:pPr>
        <w:pStyle w:val="TextBody"/>
        <w:spacing w:before="0" w:after="0"/>
        <w:ind w:left="294" w:right="294" w:firstLine="462"/>
        <w:jc w:val="both"/>
        <w:rPr>
          <w:rFonts w:ascii="Times New Roman" w:hAnsi="Times New Roman"/>
          <w:sz w:val="20"/>
        </w:rPr>
      </w:pPr>
      <w:r>
        <w:rPr>
          <w:rFonts w:ascii="Times New Roman" w:hAnsi="Times New Roman"/>
          <w:sz w:val="20"/>
        </w:rPr>
        <w:t>Indicate by check mark whether the registrant is a shell company (as defined in Rule 12b-2 of the Exchange Act).                                       Yes ☐  No ☒</w:t>
      </w:r>
    </w:p>
    <w:p>
      <w:pPr>
        <w:pStyle w:val="TextBody"/>
        <w:spacing w:before="0" w:after="0"/>
        <w:rPr/>
      </w:pPr>
      <w:r>
        <w:rPr/>
        <w:t> </w:t>
      </w:r>
    </w:p>
    <w:p>
      <w:pPr>
        <w:pStyle w:val="TextBody"/>
        <w:spacing w:before="0" w:after="0"/>
        <w:ind w:left="294" w:right="294" w:firstLine="461"/>
        <w:jc w:val="both"/>
        <w:rPr>
          <w:rFonts w:ascii="Times New Roman" w:hAnsi="Times New Roman"/>
          <w:sz w:val="20"/>
        </w:rPr>
      </w:pPr>
      <w:r>
        <w:rPr>
          <w:rFonts w:ascii="Times New Roman" w:hAnsi="Times New Roman"/>
          <w:sz w:val="20"/>
        </w:rPr>
        <w:t>As of May 2, 2023 there were 29,195,682 shares of the registrant’s Common Stock outstanding.</w:t>
      </w:r>
    </w:p>
    <w:p>
      <w:pPr>
        <w:pStyle w:val="TextBody"/>
        <w:spacing w:before="0" w:after="0"/>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1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rPr/>
      </w:pPr>
      <w:r>
        <w:rPr/>
        <w:t xml:space="preserve">  </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Applied Optoelectronics, Inc.</w:t>
      </w:r>
    </w:p>
    <w:p>
      <w:pPr>
        <w:pStyle w:val="TextBody"/>
        <w:spacing w:before="0" w:after="0"/>
        <w:ind w:left="0" w:right="0" w:hanging="0"/>
        <w:jc w:val="center"/>
        <w:rPr>
          <w:rFonts w:ascii="Times New Roman;Times;serif" w:hAnsi="Times New Roman;Times;serif"/>
          <w:b/>
          <w:sz w:val="20"/>
        </w:rPr>
      </w:pPr>
      <w:bookmarkStart w:id="2" w:name="toc"/>
      <w:bookmarkEnd w:id="2"/>
      <w:r>
        <w:rPr>
          <w:rFonts w:ascii="Times New Roman;Times;serif" w:hAnsi="Times New Roman;Times;serif"/>
          <w:b/>
          <w:sz w:val="20"/>
        </w:rPr>
        <w:t>Table of Contents</w:t>
      </w:r>
    </w:p>
    <w:p>
      <w:pPr>
        <w:pStyle w:val="TextBody"/>
        <w:spacing w:before="0" w:after="0"/>
        <w:ind w:left="0" w:right="0" w:hanging="0"/>
        <w:jc w:val="center"/>
        <w:rPr/>
      </w:pPr>
      <w:r>
        <w:rPr/>
        <w:t>​</w:t>
      </w:r>
    </w:p>
    <w:tbl>
      <w:tblPr>
        <w:tblW w:w="10205" w:type="dxa"/>
        <w:jc w:val="left"/>
        <w:tblInd w:w="0" w:type="dxa"/>
        <w:tblCellMar>
          <w:top w:w="0" w:type="dxa"/>
          <w:left w:w="0" w:type="dxa"/>
          <w:bottom w:w="0" w:type="dxa"/>
          <w:right w:w="0" w:type="dxa"/>
        </w:tblCellMar>
      </w:tblPr>
      <w:tblGrid>
        <w:gridCol w:w="642"/>
        <w:gridCol w:w="9152"/>
        <w:gridCol w:w="411"/>
      </w:tblGrid>
      <w:tr>
        <w:trPr/>
        <w:tc>
          <w:tcPr>
            <w:tcW w:w="642" w:type="dxa"/>
            <w:tcBorders/>
            <w:shd w:fill="auto" w:val="clear"/>
            <w:vAlign w:val="center"/>
          </w:tcPr>
          <w:p>
            <w:pPr>
              <w:pStyle w:val="TableContents"/>
              <w:spacing w:before="0" w:after="283"/>
              <w:rPr/>
            </w:pPr>
            <w:r>
              <w:rPr/>
              <w:t> </w:t>
            </w:r>
          </w:p>
        </w:tc>
        <w:tc>
          <w:tcPr>
            <w:tcW w:w="9152" w:type="dxa"/>
            <w:tcBorders/>
            <w:shd w:fill="auto" w:val="clear"/>
            <w:vAlign w:val="center"/>
          </w:tcPr>
          <w:p>
            <w:pPr>
              <w:pStyle w:val="TableContents"/>
              <w:spacing w:before="0" w:after="283"/>
              <w:rPr/>
            </w:pPr>
            <w:r>
              <w:rPr/>
              <w:t> </w:t>
            </w:r>
          </w:p>
        </w:tc>
        <w:tc>
          <w:tcPr>
            <w:tcW w:w="41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Page</w:t>
            </w:r>
          </w:p>
        </w:tc>
      </w:tr>
      <w:tr>
        <w:trPr/>
        <w:tc>
          <w:tcPr>
            <w:tcW w:w="10205" w:type="dxa"/>
            <w:gridSpan w:val="3"/>
            <w:tcBorders/>
            <w:shd w:fill="auto" w:val="clear"/>
            <w:vAlign w:val="center"/>
          </w:tcPr>
          <w:p>
            <w:pPr>
              <w:pStyle w:val="TableContents"/>
              <w:spacing w:before="0" w:after="0"/>
              <w:ind w:left="0" w:right="0" w:hanging="0"/>
              <w:jc w:val="left"/>
              <w:rPr/>
            </w:pPr>
            <w:hyperlink w:anchor="part1">
              <w:r>
                <w:rPr>
                  <w:rStyle w:val="InternetLink"/>
                  <w:rFonts w:ascii="Times New Roman;Times;serif" w:hAnsi="Times New Roman;Times;serif"/>
                  <w:b/>
                  <w:sz w:val="20"/>
                </w:rPr>
                <w:t>Part I. Financial Information</w:t>
              </w:r>
            </w:hyperlink>
          </w:p>
        </w:tc>
      </w:tr>
      <w:tr>
        <w:trPr/>
        <w:tc>
          <w:tcPr>
            <w:tcW w:w="642" w:type="dxa"/>
            <w:tcBorders/>
            <w:shd w:fill="auto" w:val="clear"/>
            <w:vAlign w:val="center"/>
          </w:tcPr>
          <w:p>
            <w:pPr>
              <w:pStyle w:val="TableContents"/>
              <w:spacing w:before="0" w:after="283"/>
              <w:rPr/>
            </w:pPr>
            <w:r>
              <w:rPr/>
              <w:t> </w:t>
            </w:r>
          </w:p>
        </w:tc>
        <w:tc>
          <w:tcPr>
            <w:tcW w:w="9152" w:type="dxa"/>
            <w:tcBorders/>
            <w:shd w:fill="auto" w:val="clear"/>
            <w:vAlign w:val="center"/>
          </w:tcPr>
          <w:p>
            <w:pPr>
              <w:pStyle w:val="TableContents"/>
              <w:spacing w:before="0" w:after="283"/>
              <w:rPr/>
            </w:pPr>
            <w:r>
              <w:rPr/>
              <w:t> </w:t>
            </w:r>
          </w:p>
        </w:tc>
        <w:tc>
          <w:tcPr>
            <w:tcW w:w="411" w:type="dxa"/>
            <w:tcBorders/>
            <w:shd w:fill="auto" w:val="clear"/>
            <w:vAlign w:val="center"/>
          </w:tcPr>
          <w:p>
            <w:pPr>
              <w:pStyle w:val="TableContents"/>
              <w:spacing w:before="0" w:after="0"/>
              <w:ind w:left="0" w:right="0" w:hanging="0"/>
              <w:jc w:val="right"/>
              <w:rPr/>
            </w:pPr>
            <w:r>
              <w:rPr/>
              <w:t> </w:t>
            </w:r>
          </w:p>
        </w:tc>
      </w:tr>
      <w:tr>
        <w:trPr/>
        <w:tc>
          <w:tcPr>
            <w:tcW w:w="642"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Item 1.</w:t>
            </w:r>
          </w:p>
        </w:tc>
        <w:tc>
          <w:tcPr>
            <w:tcW w:w="9152" w:type="dxa"/>
            <w:tcBorders/>
            <w:shd w:fill="auto" w:val="clear"/>
            <w:vAlign w:val="center"/>
          </w:tcPr>
          <w:p>
            <w:pPr>
              <w:pStyle w:val="TableContents"/>
              <w:spacing w:before="0" w:after="0"/>
              <w:ind w:left="0" w:right="0" w:hanging="0"/>
              <w:jc w:val="left"/>
              <w:rPr/>
            </w:pPr>
            <w:hyperlink w:anchor="item1">
              <w:r>
                <w:rPr>
                  <w:rStyle w:val="InternetLink"/>
                  <w:rFonts w:ascii="Times New Roman;Times;serif" w:hAnsi="Times New Roman;Times;serif"/>
                  <w:sz w:val="20"/>
                </w:rPr>
                <w:t>Condensed Consolidated Financial Statements (Unaudited)</w:t>
              </w:r>
            </w:hyperlink>
          </w:p>
        </w:tc>
        <w:tc>
          <w:tcPr>
            <w:tcW w:w="411" w:type="dxa"/>
            <w:tcBorders/>
            <w:shd w:fill="auto" w:val="clear"/>
            <w:vAlign w:val="center"/>
          </w:tcPr>
          <w:p>
            <w:pPr>
              <w:pStyle w:val="TableContents"/>
              <w:spacing w:before="0" w:after="0"/>
              <w:ind w:left="0" w:right="0" w:hanging="0"/>
              <w:jc w:val="right"/>
              <w:rPr/>
            </w:pPr>
            <w:hyperlink w:anchor="item1">
              <w:r>
                <w:rPr>
                  <w:rStyle w:val="InternetLink"/>
                  <w:rFonts w:ascii="Times New Roman;Times;serif" w:hAnsi="Times New Roman;Times;serif"/>
                  <w:sz w:val="20"/>
                </w:rPr>
                <w:t>3</w:t>
              </w:r>
            </w:hyperlink>
          </w:p>
        </w:tc>
      </w:tr>
      <w:tr>
        <w:trPr/>
        <w:tc>
          <w:tcPr>
            <w:tcW w:w="642" w:type="dxa"/>
            <w:tcBorders/>
            <w:shd w:fill="auto" w:val="clear"/>
            <w:vAlign w:val="center"/>
          </w:tcPr>
          <w:p>
            <w:pPr>
              <w:pStyle w:val="TableContents"/>
              <w:spacing w:before="0" w:after="283"/>
              <w:rPr/>
            </w:pPr>
            <w:r>
              <w:rPr/>
              <w:t> </w:t>
            </w:r>
          </w:p>
        </w:tc>
        <w:tc>
          <w:tcPr>
            <w:tcW w:w="9152" w:type="dxa"/>
            <w:tcBorders/>
            <w:shd w:fill="auto" w:val="clear"/>
            <w:vAlign w:val="center"/>
          </w:tcPr>
          <w:p>
            <w:pPr>
              <w:pStyle w:val="TableContents"/>
              <w:spacing w:before="0" w:after="283"/>
              <w:rPr/>
            </w:pPr>
            <w:r>
              <w:rPr/>
              <w:t> </w:t>
            </w:r>
          </w:p>
        </w:tc>
        <w:tc>
          <w:tcPr>
            <w:tcW w:w="411" w:type="dxa"/>
            <w:tcBorders/>
            <w:shd w:fill="auto" w:val="clear"/>
            <w:vAlign w:val="center"/>
          </w:tcPr>
          <w:p>
            <w:pPr>
              <w:pStyle w:val="TableContents"/>
              <w:spacing w:before="0" w:after="0"/>
              <w:ind w:left="0" w:right="0" w:hanging="0"/>
              <w:jc w:val="right"/>
              <w:rPr/>
            </w:pPr>
            <w:r>
              <w:rPr/>
              <w:t> </w:t>
            </w:r>
          </w:p>
        </w:tc>
      </w:tr>
      <w:tr>
        <w:trPr/>
        <w:tc>
          <w:tcPr>
            <w:tcW w:w="642" w:type="dxa"/>
            <w:tcBorders/>
            <w:shd w:fill="auto" w:val="clear"/>
            <w:vAlign w:val="center"/>
          </w:tcPr>
          <w:p>
            <w:pPr>
              <w:pStyle w:val="TableContents"/>
              <w:spacing w:before="0" w:after="283"/>
              <w:rPr/>
            </w:pPr>
            <w:r>
              <w:rPr/>
              <w:t> </w:t>
            </w:r>
          </w:p>
        </w:tc>
        <w:tc>
          <w:tcPr>
            <w:tcW w:w="9152" w:type="dxa"/>
            <w:tcBorders/>
            <w:shd w:fill="auto" w:val="clear"/>
            <w:vAlign w:val="center"/>
          </w:tcPr>
          <w:p>
            <w:pPr>
              <w:pStyle w:val="TableContents"/>
              <w:spacing w:before="0" w:after="0"/>
              <w:ind w:left="0" w:right="0" w:hanging="0"/>
              <w:jc w:val="left"/>
              <w:rPr/>
            </w:pPr>
            <w:hyperlink w:anchor="bs">
              <w:r>
                <w:rPr>
                  <w:rStyle w:val="InternetLink"/>
                  <w:rFonts w:ascii="Times New Roman;Times;serif" w:hAnsi="Times New Roman;Times;serif"/>
                  <w:sz w:val="20"/>
                </w:rPr>
                <w:t>Condensed Consolidated Balance Sheets as of March 31, 2023 (Unaudited) and December 31, 2022</w:t>
              </w:r>
            </w:hyperlink>
          </w:p>
        </w:tc>
        <w:tc>
          <w:tcPr>
            <w:tcW w:w="411" w:type="dxa"/>
            <w:tcBorders/>
            <w:shd w:fill="auto" w:val="clear"/>
            <w:vAlign w:val="center"/>
          </w:tcPr>
          <w:p>
            <w:pPr>
              <w:pStyle w:val="TableContents"/>
              <w:spacing w:before="0" w:after="0"/>
              <w:ind w:left="0" w:right="0" w:hanging="0"/>
              <w:jc w:val="right"/>
              <w:rPr/>
            </w:pPr>
            <w:hyperlink w:anchor="bs">
              <w:r>
                <w:rPr>
                  <w:rStyle w:val="InternetLink"/>
                  <w:rFonts w:ascii="Times New Roman;Times;serif" w:hAnsi="Times New Roman;Times;serif"/>
                  <w:sz w:val="20"/>
                </w:rPr>
                <w:t>3</w:t>
              </w:r>
            </w:hyperlink>
          </w:p>
        </w:tc>
      </w:tr>
      <w:tr>
        <w:trPr/>
        <w:tc>
          <w:tcPr>
            <w:tcW w:w="642" w:type="dxa"/>
            <w:tcBorders/>
            <w:shd w:fill="auto" w:val="clear"/>
            <w:vAlign w:val="center"/>
          </w:tcPr>
          <w:p>
            <w:pPr>
              <w:pStyle w:val="TableContents"/>
              <w:spacing w:before="0" w:after="283"/>
              <w:rPr/>
            </w:pPr>
            <w:r>
              <w:rPr/>
              <w:t> </w:t>
            </w:r>
          </w:p>
        </w:tc>
        <w:tc>
          <w:tcPr>
            <w:tcW w:w="9152" w:type="dxa"/>
            <w:tcBorders/>
            <w:shd w:fill="auto" w:val="clear"/>
            <w:vAlign w:val="center"/>
          </w:tcPr>
          <w:p>
            <w:pPr>
              <w:pStyle w:val="TableContents"/>
              <w:spacing w:before="0" w:after="283"/>
              <w:rPr/>
            </w:pPr>
            <w:r>
              <w:rPr/>
              <w:t> </w:t>
            </w:r>
          </w:p>
        </w:tc>
        <w:tc>
          <w:tcPr>
            <w:tcW w:w="411" w:type="dxa"/>
            <w:tcBorders/>
            <w:shd w:fill="auto" w:val="clear"/>
            <w:vAlign w:val="center"/>
          </w:tcPr>
          <w:p>
            <w:pPr>
              <w:pStyle w:val="TableContents"/>
              <w:spacing w:before="0" w:after="0"/>
              <w:ind w:left="0" w:right="0" w:hanging="0"/>
              <w:jc w:val="right"/>
              <w:rPr/>
            </w:pPr>
            <w:r>
              <w:rPr/>
              <w:t> </w:t>
            </w:r>
          </w:p>
        </w:tc>
      </w:tr>
      <w:tr>
        <w:trPr/>
        <w:tc>
          <w:tcPr>
            <w:tcW w:w="642" w:type="dxa"/>
            <w:tcBorders/>
            <w:shd w:fill="auto" w:val="clear"/>
            <w:vAlign w:val="center"/>
          </w:tcPr>
          <w:p>
            <w:pPr>
              <w:pStyle w:val="TableContents"/>
              <w:spacing w:before="0" w:after="283"/>
              <w:rPr/>
            </w:pPr>
            <w:r>
              <w:rPr/>
              <w:t> </w:t>
            </w:r>
          </w:p>
        </w:tc>
        <w:tc>
          <w:tcPr>
            <w:tcW w:w="9152" w:type="dxa"/>
            <w:tcBorders/>
            <w:shd w:fill="auto" w:val="clear"/>
            <w:vAlign w:val="center"/>
          </w:tcPr>
          <w:p>
            <w:pPr>
              <w:pStyle w:val="TableContents"/>
              <w:spacing w:before="0" w:after="0"/>
              <w:ind w:left="0" w:right="0" w:hanging="0"/>
              <w:jc w:val="left"/>
              <w:rPr/>
            </w:pPr>
            <w:hyperlink w:anchor="ops">
              <w:r>
                <w:rPr>
                  <w:rStyle w:val="InternetLink"/>
                  <w:rFonts w:ascii="Times New Roman;Times;serif" w:hAnsi="Times New Roman;Times;serif"/>
                  <w:sz w:val="20"/>
                </w:rPr>
                <w:t>Condensed Consolidated Statements of Operations for the Three Months ended March 31, 2023 and 2022 (Unaudited)</w:t>
              </w:r>
            </w:hyperlink>
          </w:p>
        </w:tc>
        <w:tc>
          <w:tcPr>
            <w:tcW w:w="411" w:type="dxa"/>
            <w:tcBorders/>
            <w:shd w:fill="auto" w:val="clear"/>
            <w:vAlign w:val="center"/>
          </w:tcPr>
          <w:p>
            <w:pPr>
              <w:pStyle w:val="TableContents"/>
              <w:spacing w:before="0" w:after="0"/>
              <w:ind w:left="0" w:right="0" w:hanging="0"/>
              <w:jc w:val="right"/>
              <w:rPr/>
            </w:pPr>
            <w:hyperlink w:anchor="ops">
              <w:r>
                <w:rPr>
                  <w:rStyle w:val="InternetLink"/>
                  <w:rFonts w:ascii="Times New Roman;Times;serif" w:hAnsi="Times New Roman;Times;serif"/>
                  <w:sz w:val="20"/>
                </w:rPr>
                <w:t>4</w:t>
              </w:r>
            </w:hyperlink>
          </w:p>
        </w:tc>
      </w:tr>
      <w:tr>
        <w:trPr/>
        <w:tc>
          <w:tcPr>
            <w:tcW w:w="642" w:type="dxa"/>
            <w:tcBorders/>
            <w:shd w:fill="auto" w:val="clear"/>
            <w:vAlign w:val="center"/>
          </w:tcPr>
          <w:p>
            <w:pPr>
              <w:pStyle w:val="TableContents"/>
              <w:spacing w:before="0" w:after="283"/>
              <w:rPr/>
            </w:pPr>
            <w:r>
              <w:rPr/>
              <w:t> </w:t>
            </w:r>
          </w:p>
        </w:tc>
        <w:tc>
          <w:tcPr>
            <w:tcW w:w="9152" w:type="dxa"/>
            <w:tcBorders/>
            <w:shd w:fill="auto" w:val="clear"/>
            <w:vAlign w:val="center"/>
          </w:tcPr>
          <w:p>
            <w:pPr>
              <w:pStyle w:val="TableContents"/>
              <w:spacing w:before="0" w:after="283"/>
              <w:rPr/>
            </w:pPr>
            <w:r>
              <w:rPr/>
              <w:t> </w:t>
            </w:r>
          </w:p>
        </w:tc>
        <w:tc>
          <w:tcPr>
            <w:tcW w:w="411" w:type="dxa"/>
            <w:tcBorders/>
            <w:shd w:fill="auto" w:val="clear"/>
            <w:vAlign w:val="center"/>
          </w:tcPr>
          <w:p>
            <w:pPr>
              <w:pStyle w:val="TableContents"/>
              <w:spacing w:before="0" w:after="0"/>
              <w:ind w:left="0" w:right="0" w:hanging="0"/>
              <w:jc w:val="right"/>
              <w:rPr/>
            </w:pPr>
            <w:r>
              <w:rPr/>
              <w:t> </w:t>
            </w:r>
          </w:p>
        </w:tc>
      </w:tr>
      <w:tr>
        <w:trPr/>
        <w:tc>
          <w:tcPr>
            <w:tcW w:w="642" w:type="dxa"/>
            <w:tcBorders/>
            <w:shd w:fill="auto" w:val="clear"/>
            <w:vAlign w:val="center"/>
          </w:tcPr>
          <w:p>
            <w:pPr>
              <w:pStyle w:val="TableContents"/>
              <w:spacing w:before="0" w:after="283"/>
              <w:rPr/>
            </w:pPr>
            <w:r>
              <w:rPr/>
              <w:t> </w:t>
            </w:r>
          </w:p>
        </w:tc>
        <w:tc>
          <w:tcPr>
            <w:tcW w:w="9152" w:type="dxa"/>
            <w:tcBorders/>
            <w:shd w:fill="auto" w:val="clear"/>
            <w:vAlign w:val="center"/>
          </w:tcPr>
          <w:p>
            <w:pPr>
              <w:pStyle w:val="TableContents"/>
              <w:spacing w:before="0" w:after="0"/>
              <w:ind w:left="0" w:right="0" w:hanging="0"/>
              <w:jc w:val="left"/>
              <w:rPr/>
            </w:pPr>
            <w:hyperlink w:anchor="compincome">
              <w:r>
                <w:rPr>
                  <w:rStyle w:val="InternetLink"/>
                  <w:rFonts w:ascii="Times New Roman;Times;serif" w:hAnsi="Times New Roman;Times;serif"/>
                  <w:sz w:val="20"/>
                </w:rPr>
                <w:t>Condensed Consolidated Statements of Comprehensive Income (Loss) for the Three Months ended March 31, 2023 and 2022 (Unaudited)</w:t>
              </w:r>
            </w:hyperlink>
          </w:p>
        </w:tc>
        <w:tc>
          <w:tcPr>
            <w:tcW w:w="411" w:type="dxa"/>
            <w:tcBorders/>
            <w:shd w:fill="auto" w:val="clear"/>
            <w:vAlign w:val="center"/>
          </w:tcPr>
          <w:p>
            <w:pPr>
              <w:pStyle w:val="TableContents"/>
              <w:spacing w:before="0" w:after="0"/>
              <w:ind w:left="0" w:right="0" w:hanging="0"/>
              <w:jc w:val="right"/>
              <w:rPr/>
            </w:pPr>
            <w:hyperlink w:anchor="compincome">
              <w:r>
                <w:rPr>
                  <w:rStyle w:val="InternetLink"/>
                  <w:rFonts w:ascii="Times New Roman;Times;serif" w:hAnsi="Times New Roman;Times;serif"/>
                  <w:sz w:val="20"/>
                </w:rPr>
                <w:t>5</w:t>
              </w:r>
            </w:hyperlink>
          </w:p>
        </w:tc>
      </w:tr>
      <w:tr>
        <w:trPr/>
        <w:tc>
          <w:tcPr>
            <w:tcW w:w="642" w:type="dxa"/>
            <w:tcBorders/>
            <w:shd w:fill="auto" w:val="clear"/>
            <w:vAlign w:val="center"/>
          </w:tcPr>
          <w:p>
            <w:pPr>
              <w:pStyle w:val="TableContents"/>
              <w:spacing w:before="0" w:after="283"/>
              <w:rPr/>
            </w:pPr>
            <w:r>
              <w:rPr/>
              <w:t> </w:t>
            </w:r>
          </w:p>
        </w:tc>
        <w:tc>
          <w:tcPr>
            <w:tcW w:w="9152" w:type="dxa"/>
            <w:tcBorders/>
            <w:shd w:fill="auto" w:val="clear"/>
            <w:vAlign w:val="center"/>
          </w:tcPr>
          <w:p>
            <w:pPr>
              <w:pStyle w:val="TableContents"/>
              <w:spacing w:before="0" w:after="283"/>
              <w:rPr/>
            </w:pPr>
            <w:r>
              <w:rPr/>
              <w:t> </w:t>
            </w:r>
          </w:p>
        </w:tc>
        <w:tc>
          <w:tcPr>
            <w:tcW w:w="411" w:type="dxa"/>
            <w:tcBorders/>
            <w:shd w:fill="auto" w:val="clear"/>
            <w:vAlign w:val="center"/>
          </w:tcPr>
          <w:p>
            <w:pPr>
              <w:pStyle w:val="TableContents"/>
              <w:spacing w:before="0" w:after="0"/>
              <w:ind w:left="0" w:right="0" w:hanging="0"/>
              <w:jc w:val="right"/>
              <w:rPr/>
            </w:pPr>
            <w:r>
              <w:rPr/>
              <w:t> </w:t>
            </w:r>
          </w:p>
        </w:tc>
      </w:tr>
      <w:tr>
        <w:trPr/>
        <w:tc>
          <w:tcPr>
            <w:tcW w:w="642" w:type="dxa"/>
            <w:tcBorders/>
            <w:shd w:fill="auto" w:val="clear"/>
            <w:vAlign w:val="center"/>
          </w:tcPr>
          <w:p>
            <w:pPr>
              <w:pStyle w:val="TableContents"/>
              <w:spacing w:before="0" w:after="283"/>
              <w:rPr/>
            </w:pPr>
            <w:r>
              <w:rPr/>
              <w:t> </w:t>
            </w:r>
          </w:p>
        </w:tc>
        <w:tc>
          <w:tcPr>
            <w:tcW w:w="9152" w:type="dxa"/>
            <w:tcBorders/>
            <w:shd w:fill="auto" w:val="clear"/>
            <w:vAlign w:val="center"/>
          </w:tcPr>
          <w:p>
            <w:pPr>
              <w:pStyle w:val="TableContents"/>
              <w:spacing w:before="0" w:after="0"/>
              <w:ind w:left="0" w:right="0" w:hanging="0"/>
              <w:jc w:val="left"/>
              <w:rPr/>
            </w:pPr>
            <w:hyperlink w:anchor="eq">
              <w:r>
                <w:rPr>
                  <w:rStyle w:val="InternetLink"/>
                  <w:rFonts w:ascii="Times New Roman;Times;serif" w:hAnsi="Times New Roman;Times;serif"/>
                  <w:sz w:val="20"/>
                </w:rPr>
                <w:t>Condensed Consolidated Statements of Stockholders’ Equity for the Three Months ended March 31, 2023 and 2022 (Unaudited)</w:t>
              </w:r>
            </w:hyperlink>
          </w:p>
        </w:tc>
        <w:tc>
          <w:tcPr>
            <w:tcW w:w="411" w:type="dxa"/>
            <w:tcBorders/>
            <w:shd w:fill="auto" w:val="clear"/>
            <w:vAlign w:val="center"/>
          </w:tcPr>
          <w:p>
            <w:pPr>
              <w:pStyle w:val="TableContents"/>
              <w:spacing w:before="0" w:after="0"/>
              <w:ind w:left="0" w:right="0" w:hanging="0"/>
              <w:jc w:val="right"/>
              <w:rPr/>
            </w:pPr>
            <w:hyperlink w:anchor="eq">
              <w:r>
                <w:rPr>
                  <w:rStyle w:val="InternetLink"/>
                  <w:rFonts w:ascii="Times New Roman;Times;serif" w:hAnsi="Times New Roman;Times;serif"/>
                  <w:sz w:val="20"/>
                </w:rPr>
                <w:t>6</w:t>
              </w:r>
            </w:hyperlink>
          </w:p>
        </w:tc>
      </w:tr>
      <w:tr>
        <w:trPr/>
        <w:tc>
          <w:tcPr>
            <w:tcW w:w="642" w:type="dxa"/>
            <w:tcBorders/>
            <w:shd w:fill="auto" w:val="clear"/>
            <w:vAlign w:val="center"/>
          </w:tcPr>
          <w:p>
            <w:pPr>
              <w:pStyle w:val="TableContents"/>
              <w:spacing w:before="0" w:after="283"/>
              <w:rPr/>
            </w:pPr>
            <w:r>
              <w:rPr/>
              <w:t> </w:t>
            </w:r>
          </w:p>
        </w:tc>
        <w:tc>
          <w:tcPr>
            <w:tcW w:w="9152" w:type="dxa"/>
            <w:tcBorders/>
            <w:shd w:fill="auto" w:val="clear"/>
            <w:vAlign w:val="center"/>
          </w:tcPr>
          <w:p>
            <w:pPr>
              <w:pStyle w:val="TableContents"/>
              <w:spacing w:before="0" w:after="283"/>
              <w:rPr/>
            </w:pPr>
            <w:r>
              <w:rPr/>
              <w:t> </w:t>
            </w:r>
          </w:p>
        </w:tc>
        <w:tc>
          <w:tcPr>
            <w:tcW w:w="411" w:type="dxa"/>
            <w:tcBorders/>
            <w:shd w:fill="auto" w:val="clear"/>
            <w:vAlign w:val="center"/>
          </w:tcPr>
          <w:p>
            <w:pPr>
              <w:pStyle w:val="TableContents"/>
              <w:spacing w:before="0" w:after="0"/>
              <w:ind w:left="0" w:right="0" w:hanging="0"/>
              <w:jc w:val="right"/>
              <w:rPr/>
            </w:pPr>
            <w:r>
              <w:rPr/>
              <w:t> </w:t>
            </w:r>
          </w:p>
        </w:tc>
      </w:tr>
      <w:tr>
        <w:trPr/>
        <w:tc>
          <w:tcPr>
            <w:tcW w:w="642" w:type="dxa"/>
            <w:tcBorders/>
            <w:shd w:fill="auto" w:val="clear"/>
            <w:vAlign w:val="center"/>
          </w:tcPr>
          <w:p>
            <w:pPr>
              <w:pStyle w:val="TableContents"/>
              <w:spacing w:before="0" w:after="283"/>
              <w:rPr/>
            </w:pPr>
            <w:r>
              <w:rPr/>
              <w:t> </w:t>
            </w:r>
          </w:p>
        </w:tc>
        <w:tc>
          <w:tcPr>
            <w:tcW w:w="9152" w:type="dxa"/>
            <w:tcBorders/>
            <w:shd w:fill="auto" w:val="clear"/>
            <w:vAlign w:val="center"/>
          </w:tcPr>
          <w:p>
            <w:pPr>
              <w:pStyle w:val="TableContents"/>
              <w:spacing w:before="0" w:after="0"/>
              <w:ind w:left="0" w:right="0" w:hanging="0"/>
              <w:jc w:val="left"/>
              <w:rPr/>
            </w:pPr>
            <w:hyperlink w:anchor="cf">
              <w:r>
                <w:rPr>
                  <w:rStyle w:val="InternetLink"/>
                  <w:rFonts w:ascii="Times New Roman;Times;serif" w:hAnsi="Times New Roman;Times;serif"/>
                  <w:sz w:val="20"/>
                </w:rPr>
                <w:t>Condensed Consolidated Statements of Cash Flows for the Three Months ended March 31, 2023 and 2022 (Unaudited)</w:t>
              </w:r>
            </w:hyperlink>
          </w:p>
        </w:tc>
        <w:tc>
          <w:tcPr>
            <w:tcW w:w="411" w:type="dxa"/>
            <w:tcBorders/>
            <w:shd w:fill="auto" w:val="clear"/>
            <w:vAlign w:val="center"/>
          </w:tcPr>
          <w:p>
            <w:pPr>
              <w:pStyle w:val="TableContents"/>
              <w:spacing w:before="0" w:after="0"/>
              <w:ind w:left="0" w:right="0" w:hanging="0"/>
              <w:jc w:val="right"/>
              <w:rPr/>
            </w:pPr>
            <w:hyperlink w:anchor="cf">
              <w:r>
                <w:rPr>
                  <w:rStyle w:val="InternetLink"/>
                  <w:rFonts w:ascii="Times New Roman;Times;serif" w:hAnsi="Times New Roman;Times;serif"/>
                  <w:sz w:val="20"/>
                </w:rPr>
                <w:t>7</w:t>
              </w:r>
            </w:hyperlink>
          </w:p>
        </w:tc>
      </w:tr>
      <w:tr>
        <w:trPr/>
        <w:tc>
          <w:tcPr>
            <w:tcW w:w="642" w:type="dxa"/>
            <w:tcBorders/>
            <w:shd w:fill="auto" w:val="clear"/>
            <w:vAlign w:val="center"/>
          </w:tcPr>
          <w:p>
            <w:pPr>
              <w:pStyle w:val="TableContents"/>
              <w:spacing w:before="0" w:after="283"/>
              <w:rPr/>
            </w:pPr>
            <w:r>
              <w:rPr/>
              <w:t> </w:t>
            </w:r>
          </w:p>
        </w:tc>
        <w:tc>
          <w:tcPr>
            <w:tcW w:w="9152" w:type="dxa"/>
            <w:tcBorders/>
            <w:shd w:fill="auto" w:val="clear"/>
            <w:vAlign w:val="center"/>
          </w:tcPr>
          <w:p>
            <w:pPr>
              <w:pStyle w:val="TableContents"/>
              <w:spacing w:before="0" w:after="283"/>
              <w:rPr/>
            </w:pPr>
            <w:r>
              <w:rPr/>
              <w:t> </w:t>
            </w:r>
          </w:p>
        </w:tc>
        <w:tc>
          <w:tcPr>
            <w:tcW w:w="411" w:type="dxa"/>
            <w:tcBorders/>
            <w:shd w:fill="auto" w:val="clear"/>
            <w:vAlign w:val="center"/>
          </w:tcPr>
          <w:p>
            <w:pPr>
              <w:pStyle w:val="TableContents"/>
              <w:spacing w:before="0" w:after="0"/>
              <w:ind w:left="0" w:right="0" w:hanging="0"/>
              <w:jc w:val="right"/>
              <w:rPr/>
            </w:pPr>
            <w:r>
              <w:rPr/>
              <w:t> </w:t>
            </w:r>
          </w:p>
        </w:tc>
      </w:tr>
      <w:tr>
        <w:trPr/>
        <w:tc>
          <w:tcPr>
            <w:tcW w:w="642" w:type="dxa"/>
            <w:tcBorders/>
            <w:shd w:fill="auto" w:val="clear"/>
            <w:vAlign w:val="center"/>
          </w:tcPr>
          <w:p>
            <w:pPr>
              <w:pStyle w:val="TableContents"/>
              <w:spacing w:before="0" w:after="283"/>
              <w:rPr/>
            </w:pPr>
            <w:r>
              <w:rPr/>
              <w:t> </w:t>
            </w:r>
          </w:p>
        </w:tc>
        <w:tc>
          <w:tcPr>
            <w:tcW w:w="9152" w:type="dxa"/>
            <w:tcBorders/>
            <w:shd w:fill="auto" w:val="clear"/>
            <w:vAlign w:val="center"/>
          </w:tcPr>
          <w:p>
            <w:pPr>
              <w:pStyle w:val="TableContents"/>
              <w:spacing w:before="0" w:after="0"/>
              <w:ind w:left="0" w:right="0" w:hanging="0"/>
              <w:jc w:val="left"/>
              <w:rPr/>
            </w:pPr>
            <w:hyperlink w:anchor="notes">
              <w:r>
                <w:rPr>
                  <w:rStyle w:val="InternetLink"/>
                  <w:rFonts w:ascii="Times New Roman;Times;serif" w:hAnsi="Times New Roman;Times;serif"/>
                  <w:sz w:val="20"/>
                </w:rPr>
                <w:t>Notes To Condensed Consolidated Financial Statements (Unaudited)</w:t>
              </w:r>
            </w:hyperlink>
          </w:p>
        </w:tc>
        <w:tc>
          <w:tcPr>
            <w:tcW w:w="411" w:type="dxa"/>
            <w:tcBorders/>
            <w:shd w:fill="auto" w:val="clear"/>
            <w:vAlign w:val="center"/>
          </w:tcPr>
          <w:p>
            <w:pPr>
              <w:pStyle w:val="TableContents"/>
              <w:spacing w:before="0" w:after="0"/>
              <w:ind w:left="0" w:right="0" w:hanging="0"/>
              <w:jc w:val="right"/>
              <w:rPr/>
            </w:pPr>
            <w:hyperlink w:anchor="notes">
              <w:r>
                <w:rPr>
                  <w:rStyle w:val="InternetLink"/>
                  <w:rFonts w:ascii="Times New Roman;Times;serif" w:hAnsi="Times New Roman;Times;serif"/>
                  <w:sz w:val="20"/>
                </w:rPr>
                <w:t>8</w:t>
              </w:r>
            </w:hyperlink>
          </w:p>
        </w:tc>
      </w:tr>
      <w:tr>
        <w:trPr/>
        <w:tc>
          <w:tcPr>
            <w:tcW w:w="642" w:type="dxa"/>
            <w:tcBorders/>
            <w:shd w:fill="auto" w:val="clear"/>
            <w:vAlign w:val="center"/>
          </w:tcPr>
          <w:p>
            <w:pPr>
              <w:pStyle w:val="TableContents"/>
              <w:spacing w:before="0" w:after="283"/>
              <w:rPr/>
            </w:pPr>
            <w:r>
              <w:rPr/>
              <w:t> </w:t>
            </w:r>
          </w:p>
        </w:tc>
        <w:tc>
          <w:tcPr>
            <w:tcW w:w="9152" w:type="dxa"/>
            <w:tcBorders/>
            <w:shd w:fill="auto" w:val="clear"/>
            <w:vAlign w:val="center"/>
          </w:tcPr>
          <w:p>
            <w:pPr>
              <w:pStyle w:val="TableContents"/>
              <w:spacing w:before="0" w:after="283"/>
              <w:rPr/>
            </w:pPr>
            <w:r>
              <w:rPr/>
              <w:t> </w:t>
            </w:r>
          </w:p>
        </w:tc>
        <w:tc>
          <w:tcPr>
            <w:tcW w:w="411" w:type="dxa"/>
            <w:tcBorders/>
            <w:shd w:fill="auto" w:val="clear"/>
            <w:vAlign w:val="center"/>
          </w:tcPr>
          <w:p>
            <w:pPr>
              <w:pStyle w:val="TableContents"/>
              <w:spacing w:before="0" w:after="0"/>
              <w:ind w:left="0" w:right="0" w:hanging="0"/>
              <w:jc w:val="right"/>
              <w:rPr/>
            </w:pPr>
            <w:r>
              <w:rPr/>
              <w:t> </w:t>
            </w:r>
          </w:p>
        </w:tc>
      </w:tr>
      <w:tr>
        <w:trPr/>
        <w:tc>
          <w:tcPr>
            <w:tcW w:w="642"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Item 2.</w:t>
            </w:r>
          </w:p>
        </w:tc>
        <w:tc>
          <w:tcPr>
            <w:tcW w:w="9152" w:type="dxa"/>
            <w:tcBorders/>
            <w:shd w:fill="auto" w:val="clear"/>
            <w:vAlign w:val="center"/>
          </w:tcPr>
          <w:p>
            <w:pPr>
              <w:pStyle w:val="TableContents"/>
              <w:spacing w:before="0" w:after="0"/>
              <w:ind w:left="0" w:right="0" w:hanging="0"/>
              <w:jc w:val="left"/>
              <w:rPr/>
            </w:pPr>
            <w:hyperlink w:anchor="item2">
              <w:r>
                <w:rPr>
                  <w:rStyle w:val="InternetLink"/>
                  <w:rFonts w:ascii="Times New Roman;Times;serif" w:hAnsi="Times New Roman;Times;serif"/>
                  <w:sz w:val="20"/>
                </w:rPr>
                <w:t>Management’s Discussion and Analysis of Financial Condition and Results of Operations</w:t>
              </w:r>
            </w:hyperlink>
          </w:p>
        </w:tc>
        <w:tc>
          <w:tcPr>
            <w:tcW w:w="411" w:type="dxa"/>
            <w:tcBorders/>
            <w:shd w:fill="auto" w:val="clear"/>
            <w:vAlign w:val="center"/>
          </w:tcPr>
          <w:p>
            <w:pPr>
              <w:pStyle w:val="TableContents"/>
              <w:spacing w:before="0" w:after="0"/>
              <w:ind w:left="0" w:right="0" w:hanging="0"/>
              <w:jc w:val="right"/>
              <w:rPr/>
            </w:pPr>
            <w:hyperlink w:anchor="item2">
              <w:r>
                <w:rPr>
                  <w:rStyle w:val="InternetLink"/>
                  <w:rFonts w:ascii="Times New Roman;Times;serif" w:hAnsi="Times New Roman;Times;serif"/>
                  <w:sz w:val="20"/>
                </w:rPr>
                <w:t>22</w:t>
              </w:r>
            </w:hyperlink>
          </w:p>
        </w:tc>
      </w:tr>
      <w:tr>
        <w:trPr/>
        <w:tc>
          <w:tcPr>
            <w:tcW w:w="642" w:type="dxa"/>
            <w:tcBorders/>
            <w:shd w:fill="auto" w:val="clear"/>
            <w:vAlign w:val="center"/>
          </w:tcPr>
          <w:p>
            <w:pPr>
              <w:pStyle w:val="TableContents"/>
              <w:spacing w:before="0" w:after="283"/>
              <w:rPr/>
            </w:pPr>
            <w:r>
              <w:rPr/>
              <w:t> </w:t>
            </w:r>
          </w:p>
        </w:tc>
        <w:tc>
          <w:tcPr>
            <w:tcW w:w="9152" w:type="dxa"/>
            <w:tcBorders/>
            <w:shd w:fill="auto" w:val="clear"/>
            <w:vAlign w:val="center"/>
          </w:tcPr>
          <w:p>
            <w:pPr>
              <w:pStyle w:val="TableContents"/>
              <w:spacing w:before="0" w:after="283"/>
              <w:rPr/>
            </w:pPr>
            <w:r>
              <w:rPr/>
              <w:t> </w:t>
            </w:r>
          </w:p>
        </w:tc>
        <w:tc>
          <w:tcPr>
            <w:tcW w:w="411" w:type="dxa"/>
            <w:tcBorders/>
            <w:shd w:fill="auto" w:val="clear"/>
            <w:vAlign w:val="center"/>
          </w:tcPr>
          <w:p>
            <w:pPr>
              <w:pStyle w:val="TableContents"/>
              <w:spacing w:before="0" w:after="0"/>
              <w:ind w:left="0" w:right="0" w:hanging="0"/>
              <w:jc w:val="right"/>
              <w:rPr/>
            </w:pPr>
            <w:r>
              <w:rPr/>
              <w:t> </w:t>
            </w:r>
          </w:p>
        </w:tc>
      </w:tr>
      <w:tr>
        <w:trPr/>
        <w:tc>
          <w:tcPr>
            <w:tcW w:w="642"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Item 3.</w:t>
            </w:r>
          </w:p>
        </w:tc>
        <w:tc>
          <w:tcPr>
            <w:tcW w:w="9152" w:type="dxa"/>
            <w:tcBorders/>
            <w:shd w:fill="auto" w:val="clear"/>
            <w:vAlign w:val="center"/>
          </w:tcPr>
          <w:p>
            <w:pPr>
              <w:pStyle w:val="TableContents"/>
              <w:spacing w:before="0" w:after="0"/>
              <w:ind w:left="0" w:right="0" w:hanging="0"/>
              <w:jc w:val="left"/>
              <w:rPr/>
            </w:pPr>
            <w:hyperlink w:anchor="item3">
              <w:r>
                <w:rPr>
                  <w:rStyle w:val="InternetLink"/>
                  <w:rFonts w:ascii="Times New Roman;Times;serif" w:hAnsi="Times New Roman;Times;serif"/>
                  <w:sz w:val="20"/>
                </w:rPr>
                <w:t>Quantitative and Qualitative Disclosures About Market Risk</w:t>
              </w:r>
            </w:hyperlink>
          </w:p>
        </w:tc>
        <w:tc>
          <w:tcPr>
            <w:tcW w:w="411" w:type="dxa"/>
            <w:tcBorders/>
            <w:shd w:fill="auto" w:val="clear"/>
            <w:vAlign w:val="center"/>
          </w:tcPr>
          <w:p>
            <w:pPr>
              <w:pStyle w:val="TableContents"/>
              <w:spacing w:before="0" w:after="0"/>
              <w:ind w:left="0" w:right="0" w:hanging="0"/>
              <w:jc w:val="right"/>
              <w:rPr/>
            </w:pPr>
            <w:hyperlink w:anchor="item3">
              <w:r>
                <w:rPr>
                  <w:rStyle w:val="InternetLink"/>
                  <w:rFonts w:ascii="Times New Roman;Times;serif" w:hAnsi="Times New Roman;Times;serif"/>
                  <w:sz w:val="20"/>
                </w:rPr>
                <w:t>30</w:t>
              </w:r>
            </w:hyperlink>
          </w:p>
        </w:tc>
      </w:tr>
      <w:tr>
        <w:trPr/>
        <w:tc>
          <w:tcPr>
            <w:tcW w:w="642" w:type="dxa"/>
            <w:tcBorders/>
            <w:shd w:fill="auto" w:val="clear"/>
            <w:vAlign w:val="center"/>
          </w:tcPr>
          <w:p>
            <w:pPr>
              <w:pStyle w:val="TableContents"/>
              <w:spacing w:before="0" w:after="283"/>
              <w:rPr/>
            </w:pPr>
            <w:r>
              <w:rPr/>
              <w:t> </w:t>
            </w:r>
          </w:p>
        </w:tc>
        <w:tc>
          <w:tcPr>
            <w:tcW w:w="9152" w:type="dxa"/>
            <w:tcBorders/>
            <w:shd w:fill="auto" w:val="clear"/>
            <w:vAlign w:val="center"/>
          </w:tcPr>
          <w:p>
            <w:pPr>
              <w:pStyle w:val="TableContents"/>
              <w:spacing w:before="0" w:after="283"/>
              <w:rPr/>
            </w:pPr>
            <w:r>
              <w:rPr/>
              <w:t> </w:t>
            </w:r>
          </w:p>
        </w:tc>
        <w:tc>
          <w:tcPr>
            <w:tcW w:w="411" w:type="dxa"/>
            <w:tcBorders/>
            <w:shd w:fill="auto" w:val="clear"/>
            <w:vAlign w:val="center"/>
          </w:tcPr>
          <w:p>
            <w:pPr>
              <w:pStyle w:val="TableContents"/>
              <w:spacing w:before="0" w:after="0"/>
              <w:ind w:left="0" w:right="0" w:hanging="0"/>
              <w:jc w:val="right"/>
              <w:rPr/>
            </w:pPr>
            <w:r>
              <w:rPr/>
              <w:t> </w:t>
            </w:r>
          </w:p>
        </w:tc>
      </w:tr>
      <w:tr>
        <w:trPr/>
        <w:tc>
          <w:tcPr>
            <w:tcW w:w="642"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Item 4.</w:t>
            </w:r>
          </w:p>
        </w:tc>
        <w:tc>
          <w:tcPr>
            <w:tcW w:w="9152" w:type="dxa"/>
            <w:tcBorders/>
            <w:shd w:fill="auto" w:val="clear"/>
            <w:vAlign w:val="center"/>
          </w:tcPr>
          <w:p>
            <w:pPr>
              <w:pStyle w:val="TableContents"/>
              <w:spacing w:before="0" w:after="0"/>
              <w:ind w:left="0" w:right="0" w:hanging="0"/>
              <w:jc w:val="left"/>
              <w:rPr/>
            </w:pPr>
            <w:hyperlink w:anchor="item4">
              <w:r>
                <w:rPr>
                  <w:rStyle w:val="InternetLink"/>
                  <w:rFonts w:ascii="Times New Roman;Times;serif" w:hAnsi="Times New Roman;Times;serif"/>
                  <w:sz w:val="20"/>
                </w:rPr>
                <w:t>Controls and Procedures</w:t>
              </w:r>
            </w:hyperlink>
          </w:p>
        </w:tc>
        <w:tc>
          <w:tcPr>
            <w:tcW w:w="411" w:type="dxa"/>
            <w:tcBorders/>
            <w:shd w:fill="auto" w:val="clear"/>
            <w:vAlign w:val="center"/>
          </w:tcPr>
          <w:p>
            <w:pPr>
              <w:pStyle w:val="TableContents"/>
              <w:spacing w:before="0" w:after="0"/>
              <w:ind w:left="0" w:right="0" w:hanging="0"/>
              <w:jc w:val="right"/>
              <w:rPr/>
            </w:pPr>
            <w:hyperlink w:anchor="item4">
              <w:r>
                <w:rPr>
                  <w:rStyle w:val="InternetLink"/>
                  <w:rFonts w:ascii="Times New Roman;Times;serif" w:hAnsi="Times New Roman;Times;serif"/>
                  <w:sz w:val="20"/>
                </w:rPr>
                <w:t>30</w:t>
              </w:r>
            </w:hyperlink>
          </w:p>
        </w:tc>
      </w:tr>
      <w:tr>
        <w:trPr/>
        <w:tc>
          <w:tcPr>
            <w:tcW w:w="642" w:type="dxa"/>
            <w:tcBorders/>
            <w:shd w:fill="auto" w:val="clear"/>
            <w:vAlign w:val="center"/>
          </w:tcPr>
          <w:p>
            <w:pPr>
              <w:pStyle w:val="TableContents"/>
              <w:spacing w:before="0" w:after="283"/>
              <w:rPr/>
            </w:pPr>
            <w:r>
              <w:rPr/>
              <w:t> </w:t>
            </w:r>
          </w:p>
        </w:tc>
        <w:tc>
          <w:tcPr>
            <w:tcW w:w="9152" w:type="dxa"/>
            <w:tcBorders/>
            <w:shd w:fill="auto" w:val="clear"/>
            <w:vAlign w:val="center"/>
          </w:tcPr>
          <w:p>
            <w:pPr>
              <w:pStyle w:val="TableContents"/>
              <w:spacing w:before="0" w:after="283"/>
              <w:rPr/>
            </w:pPr>
            <w:r>
              <w:rPr/>
              <w:t> </w:t>
            </w:r>
          </w:p>
        </w:tc>
        <w:tc>
          <w:tcPr>
            <w:tcW w:w="411" w:type="dxa"/>
            <w:tcBorders/>
            <w:shd w:fill="auto" w:val="clear"/>
            <w:vAlign w:val="center"/>
          </w:tcPr>
          <w:p>
            <w:pPr>
              <w:pStyle w:val="TableContents"/>
              <w:spacing w:before="0" w:after="0"/>
              <w:ind w:left="0" w:right="0" w:hanging="0"/>
              <w:jc w:val="right"/>
              <w:rPr/>
            </w:pPr>
            <w:r>
              <w:rPr/>
              <w:t> </w:t>
            </w:r>
          </w:p>
        </w:tc>
      </w:tr>
      <w:tr>
        <w:trPr/>
        <w:tc>
          <w:tcPr>
            <w:tcW w:w="10205" w:type="dxa"/>
            <w:gridSpan w:val="3"/>
            <w:tcBorders/>
            <w:shd w:fill="auto" w:val="clear"/>
            <w:vAlign w:val="center"/>
          </w:tcPr>
          <w:p>
            <w:pPr>
              <w:pStyle w:val="TableContents"/>
              <w:spacing w:before="0" w:after="0"/>
              <w:ind w:left="0" w:right="0" w:hanging="0"/>
              <w:jc w:val="left"/>
              <w:rPr/>
            </w:pPr>
            <w:hyperlink w:anchor="part2">
              <w:r>
                <w:rPr>
                  <w:rStyle w:val="InternetLink"/>
                  <w:rFonts w:ascii="Times New Roman;Times;serif" w:hAnsi="Times New Roman;Times;serif"/>
                  <w:b/>
                  <w:sz w:val="20"/>
                </w:rPr>
                <w:t>Part II. Other Information</w:t>
              </w:r>
            </w:hyperlink>
          </w:p>
        </w:tc>
      </w:tr>
      <w:tr>
        <w:trPr/>
        <w:tc>
          <w:tcPr>
            <w:tcW w:w="642" w:type="dxa"/>
            <w:tcBorders/>
            <w:shd w:fill="auto" w:val="clear"/>
            <w:vAlign w:val="center"/>
          </w:tcPr>
          <w:p>
            <w:pPr>
              <w:pStyle w:val="TableContents"/>
              <w:spacing w:before="0" w:after="283"/>
              <w:rPr/>
            </w:pPr>
            <w:r>
              <w:rPr/>
              <w:t> </w:t>
            </w:r>
          </w:p>
        </w:tc>
        <w:tc>
          <w:tcPr>
            <w:tcW w:w="9152" w:type="dxa"/>
            <w:tcBorders/>
            <w:shd w:fill="auto" w:val="clear"/>
            <w:vAlign w:val="center"/>
          </w:tcPr>
          <w:p>
            <w:pPr>
              <w:pStyle w:val="TableContents"/>
              <w:spacing w:before="0" w:after="283"/>
              <w:rPr/>
            </w:pPr>
            <w:r>
              <w:rPr/>
              <w:t> </w:t>
            </w:r>
          </w:p>
        </w:tc>
        <w:tc>
          <w:tcPr>
            <w:tcW w:w="411" w:type="dxa"/>
            <w:tcBorders/>
            <w:shd w:fill="auto" w:val="clear"/>
            <w:vAlign w:val="center"/>
          </w:tcPr>
          <w:p>
            <w:pPr>
              <w:pStyle w:val="TableContents"/>
              <w:spacing w:before="0" w:after="283"/>
              <w:rPr/>
            </w:pPr>
            <w:r>
              <w:rPr/>
              <w:t> </w:t>
            </w:r>
          </w:p>
        </w:tc>
      </w:tr>
      <w:tr>
        <w:trPr/>
        <w:tc>
          <w:tcPr>
            <w:tcW w:w="642"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Item 1.</w:t>
            </w:r>
          </w:p>
        </w:tc>
        <w:tc>
          <w:tcPr>
            <w:tcW w:w="9152" w:type="dxa"/>
            <w:tcBorders/>
            <w:shd w:fill="auto" w:val="clear"/>
            <w:vAlign w:val="center"/>
          </w:tcPr>
          <w:p>
            <w:pPr>
              <w:pStyle w:val="TableContents"/>
              <w:spacing w:before="0" w:after="0"/>
              <w:ind w:left="0" w:right="0" w:hanging="0"/>
              <w:jc w:val="left"/>
              <w:rPr/>
            </w:pPr>
            <w:hyperlink w:anchor="legal">
              <w:r>
                <w:rPr>
                  <w:rStyle w:val="InternetLink"/>
                  <w:rFonts w:ascii="Times New Roman;Times;serif" w:hAnsi="Times New Roman;Times;serif"/>
                  <w:sz w:val="20"/>
                </w:rPr>
                <w:t>Legal Proceedings</w:t>
              </w:r>
            </w:hyperlink>
          </w:p>
        </w:tc>
        <w:tc>
          <w:tcPr>
            <w:tcW w:w="411" w:type="dxa"/>
            <w:tcBorders/>
            <w:shd w:fill="auto" w:val="clear"/>
            <w:vAlign w:val="center"/>
          </w:tcPr>
          <w:p>
            <w:pPr>
              <w:pStyle w:val="TableContents"/>
              <w:spacing w:before="0" w:after="0"/>
              <w:ind w:left="0" w:right="0" w:hanging="0"/>
              <w:jc w:val="right"/>
              <w:rPr/>
            </w:pPr>
            <w:hyperlink w:anchor="legal">
              <w:r>
                <w:rPr>
                  <w:rStyle w:val="InternetLink"/>
                  <w:rFonts w:ascii="Times New Roman;Times;serif" w:hAnsi="Times New Roman;Times;serif"/>
                  <w:sz w:val="20"/>
                </w:rPr>
                <w:t>30</w:t>
              </w:r>
            </w:hyperlink>
          </w:p>
        </w:tc>
      </w:tr>
      <w:tr>
        <w:trPr/>
        <w:tc>
          <w:tcPr>
            <w:tcW w:w="642" w:type="dxa"/>
            <w:tcBorders/>
            <w:shd w:fill="auto" w:val="clear"/>
            <w:vAlign w:val="center"/>
          </w:tcPr>
          <w:p>
            <w:pPr>
              <w:pStyle w:val="TableContents"/>
              <w:spacing w:before="0" w:after="283"/>
              <w:rPr/>
            </w:pPr>
            <w:r>
              <w:rPr/>
              <w:t> </w:t>
            </w:r>
          </w:p>
        </w:tc>
        <w:tc>
          <w:tcPr>
            <w:tcW w:w="9152" w:type="dxa"/>
            <w:tcBorders/>
            <w:shd w:fill="auto" w:val="clear"/>
            <w:vAlign w:val="center"/>
          </w:tcPr>
          <w:p>
            <w:pPr>
              <w:pStyle w:val="TableContents"/>
              <w:spacing w:before="0" w:after="283"/>
              <w:rPr/>
            </w:pPr>
            <w:r>
              <w:rPr/>
              <w:t> </w:t>
            </w:r>
          </w:p>
        </w:tc>
        <w:tc>
          <w:tcPr>
            <w:tcW w:w="411" w:type="dxa"/>
            <w:tcBorders/>
            <w:shd w:fill="auto" w:val="clear"/>
            <w:vAlign w:val="center"/>
          </w:tcPr>
          <w:p>
            <w:pPr>
              <w:pStyle w:val="TableContents"/>
              <w:spacing w:before="0" w:after="283"/>
              <w:rPr/>
            </w:pPr>
            <w:r>
              <w:rPr/>
              <w:t> </w:t>
            </w:r>
          </w:p>
        </w:tc>
      </w:tr>
      <w:tr>
        <w:trPr/>
        <w:tc>
          <w:tcPr>
            <w:tcW w:w="642"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Item 1A.</w:t>
            </w:r>
          </w:p>
        </w:tc>
        <w:tc>
          <w:tcPr>
            <w:tcW w:w="9152" w:type="dxa"/>
            <w:tcBorders/>
            <w:shd w:fill="auto" w:val="clear"/>
            <w:vAlign w:val="center"/>
          </w:tcPr>
          <w:p>
            <w:pPr>
              <w:pStyle w:val="TableContents"/>
              <w:spacing w:before="0" w:after="0"/>
              <w:ind w:left="0" w:right="0" w:hanging="0"/>
              <w:jc w:val="left"/>
              <w:rPr/>
            </w:pPr>
            <w:hyperlink w:anchor="risk">
              <w:r>
                <w:rPr>
                  <w:rStyle w:val="InternetLink"/>
                  <w:rFonts w:ascii="Times New Roman;Times;serif" w:hAnsi="Times New Roman;Times;serif"/>
                  <w:sz w:val="20"/>
                </w:rPr>
                <w:t>Risk Factors</w:t>
              </w:r>
            </w:hyperlink>
          </w:p>
        </w:tc>
        <w:tc>
          <w:tcPr>
            <w:tcW w:w="411" w:type="dxa"/>
            <w:tcBorders/>
            <w:shd w:fill="auto" w:val="clear"/>
            <w:vAlign w:val="center"/>
          </w:tcPr>
          <w:p>
            <w:pPr>
              <w:pStyle w:val="TableContents"/>
              <w:spacing w:before="0" w:after="0"/>
              <w:ind w:left="0" w:right="0" w:hanging="0"/>
              <w:jc w:val="right"/>
              <w:rPr/>
            </w:pPr>
            <w:hyperlink w:anchor="risk">
              <w:r>
                <w:rPr>
                  <w:rStyle w:val="InternetLink"/>
                  <w:rFonts w:ascii="Times New Roman;Times;serif" w:hAnsi="Times New Roman;Times;serif"/>
                  <w:sz w:val="20"/>
                </w:rPr>
                <w:t>30</w:t>
              </w:r>
            </w:hyperlink>
          </w:p>
        </w:tc>
      </w:tr>
      <w:tr>
        <w:trPr/>
        <w:tc>
          <w:tcPr>
            <w:tcW w:w="642" w:type="dxa"/>
            <w:tcBorders/>
            <w:shd w:fill="auto" w:val="clear"/>
            <w:vAlign w:val="center"/>
          </w:tcPr>
          <w:p>
            <w:pPr>
              <w:pStyle w:val="TableContents"/>
              <w:spacing w:before="0" w:after="283"/>
              <w:rPr/>
            </w:pPr>
            <w:r>
              <w:rPr/>
              <w:t> </w:t>
            </w:r>
          </w:p>
        </w:tc>
        <w:tc>
          <w:tcPr>
            <w:tcW w:w="9152" w:type="dxa"/>
            <w:tcBorders/>
            <w:shd w:fill="auto" w:val="clear"/>
            <w:vAlign w:val="center"/>
          </w:tcPr>
          <w:p>
            <w:pPr>
              <w:pStyle w:val="TableContents"/>
              <w:spacing w:before="0" w:after="283"/>
              <w:rPr/>
            </w:pPr>
            <w:r>
              <w:rPr/>
              <w:t> </w:t>
            </w:r>
          </w:p>
        </w:tc>
        <w:tc>
          <w:tcPr>
            <w:tcW w:w="411" w:type="dxa"/>
            <w:tcBorders/>
            <w:shd w:fill="auto" w:val="clear"/>
            <w:vAlign w:val="center"/>
          </w:tcPr>
          <w:p>
            <w:pPr>
              <w:pStyle w:val="TableContents"/>
              <w:spacing w:before="0" w:after="283"/>
              <w:rPr/>
            </w:pPr>
            <w:r>
              <w:rPr/>
              <w:t> </w:t>
            </w:r>
          </w:p>
        </w:tc>
      </w:tr>
      <w:tr>
        <w:trPr/>
        <w:tc>
          <w:tcPr>
            <w:tcW w:w="642"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Item 6.</w:t>
            </w:r>
          </w:p>
        </w:tc>
        <w:tc>
          <w:tcPr>
            <w:tcW w:w="9152" w:type="dxa"/>
            <w:tcBorders/>
            <w:shd w:fill="auto" w:val="clear"/>
            <w:vAlign w:val="center"/>
          </w:tcPr>
          <w:p>
            <w:pPr>
              <w:pStyle w:val="TableContents"/>
              <w:spacing w:before="0" w:after="0"/>
              <w:ind w:left="0" w:right="0" w:hanging="0"/>
              <w:jc w:val="left"/>
              <w:rPr/>
            </w:pPr>
            <w:hyperlink w:anchor="exhibits">
              <w:r>
                <w:rPr>
                  <w:rStyle w:val="InternetLink"/>
                  <w:rFonts w:ascii="Times New Roman;Times;serif" w:hAnsi="Times New Roman;Times;serif"/>
                  <w:sz w:val="20"/>
                </w:rPr>
                <w:t>Exhibits</w:t>
              </w:r>
            </w:hyperlink>
          </w:p>
        </w:tc>
        <w:tc>
          <w:tcPr>
            <w:tcW w:w="411" w:type="dxa"/>
            <w:tcBorders/>
            <w:shd w:fill="auto" w:val="clear"/>
            <w:vAlign w:val="center"/>
          </w:tcPr>
          <w:p>
            <w:pPr>
              <w:pStyle w:val="TableContents"/>
              <w:spacing w:before="0" w:after="0"/>
              <w:ind w:left="0" w:right="0" w:hanging="0"/>
              <w:jc w:val="right"/>
              <w:rPr/>
            </w:pPr>
            <w:hyperlink w:anchor="exhibits">
              <w:r>
                <w:rPr>
                  <w:rStyle w:val="InternetLink"/>
                  <w:rFonts w:ascii="Times New Roman;Times;serif" w:hAnsi="Times New Roman;Times;serif"/>
                  <w:sz w:val="20"/>
                </w:rPr>
                <w:t>31</w:t>
              </w:r>
            </w:hyperlink>
          </w:p>
        </w:tc>
      </w:tr>
      <w:tr>
        <w:trPr/>
        <w:tc>
          <w:tcPr>
            <w:tcW w:w="642" w:type="dxa"/>
            <w:tcBorders/>
            <w:shd w:fill="auto" w:val="clear"/>
            <w:vAlign w:val="center"/>
          </w:tcPr>
          <w:p>
            <w:pPr>
              <w:pStyle w:val="TableContents"/>
              <w:spacing w:before="0" w:after="283"/>
              <w:rPr/>
            </w:pPr>
            <w:r>
              <w:rPr/>
              <w:t> </w:t>
            </w:r>
          </w:p>
        </w:tc>
        <w:tc>
          <w:tcPr>
            <w:tcW w:w="9152" w:type="dxa"/>
            <w:tcBorders/>
            <w:shd w:fill="auto" w:val="clear"/>
            <w:vAlign w:val="center"/>
          </w:tcPr>
          <w:p>
            <w:pPr>
              <w:pStyle w:val="TableContents"/>
              <w:spacing w:before="0" w:after="283"/>
              <w:rPr/>
            </w:pPr>
            <w:r>
              <w:rPr/>
              <w:t> </w:t>
            </w:r>
          </w:p>
        </w:tc>
        <w:tc>
          <w:tcPr>
            <w:tcW w:w="411" w:type="dxa"/>
            <w:tcBorders/>
            <w:shd w:fill="auto" w:val="clear"/>
            <w:vAlign w:val="center"/>
          </w:tcPr>
          <w:p>
            <w:pPr>
              <w:pStyle w:val="TableContents"/>
              <w:spacing w:before="0" w:after="283"/>
              <w:rPr/>
            </w:pPr>
            <w:r>
              <w:rPr/>
              <w:t> </w:t>
            </w:r>
          </w:p>
        </w:tc>
      </w:tr>
      <w:tr>
        <w:trPr/>
        <w:tc>
          <w:tcPr>
            <w:tcW w:w="642" w:type="dxa"/>
            <w:tcBorders/>
            <w:shd w:fill="auto" w:val="clear"/>
            <w:vAlign w:val="center"/>
          </w:tcPr>
          <w:p>
            <w:pPr>
              <w:pStyle w:val="TableContents"/>
              <w:spacing w:before="0" w:after="283"/>
              <w:rPr/>
            </w:pPr>
            <w:r>
              <w:rPr/>
              <w:t> </w:t>
            </w:r>
          </w:p>
        </w:tc>
        <w:tc>
          <w:tcPr>
            <w:tcW w:w="9152" w:type="dxa"/>
            <w:tcBorders/>
            <w:shd w:fill="auto" w:val="clear"/>
            <w:vAlign w:val="center"/>
          </w:tcPr>
          <w:p>
            <w:pPr>
              <w:pStyle w:val="TableContents"/>
              <w:spacing w:before="0" w:after="0"/>
              <w:ind w:left="0" w:right="0" w:hanging="0"/>
              <w:jc w:val="left"/>
              <w:rPr/>
            </w:pPr>
            <w:hyperlink w:anchor="sigs">
              <w:r>
                <w:rPr>
                  <w:rStyle w:val="InternetLink"/>
                  <w:rFonts w:ascii="Times New Roman;Times;serif" w:hAnsi="Times New Roman;Times;serif"/>
                  <w:sz w:val="20"/>
                </w:rPr>
                <w:t>Signatures</w:t>
              </w:r>
            </w:hyperlink>
          </w:p>
        </w:tc>
        <w:tc>
          <w:tcPr>
            <w:tcW w:w="411" w:type="dxa"/>
            <w:tcBorders/>
            <w:shd w:fill="auto" w:val="clear"/>
            <w:vAlign w:val="center"/>
          </w:tcPr>
          <w:p>
            <w:pPr>
              <w:pStyle w:val="TableContents"/>
              <w:spacing w:before="0" w:after="0"/>
              <w:ind w:left="0" w:right="0" w:hanging="0"/>
              <w:jc w:val="right"/>
              <w:rPr/>
            </w:pPr>
            <w:hyperlink w:anchor="sigs">
              <w:r>
                <w:rPr>
                  <w:rStyle w:val="InternetLink"/>
                  <w:rFonts w:ascii="Times New Roman;Times;serif" w:hAnsi="Times New Roman;Times;serif"/>
                  <w:sz w:val="20"/>
                </w:rPr>
                <w:t>33</w:t>
              </w:r>
            </w:hyperlink>
          </w:p>
        </w:tc>
      </w:tr>
    </w:tbl>
    <w:p>
      <w:pPr>
        <w:pStyle w:val="TextBody"/>
        <w:spacing w:before="0" w:after="0"/>
        <w:ind w:left="0" w:right="0" w:hanging="0"/>
        <w:jc w:val="left"/>
        <w:rPr/>
      </w:pPr>
      <w:r>
        <w:rPr/>
        <w:t>​</w:t>
      </w: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2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rPr/>
      </w:pPr>
      <w:r>
        <w:rPr/>
        <w:t xml:space="preserve">  </w:t>
      </w:r>
    </w:p>
    <w:p>
      <w:pPr>
        <w:pStyle w:val="TextBody"/>
        <w:spacing w:before="0" w:after="0"/>
        <w:ind w:left="0" w:right="0" w:hanging="0"/>
        <w:jc w:val="center"/>
        <w:rPr>
          <w:rFonts w:ascii="Times New Roman;Times;serif" w:hAnsi="Times New Roman;Times;serif"/>
          <w:b/>
          <w:sz w:val="20"/>
        </w:rPr>
      </w:pPr>
      <w:bookmarkStart w:id="3" w:name="part1"/>
      <w:bookmarkEnd w:id="3"/>
      <w:r>
        <w:rPr>
          <w:rFonts w:ascii="Times New Roman;Times;serif" w:hAnsi="Times New Roman;Times;serif"/>
          <w:b/>
          <w:sz w:val="20"/>
        </w:rPr>
        <w:t>Part I. Financial Information</w:t>
      </w:r>
    </w:p>
    <w:p>
      <w:pPr>
        <w:pStyle w:val="TextBody"/>
        <w:spacing w:before="0" w:after="0"/>
        <w:ind w:left="0" w:right="0" w:hanging="0"/>
        <w:jc w:val="center"/>
        <w:rPr/>
      </w:pPr>
      <w:r>
        <w:rPr/>
        <w:t>​</w:t>
      </w:r>
    </w:p>
    <w:p>
      <w:pPr>
        <w:pStyle w:val="TextBody"/>
        <w:spacing w:before="0" w:after="0"/>
        <w:ind w:left="0" w:right="0" w:hanging="0"/>
        <w:jc w:val="left"/>
        <w:rPr>
          <w:rFonts w:ascii="Times New Roman;Times;serif" w:hAnsi="Times New Roman;Times;serif"/>
          <w:b/>
          <w:sz w:val="20"/>
        </w:rPr>
      </w:pPr>
      <w:bookmarkStart w:id="4" w:name="item1"/>
      <w:bookmarkEnd w:id="4"/>
      <w:r>
        <w:rPr>
          <w:rFonts w:ascii="Times New Roman;Times;serif" w:hAnsi="Times New Roman;Times;serif"/>
          <w:b/>
          <w:sz w:val="20"/>
        </w:rPr>
        <w:t>Item 1. Condensed Consolidated Financial Statements</w:t>
      </w:r>
    </w:p>
    <w:p>
      <w:pPr>
        <w:pStyle w:val="TextBody"/>
        <w:spacing w:before="0" w:after="0"/>
        <w:ind w:left="0" w:right="0" w:hanging="0"/>
        <w:jc w:val="left"/>
        <w:rPr/>
      </w:pPr>
      <w:r>
        <w:rPr/>
        <w:t>​</w:t>
      </w:r>
    </w:p>
    <w:p>
      <w:pPr>
        <w:pStyle w:val="TextBody"/>
        <w:spacing w:before="0" w:after="0"/>
        <w:ind w:left="0" w:right="0" w:hanging="0"/>
        <w:jc w:val="center"/>
        <w:rPr>
          <w:rFonts w:ascii="Times New Roman;Times;serif" w:hAnsi="Times New Roman;Times;serif"/>
          <w:b/>
          <w:sz w:val="20"/>
        </w:rPr>
      </w:pPr>
      <w:bookmarkStart w:id="5" w:name="bs"/>
      <w:bookmarkEnd w:id="5"/>
      <w:r>
        <w:rPr>
          <w:rFonts w:ascii="Times New Roman;Times;serif" w:hAnsi="Times New Roman;Times;serif"/>
          <w:b/>
          <w:sz w:val="20"/>
        </w:rPr>
        <w:t>Applied Optoelectronics, Inc. and Subsidiaries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BALANCE SHEETS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w:t>
      </w:r>
    </w:p>
    <w:p>
      <w:pPr>
        <w:pStyle w:val="TextBody"/>
        <w:spacing w:before="0" w:after="0"/>
        <w:ind w:left="0" w:right="0" w:hanging="0"/>
        <w:jc w:val="center"/>
        <w:rPr/>
      </w:pPr>
      <w:r>
        <w:rPr/>
        <w:t>​</w:t>
      </w:r>
    </w:p>
    <w:tbl>
      <w:tblPr>
        <w:tblW w:w="10205" w:type="dxa"/>
        <w:jc w:val="left"/>
        <w:tblInd w:w="0" w:type="dxa"/>
        <w:tblCellMar>
          <w:top w:w="0" w:type="dxa"/>
          <w:left w:w="0" w:type="dxa"/>
          <w:bottom w:w="0" w:type="dxa"/>
          <w:right w:w="0" w:type="dxa"/>
        </w:tblCellMar>
      </w:tblPr>
      <w:tblGrid>
        <w:gridCol w:w="8024"/>
        <w:gridCol w:w="60"/>
        <w:gridCol w:w="125"/>
        <w:gridCol w:w="755"/>
        <w:gridCol w:w="80"/>
        <w:gridCol w:w="60"/>
        <w:gridCol w:w="144"/>
        <w:gridCol w:w="875"/>
        <w:gridCol w:w="82"/>
      </w:tblGrid>
      <w:tr>
        <w:trPr/>
        <w:tc>
          <w:tcPr>
            <w:tcW w:w="8024"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8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March 31,</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019"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December 31,</w:t>
            </w:r>
          </w:p>
        </w:tc>
        <w:tc>
          <w:tcPr>
            <w:tcW w:w="82" w:type="dxa"/>
            <w:tcBorders/>
            <w:shd w:fill="FFFFFF" w:val="clear"/>
            <w:vAlign w:val="center"/>
          </w:tcPr>
          <w:p>
            <w:pPr>
              <w:pStyle w:val="TableContents"/>
              <w:spacing w:before="0" w:after="283"/>
              <w:rPr/>
            </w:pPr>
            <w:r>
              <w:rPr/>
              <w:t> </w:t>
            </w:r>
          </w:p>
        </w:tc>
      </w:tr>
      <w:tr>
        <w:trPr/>
        <w:tc>
          <w:tcPr>
            <w:tcW w:w="8024" w:type="dxa"/>
            <w:tcBorders/>
            <w:shd w:fill="FFFFFF" w:val="clear"/>
            <w:vAlign w:val="center"/>
          </w:tcPr>
          <w:p>
            <w:pPr>
              <w:pStyle w:val="TableContents"/>
              <w:spacing w:before="0" w:after="0"/>
              <w:rPr>
                <w:caps w:val="false"/>
                <w:smallCaps w:val="false"/>
              </w:rPr>
            </w:pPr>
            <w:r>
              <w:rPr>
                <w:caps w:val="false"/>
                <w:smallCaps w:val="false"/>
              </w:rPr>
              <w:t>​</w:t>
            </w:r>
          </w:p>
        </w:tc>
        <w:tc>
          <w:tcPr>
            <w:tcW w:w="60" w:type="dxa"/>
            <w:tcBorders/>
            <w:shd w:fill="FFFFFF" w:val="clear"/>
            <w:vAlign w:val="center"/>
          </w:tcPr>
          <w:p>
            <w:pPr>
              <w:pStyle w:val="TableContents"/>
              <w:spacing w:before="0" w:after="283"/>
              <w:ind w:left="0" w:right="0" w:hanging="0"/>
              <w:rPr/>
            </w:pPr>
            <w:r>
              <w:rPr/>
              <w:t> </w:t>
            </w:r>
          </w:p>
        </w:tc>
        <w:tc>
          <w:tcPr>
            <w:tcW w:w="88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2023</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019"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2022</w:t>
            </w:r>
          </w:p>
        </w:tc>
        <w:tc>
          <w:tcPr>
            <w:tcW w:w="82" w:type="dxa"/>
            <w:tcBorders/>
            <w:shd w:fill="FFFFFF" w:val="clear"/>
            <w:vAlign w:val="center"/>
          </w:tcPr>
          <w:p>
            <w:pPr>
              <w:pStyle w:val="TableContents"/>
              <w:spacing w:before="0" w:after="283"/>
              <w:rPr/>
            </w:pPr>
            <w:r>
              <w:rPr/>
              <w:t> </w:t>
            </w:r>
          </w:p>
        </w:tc>
      </w:tr>
      <w:tr>
        <w:trPr/>
        <w:tc>
          <w:tcPr>
            <w:tcW w:w="8024"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ASSETS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4"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rPr/>
            </w:pPr>
            <w:r>
              <w:rPr/>
              <w:t> </w:t>
            </w:r>
          </w:p>
        </w:tc>
        <w:tc>
          <w:tcPr>
            <w:tcW w:w="82" w:type="dxa"/>
            <w:tcBorders/>
            <w:shd w:fill="CCEEFF" w:val="clear"/>
            <w:vAlign w:val="center"/>
          </w:tcPr>
          <w:p>
            <w:pPr>
              <w:pStyle w:val="TableContents"/>
              <w:spacing w:before="0" w:after="283"/>
              <w:rPr/>
            </w:pPr>
            <w:r>
              <w:rPr/>
              <w:t> </w:t>
            </w:r>
          </w:p>
        </w:tc>
      </w:tr>
      <w:tr>
        <w:trPr/>
        <w:tc>
          <w:tcPr>
            <w:tcW w:w="8024"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Current Assets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755"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4" w:type="dxa"/>
            <w:tcBorders/>
            <w:shd w:fill="FFFFFF" w:val="clear"/>
            <w:vAlign w:val="center"/>
          </w:tcPr>
          <w:p>
            <w:pPr>
              <w:pStyle w:val="TableContents"/>
              <w:spacing w:before="0" w:after="283"/>
              <w:rPr/>
            </w:pPr>
            <w:r>
              <w:rPr/>
              <w:t> </w:t>
            </w:r>
          </w:p>
        </w:tc>
        <w:tc>
          <w:tcPr>
            <w:tcW w:w="875" w:type="dxa"/>
            <w:tcBorders/>
            <w:shd w:fill="FFFFFF" w:val="clear"/>
            <w:vAlign w:val="center"/>
          </w:tcPr>
          <w:p>
            <w:pPr>
              <w:pStyle w:val="TableContents"/>
              <w:spacing w:before="0" w:after="283"/>
              <w:rPr/>
            </w:pPr>
            <w:r>
              <w:rPr/>
              <w:t> </w:t>
            </w:r>
          </w:p>
        </w:tc>
        <w:tc>
          <w:tcPr>
            <w:tcW w:w="82" w:type="dxa"/>
            <w:tcBorders/>
            <w:shd w:fill="FFFFFF" w:val="clear"/>
            <w:vAlign w:val="center"/>
          </w:tcPr>
          <w:p>
            <w:pPr>
              <w:pStyle w:val="TableContents"/>
              <w:spacing w:before="0" w:after="283"/>
              <w:rPr/>
            </w:pPr>
            <w:r>
              <w:rPr/>
              <w:t> </w:t>
            </w:r>
          </w:p>
        </w:tc>
      </w:tr>
      <w:tr>
        <w:trPr/>
        <w:tc>
          <w:tcPr>
            <w:tcW w:w="8024"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Cash and cash equivalents</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5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16,103</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44"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7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24,685</w:t>
            </w:r>
          </w:p>
        </w:tc>
        <w:tc>
          <w:tcPr>
            <w:tcW w:w="82" w:type="dxa"/>
            <w:tcBorders/>
            <w:shd w:fill="CCEEFF" w:val="clear"/>
            <w:vAlign w:val="center"/>
          </w:tcPr>
          <w:p>
            <w:pPr>
              <w:pStyle w:val="TableContents"/>
              <w:spacing w:before="0" w:after="283"/>
              <w:rPr/>
            </w:pPr>
            <w:r>
              <w:rPr/>
              <w:t> </w:t>
            </w:r>
          </w:p>
        </w:tc>
      </w:tr>
      <w:tr>
        <w:trPr/>
        <w:tc>
          <w:tcPr>
            <w:tcW w:w="8024"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Restricted cash</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75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10,845</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4" w:type="dxa"/>
            <w:tcBorders/>
            <w:shd w:fill="FFFFFF" w:val="clear"/>
            <w:vAlign w:val="center"/>
          </w:tcPr>
          <w:p>
            <w:pPr>
              <w:pStyle w:val="TableContents"/>
              <w:spacing w:before="0" w:after="283"/>
              <w:ind w:left="0" w:right="0" w:hanging="0"/>
              <w:rPr/>
            </w:pPr>
            <w:r>
              <w:rPr/>
              <w:t> </w:t>
            </w:r>
          </w:p>
        </w:tc>
        <w:tc>
          <w:tcPr>
            <w:tcW w:w="87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10,902</w:t>
            </w:r>
          </w:p>
        </w:tc>
        <w:tc>
          <w:tcPr>
            <w:tcW w:w="82" w:type="dxa"/>
            <w:tcBorders/>
            <w:shd w:fill="FFFFFF" w:val="clear"/>
            <w:vAlign w:val="center"/>
          </w:tcPr>
          <w:p>
            <w:pPr>
              <w:pStyle w:val="TableContents"/>
              <w:spacing w:before="0" w:after="283"/>
              <w:rPr/>
            </w:pPr>
            <w:r>
              <w:rPr/>
              <w:t> </w:t>
            </w:r>
          </w:p>
        </w:tc>
      </w:tr>
      <w:tr>
        <w:trPr/>
        <w:tc>
          <w:tcPr>
            <w:tcW w:w="8024"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Accounts receivable - trade, net of allowance of $39 and $28, respectively</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75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56,799</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4" w:type="dxa"/>
            <w:tcBorders/>
            <w:shd w:fill="CCEEFF" w:val="clear"/>
            <w:vAlign w:val="center"/>
          </w:tcPr>
          <w:p>
            <w:pPr>
              <w:pStyle w:val="TableContents"/>
              <w:spacing w:before="0" w:after="283"/>
              <w:ind w:left="0" w:right="0" w:hanging="0"/>
              <w:rPr/>
            </w:pPr>
            <w:r>
              <w:rPr/>
              <w:t> </w:t>
            </w:r>
          </w:p>
        </w:tc>
        <w:tc>
          <w:tcPr>
            <w:tcW w:w="87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61,175</w:t>
            </w:r>
          </w:p>
        </w:tc>
        <w:tc>
          <w:tcPr>
            <w:tcW w:w="82" w:type="dxa"/>
            <w:tcBorders/>
            <w:shd w:fill="CCEEFF" w:val="clear"/>
            <w:vAlign w:val="center"/>
          </w:tcPr>
          <w:p>
            <w:pPr>
              <w:pStyle w:val="TableContents"/>
              <w:spacing w:before="0" w:after="283"/>
              <w:rPr/>
            </w:pPr>
            <w:r>
              <w:rPr/>
              <w:t> </w:t>
            </w:r>
          </w:p>
        </w:tc>
      </w:tr>
      <w:tr>
        <w:trPr/>
        <w:tc>
          <w:tcPr>
            <w:tcW w:w="8024"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Notes receivable</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75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1,079</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4" w:type="dxa"/>
            <w:tcBorders/>
            <w:shd w:fill="FFFFFF" w:val="clear"/>
            <w:vAlign w:val="center"/>
          </w:tcPr>
          <w:p>
            <w:pPr>
              <w:pStyle w:val="TableContents"/>
              <w:spacing w:before="0" w:after="283"/>
              <w:ind w:left="0" w:right="0" w:hanging="0"/>
              <w:rPr/>
            </w:pPr>
            <w:r>
              <w:rPr/>
              <w:t> </w:t>
            </w:r>
          </w:p>
        </w:tc>
        <w:tc>
          <w:tcPr>
            <w:tcW w:w="87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339</w:t>
            </w:r>
          </w:p>
        </w:tc>
        <w:tc>
          <w:tcPr>
            <w:tcW w:w="82" w:type="dxa"/>
            <w:tcBorders/>
            <w:shd w:fill="FFFFFF" w:val="clear"/>
            <w:vAlign w:val="center"/>
          </w:tcPr>
          <w:p>
            <w:pPr>
              <w:pStyle w:val="TableContents"/>
              <w:spacing w:before="0" w:after="283"/>
              <w:rPr/>
            </w:pPr>
            <w:r>
              <w:rPr/>
              <w:t> </w:t>
            </w:r>
          </w:p>
        </w:tc>
      </w:tr>
      <w:tr>
        <w:trPr/>
        <w:tc>
          <w:tcPr>
            <w:tcW w:w="8024"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Inventories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75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70,186</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4" w:type="dxa"/>
            <w:tcBorders/>
            <w:shd w:fill="CCEEFF" w:val="clear"/>
            <w:vAlign w:val="center"/>
          </w:tcPr>
          <w:p>
            <w:pPr>
              <w:pStyle w:val="TableContents"/>
              <w:spacing w:before="0" w:after="283"/>
              <w:ind w:left="0" w:right="0" w:hanging="0"/>
              <w:rPr/>
            </w:pPr>
            <w:r>
              <w:rPr/>
              <w:t> </w:t>
            </w:r>
          </w:p>
        </w:tc>
        <w:tc>
          <w:tcPr>
            <w:tcW w:w="87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79,679</w:t>
            </w:r>
          </w:p>
        </w:tc>
        <w:tc>
          <w:tcPr>
            <w:tcW w:w="82" w:type="dxa"/>
            <w:tcBorders/>
            <w:shd w:fill="CCEEFF" w:val="clear"/>
            <w:vAlign w:val="center"/>
          </w:tcPr>
          <w:p>
            <w:pPr>
              <w:pStyle w:val="TableContents"/>
              <w:spacing w:before="0" w:after="283"/>
              <w:rPr/>
            </w:pPr>
            <w:r>
              <w:rPr/>
              <w:t> </w:t>
            </w:r>
          </w:p>
        </w:tc>
      </w:tr>
      <w:tr>
        <w:trPr/>
        <w:tc>
          <w:tcPr>
            <w:tcW w:w="8024"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Prepaid expenses and other current assets</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75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6,517</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4"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87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6,384</w:t>
            </w:r>
          </w:p>
        </w:tc>
        <w:tc>
          <w:tcPr>
            <w:tcW w:w="82" w:type="dxa"/>
            <w:tcBorders/>
            <w:shd w:fill="FFFFFF" w:val="clear"/>
            <w:vAlign w:val="center"/>
          </w:tcPr>
          <w:p>
            <w:pPr>
              <w:pStyle w:val="TableContents"/>
              <w:spacing w:before="0" w:after="283"/>
              <w:rPr/>
            </w:pPr>
            <w:r>
              <w:rPr/>
              <w:t> </w:t>
            </w:r>
          </w:p>
        </w:tc>
      </w:tr>
      <w:tr>
        <w:trPr/>
        <w:tc>
          <w:tcPr>
            <w:tcW w:w="8024"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Total current assets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75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161,529</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4" w:type="dxa"/>
            <w:tcBorders/>
            <w:shd w:fill="CCEEFF" w:val="clear"/>
            <w:vAlign w:val="center"/>
          </w:tcPr>
          <w:p>
            <w:pPr>
              <w:pStyle w:val="TableContents"/>
              <w:spacing w:before="0" w:after="283"/>
              <w:ind w:left="0" w:right="0" w:hanging="0"/>
              <w:rPr/>
            </w:pPr>
            <w:r>
              <w:rPr/>
              <w:t> </w:t>
            </w:r>
          </w:p>
        </w:tc>
        <w:tc>
          <w:tcPr>
            <w:tcW w:w="87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183,164</w:t>
            </w:r>
          </w:p>
        </w:tc>
        <w:tc>
          <w:tcPr>
            <w:tcW w:w="82" w:type="dxa"/>
            <w:tcBorders/>
            <w:shd w:fill="CCEEFF" w:val="clear"/>
            <w:vAlign w:val="center"/>
          </w:tcPr>
          <w:p>
            <w:pPr>
              <w:pStyle w:val="TableContents"/>
              <w:spacing w:before="0" w:after="283"/>
              <w:rPr/>
            </w:pPr>
            <w:r>
              <w:rPr/>
              <w:t> </w:t>
            </w:r>
          </w:p>
        </w:tc>
      </w:tr>
      <w:tr>
        <w:trPr/>
        <w:tc>
          <w:tcPr>
            <w:tcW w:w="8024"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Property, plant and equipment, net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75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207,171</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4" w:type="dxa"/>
            <w:tcBorders/>
            <w:shd w:fill="FFFFFF" w:val="clear"/>
            <w:vAlign w:val="center"/>
          </w:tcPr>
          <w:p>
            <w:pPr>
              <w:pStyle w:val="TableContents"/>
              <w:spacing w:before="0" w:after="283"/>
              <w:ind w:left="0" w:right="0" w:hanging="0"/>
              <w:rPr/>
            </w:pPr>
            <w:r>
              <w:rPr/>
              <w:t> </w:t>
            </w:r>
          </w:p>
        </w:tc>
        <w:tc>
          <w:tcPr>
            <w:tcW w:w="87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210,184</w:t>
            </w:r>
          </w:p>
        </w:tc>
        <w:tc>
          <w:tcPr>
            <w:tcW w:w="82" w:type="dxa"/>
            <w:tcBorders/>
            <w:shd w:fill="FFFFFF" w:val="clear"/>
            <w:vAlign w:val="center"/>
          </w:tcPr>
          <w:p>
            <w:pPr>
              <w:pStyle w:val="TableContents"/>
              <w:spacing w:before="0" w:after="283"/>
              <w:rPr/>
            </w:pPr>
            <w:r>
              <w:rPr/>
              <w:t> </w:t>
            </w:r>
          </w:p>
        </w:tc>
      </w:tr>
      <w:tr>
        <w:trPr/>
        <w:tc>
          <w:tcPr>
            <w:tcW w:w="8024"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Land use rights, net</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75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5,278</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4" w:type="dxa"/>
            <w:tcBorders/>
            <w:shd w:fill="CCEEFF" w:val="clear"/>
            <w:vAlign w:val="center"/>
          </w:tcPr>
          <w:p>
            <w:pPr>
              <w:pStyle w:val="TableContents"/>
              <w:spacing w:before="0" w:after="283"/>
              <w:ind w:left="0" w:right="0" w:hanging="0"/>
              <w:rPr/>
            </w:pPr>
            <w:r>
              <w:rPr/>
              <w:t> </w:t>
            </w:r>
          </w:p>
        </w:tc>
        <w:tc>
          <w:tcPr>
            <w:tcW w:w="87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5,238</w:t>
            </w:r>
          </w:p>
        </w:tc>
        <w:tc>
          <w:tcPr>
            <w:tcW w:w="82" w:type="dxa"/>
            <w:tcBorders/>
            <w:shd w:fill="CCEEFF" w:val="clear"/>
            <w:vAlign w:val="center"/>
          </w:tcPr>
          <w:p>
            <w:pPr>
              <w:pStyle w:val="TableContents"/>
              <w:spacing w:before="0" w:after="283"/>
              <w:rPr/>
            </w:pPr>
            <w:r>
              <w:rPr/>
              <w:t> </w:t>
            </w:r>
          </w:p>
        </w:tc>
      </w:tr>
      <w:tr>
        <w:trPr/>
        <w:tc>
          <w:tcPr>
            <w:tcW w:w="8024"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Operating right of use asset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75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5,381</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4" w:type="dxa"/>
            <w:tcBorders/>
            <w:shd w:fill="FFFFFF" w:val="clear"/>
            <w:vAlign w:val="center"/>
          </w:tcPr>
          <w:p>
            <w:pPr>
              <w:pStyle w:val="TableContents"/>
              <w:spacing w:before="0" w:after="283"/>
              <w:ind w:left="0" w:right="0" w:hanging="0"/>
              <w:rPr/>
            </w:pPr>
            <w:r>
              <w:rPr/>
              <w:t> </w:t>
            </w:r>
          </w:p>
        </w:tc>
        <w:tc>
          <w:tcPr>
            <w:tcW w:w="87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5,566</w:t>
            </w:r>
          </w:p>
        </w:tc>
        <w:tc>
          <w:tcPr>
            <w:tcW w:w="82" w:type="dxa"/>
            <w:tcBorders/>
            <w:shd w:fill="FFFFFF" w:val="clear"/>
            <w:vAlign w:val="center"/>
          </w:tcPr>
          <w:p>
            <w:pPr>
              <w:pStyle w:val="TableContents"/>
              <w:spacing w:before="0" w:after="283"/>
              <w:rPr/>
            </w:pPr>
            <w:r>
              <w:rPr/>
              <w:t> </w:t>
            </w:r>
          </w:p>
        </w:tc>
      </w:tr>
      <w:tr>
        <w:trPr/>
        <w:tc>
          <w:tcPr>
            <w:tcW w:w="8024"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Financing right of use asset</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75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4" w:type="dxa"/>
            <w:tcBorders/>
            <w:shd w:fill="CCEEFF" w:val="clear"/>
            <w:vAlign w:val="center"/>
          </w:tcPr>
          <w:p>
            <w:pPr>
              <w:pStyle w:val="TableContents"/>
              <w:spacing w:before="0" w:after="283"/>
              <w:ind w:left="0" w:right="0" w:hanging="0"/>
              <w:rPr/>
            </w:pPr>
            <w:r>
              <w:rPr/>
              <w:t> </w:t>
            </w:r>
          </w:p>
        </w:tc>
        <w:tc>
          <w:tcPr>
            <w:tcW w:w="87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26</w:t>
            </w:r>
          </w:p>
        </w:tc>
        <w:tc>
          <w:tcPr>
            <w:tcW w:w="82" w:type="dxa"/>
            <w:tcBorders/>
            <w:shd w:fill="CCEEFF" w:val="clear"/>
            <w:vAlign w:val="center"/>
          </w:tcPr>
          <w:p>
            <w:pPr>
              <w:pStyle w:val="TableContents"/>
              <w:spacing w:before="0" w:after="283"/>
              <w:rPr/>
            </w:pPr>
            <w:r>
              <w:rPr/>
              <w:t> </w:t>
            </w:r>
          </w:p>
        </w:tc>
      </w:tr>
      <w:tr>
        <w:trPr/>
        <w:tc>
          <w:tcPr>
            <w:tcW w:w="8024"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Intangible assets, net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75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3,655</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4" w:type="dxa"/>
            <w:tcBorders/>
            <w:shd w:fill="FFFFFF" w:val="clear"/>
            <w:vAlign w:val="center"/>
          </w:tcPr>
          <w:p>
            <w:pPr>
              <w:pStyle w:val="TableContents"/>
              <w:spacing w:before="0" w:after="283"/>
              <w:ind w:left="0" w:right="0" w:hanging="0"/>
              <w:rPr/>
            </w:pPr>
            <w:r>
              <w:rPr/>
              <w:t> </w:t>
            </w:r>
          </w:p>
        </w:tc>
        <w:tc>
          <w:tcPr>
            <w:tcW w:w="87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3,699</w:t>
            </w:r>
          </w:p>
        </w:tc>
        <w:tc>
          <w:tcPr>
            <w:tcW w:w="82" w:type="dxa"/>
            <w:tcBorders/>
            <w:shd w:fill="FFFFFF" w:val="clear"/>
            <w:vAlign w:val="center"/>
          </w:tcPr>
          <w:p>
            <w:pPr>
              <w:pStyle w:val="TableContents"/>
              <w:spacing w:before="0" w:after="283"/>
              <w:rPr/>
            </w:pPr>
            <w:r>
              <w:rPr/>
              <w:t> </w:t>
            </w:r>
          </w:p>
        </w:tc>
      </w:tr>
      <w:tr>
        <w:trPr/>
        <w:tc>
          <w:tcPr>
            <w:tcW w:w="8024"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Other assets, net</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75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519</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4"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87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386</w:t>
            </w:r>
          </w:p>
        </w:tc>
        <w:tc>
          <w:tcPr>
            <w:tcW w:w="82" w:type="dxa"/>
            <w:tcBorders/>
            <w:shd w:fill="CCEEFF" w:val="clear"/>
            <w:vAlign w:val="center"/>
          </w:tcPr>
          <w:p>
            <w:pPr>
              <w:pStyle w:val="TableContents"/>
              <w:spacing w:before="0" w:after="283"/>
              <w:rPr/>
            </w:pPr>
            <w:r>
              <w:rPr/>
              <w:t> </w:t>
            </w:r>
          </w:p>
        </w:tc>
      </w:tr>
      <w:tr>
        <w:trPr/>
        <w:tc>
          <w:tcPr>
            <w:tcW w:w="8024"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TOTAL ASSETS</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5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383,551</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44"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7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408,263</w:t>
            </w:r>
          </w:p>
        </w:tc>
        <w:tc>
          <w:tcPr>
            <w:tcW w:w="82" w:type="dxa"/>
            <w:tcBorders/>
            <w:shd w:fill="FFFFFF" w:val="clear"/>
            <w:vAlign w:val="center"/>
          </w:tcPr>
          <w:p>
            <w:pPr>
              <w:pStyle w:val="TableContents"/>
              <w:spacing w:before="0" w:after="283"/>
              <w:rPr/>
            </w:pPr>
            <w:r>
              <w:rPr/>
              <w:t> </w:t>
            </w:r>
          </w:p>
        </w:tc>
      </w:tr>
      <w:tr>
        <w:trPr/>
        <w:tc>
          <w:tcPr>
            <w:tcW w:w="8024"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LIABILITIES AND STOCKHOLDERS' EQUITY</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4"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rPr/>
            </w:pPr>
            <w:r>
              <w:rPr/>
              <w:t> </w:t>
            </w:r>
          </w:p>
        </w:tc>
        <w:tc>
          <w:tcPr>
            <w:tcW w:w="82" w:type="dxa"/>
            <w:tcBorders/>
            <w:shd w:fill="CCEEFF" w:val="clear"/>
            <w:vAlign w:val="center"/>
          </w:tcPr>
          <w:p>
            <w:pPr>
              <w:pStyle w:val="TableContents"/>
              <w:spacing w:before="0" w:after="283"/>
              <w:rPr/>
            </w:pPr>
            <w:r>
              <w:rPr/>
              <w:t> </w:t>
            </w:r>
          </w:p>
        </w:tc>
      </w:tr>
      <w:tr>
        <w:trPr/>
        <w:tc>
          <w:tcPr>
            <w:tcW w:w="8024"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Current liabilities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755"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4" w:type="dxa"/>
            <w:tcBorders/>
            <w:shd w:fill="FFFFFF" w:val="clear"/>
            <w:vAlign w:val="center"/>
          </w:tcPr>
          <w:p>
            <w:pPr>
              <w:pStyle w:val="TableContents"/>
              <w:spacing w:before="0" w:after="283"/>
              <w:rPr/>
            </w:pPr>
            <w:r>
              <w:rPr/>
              <w:t> </w:t>
            </w:r>
          </w:p>
        </w:tc>
        <w:tc>
          <w:tcPr>
            <w:tcW w:w="875" w:type="dxa"/>
            <w:tcBorders/>
            <w:shd w:fill="FFFFFF" w:val="clear"/>
            <w:vAlign w:val="center"/>
          </w:tcPr>
          <w:p>
            <w:pPr>
              <w:pStyle w:val="TableContents"/>
              <w:spacing w:before="0" w:after="283"/>
              <w:rPr/>
            </w:pPr>
            <w:r>
              <w:rPr/>
              <w:t> </w:t>
            </w:r>
          </w:p>
        </w:tc>
        <w:tc>
          <w:tcPr>
            <w:tcW w:w="82" w:type="dxa"/>
            <w:tcBorders/>
            <w:shd w:fill="FFFFFF" w:val="clear"/>
            <w:vAlign w:val="center"/>
          </w:tcPr>
          <w:p>
            <w:pPr>
              <w:pStyle w:val="TableContents"/>
              <w:spacing w:before="0" w:after="283"/>
              <w:rPr/>
            </w:pPr>
            <w:r>
              <w:rPr/>
              <w:t> </w:t>
            </w:r>
          </w:p>
        </w:tc>
      </w:tr>
      <w:tr>
        <w:trPr/>
        <w:tc>
          <w:tcPr>
            <w:tcW w:w="8024"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Accounts payable</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5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38,419</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44"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7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47,845</w:t>
            </w:r>
          </w:p>
        </w:tc>
        <w:tc>
          <w:tcPr>
            <w:tcW w:w="82" w:type="dxa"/>
            <w:tcBorders/>
            <w:shd w:fill="CCEEFF" w:val="clear"/>
            <w:vAlign w:val="center"/>
          </w:tcPr>
          <w:p>
            <w:pPr>
              <w:pStyle w:val="TableContents"/>
              <w:spacing w:before="0" w:after="283"/>
              <w:rPr/>
            </w:pPr>
            <w:r>
              <w:rPr/>
              <w:t> </w:t>
            </w:r>
          </w:p>
        </w:tc>
      </w:tr>
      <w:tr>
        <w:trPr/>
        <w:tc>
          <w:tcPr>
            <w:tcW w:w="8024"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Bank acceptance payable</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75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19,196</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4" w:type="dxa"/>
            <w:tcBorders/>
            <w:shd w:fill="FFFFFF" w:val="clear"/>
            <w:vAlign w:val="center"/>
          </w:tcPr>
          <w:p>
            <w:pPr>
              <w:pStyle w:val="TableContents"/>
              <w:spacing w:before="0" w:after="283"/>
              <w:ind w:left="0" w:right="0" w:hanging="0"/>
              <w:rPr/>
            </w:pPr>
            <w:r>
              <w:rPr/>
              <w:t> </w:t>
            </w:r>
          </w:p>
        </w:tc>
        <w:tc>
          <w:tcPr>
            <w:tcW w:w="87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12,337</w:t>
            </w:r>
          </w:p>
        </w:tc>
        <w:tc>
          <w:tcPr>
            <w:tcW w:w="82" w:type="dxa"/>
            <w:tcBorders/>
            <w:shd w:fill="FFFFFF" w:val="clear"/>
            <w:vAlign w:val="center"/>
          </w:tcPr>
          <w:p>
            <w:pPr>
              <w:pStyle w:val="TableContents"/>
              <w:spacing w:before="0" w:after="283"/>
              <w:rPr/>
            </w:pPr>
            <w:r>
              <w:rPr/>
              <w:t> </w:t>
            </w:r>
          </w:p>
        </w:tc>
      </w:tr>
      <w:tr>
        <w:trPr/>
        <w:tc>
          <w:tcPr>
            <w:tcW w:w="8024"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Accrued liabilities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75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13,505</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4" w:type="dxa"/>
            <w:tcBorders/>
            <w:shd w:fill="CCEEFF" w:val="clear"/>
            <w:vAlign w:val="center"/>
          </w:tcPr>
          <w:p>
            <w:pPr>
              <w:pStyle w:val="TableContents"/>
              <w:spacing w:before="0" w:after="283"/>
              <w:ind w:left="0" w:right="0" w:hanging="0"/>
              <w:rPr/>
            </w:pPr>
            <w:r>
              <w:rPr/>
              <w:t> </w:t>
            </w:r>
          </w:p>
        </w:tc>
        <w:tc>
          <w:tcPr>
            <w:tcW w:w="87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17,222</w:t>
            </w:r>
          </w:p>
        </w:tc>
        <w:tc>
          <w:tcPr>
            <w:tcW w:w="82" w:type="dxa"/>
            <w:tcBorders/>
            <w:shd w:fill="CCEEFF" w:val="clear"/>
            <w:vAlign w:val="center"/>
          </w:tcPr>
          <w:p>
            <w:pPr>
              <w:pStyle w:val="TableContents"/>
              <w:spacing w:before="0" w:after="283"/>
              <w:rPr/>
            </w:pPr>
            <w:r>
              <w:rPr/>
              <w:t> </w:t>
            </w:r>
          </w:p>
        </w:tc>
      </w:tr>
      <w:tr>
        <w:trPr/>
        <w:tc>
          <w:tcPr>
            <w:tcW w:w="8024"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Deferred revenue</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75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2,763</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4" w:type="dxa"/>
            <w:tcBorders/>
            <w:shd w:fill="FFFFFF" w:val="clear"/>
            <w:vAlign w:val="center"/>
          </w:tcPr>
          <w:p>
            <w:pPr>
              <w:pStyle w:val="TableContents"/>
              <w:spacing w:before="0" w:after="283"/>
              <w:ind w:left="0" w:right="0" w:hanging="0"/>
              <w:rPr/>
            </w:pPr>
            <w:r>
              <w:rPr/>
              <w:t> </w:t>
            </w:r>
          </w:p>
        </w:tc>
        <w:tc>
          <w:tcPr>
            <w:tcW w:w="87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3,000</w:t>
            </w:r>
          </w:p>
        </w:tc>
        <w:tc>
          <w:tcPr>
            <w:tcW w:w="82" w:type="dxa"/>
            <w:tcBorders/>
            <w:shd w:fill="FFFFFF" w:val="clear"/>
            <w:vAlign w:val="center"/>
          </w:tcPr>
          <w:p>
            <w:pPr>
              <w:pStyle w:val="TableContents"/>
              <w:spacing w:before="0" w:after="283"/>
              <w:rPr/>
            </w:pPr>
            <w:r>
              <w:rPr/>
              <w:t> </w:t>
            </w:r>
          </w:p>
        </w:tc>
      </w:tr>
      <w:tr>
        <w:trPr/>
        <w:tc>
          <w:tcPr>
            <w:tcW w:w="8024"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Current lease liability - operating</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75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1,035</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4" w:type="dxa"/>
            <w:tcBorders/>
            <w:shd w:fill="CCEEFF" w:val="clear"/>
            <w:vAlign w:val="center"/>
          </w:tcPr>
          <w:p>
            <w:pPr>
              <w:pStyle w:val="TableContents"/>
              <w:spacing w:before="0" w:after="283"/>
              <w:ind w:left="0" w:right="0" w:hanging="0"/>
              <w:rPr/>
            </w:pPr>
            <w:r>
              <w:rPr/>
              <w:t> </w:t>
            </w:r>
          </w:p>
        </w:tc>
        <w:tc>
          <w:tcPr>
            <w:tcW w:w="87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1,041</w:t>
            </w:r>
          </w:p>
        </w:tc>
        <w:tc>
          <w:tcPr>
            <w:tcW w:w="82" w:type="dxa"/>
            <w:tcBorders/>
            <w:shd w:fill="CCEEFF" w:val="clear"/>
            <w:vAlign w:val="center"/>
          </w:tcPr>
          <w:p>
            <w:pPr>
              <w:pStyle w:val="TableContents"/>
              <w:spacing w:before="0" w:after="283"/>
              <w:rPr/>
            </w:pPr>
            <w:r>
              <w:rPr/>
              <w:t> </w:t>
            </w:r>
          </w:p>
        </w:tc>
      </w:tr>
      <w:tr>
        <w:trPr/>
        <w:tc>
          <w:tcPr>
            <w:tcW w:w="8024"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Current lease liability - financing</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75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58</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4" w:type="dxa"/>
            <w:tcBorders/>
            <w:shd w:fill="FFFFFF" w:val="clear"/>
            <w:vAlign w:val="center"/>
          </w:tcPr>
          <w:p>
            <w:pPr>
              <w:pStyle w:val="TableContents"/>
              <w:spacing w:before="0" w:after="283"/>
              <w:ind w:left="0" w:right="0" w:hanging="0"/>
              <w:rPr/>
            </w:pPr>
            <w:r>
              <w:rPr/>
              <w:t> </w:t>
            </w:r>
          </w:p>
        </w:tc>
        <w:tc>
          <w:tcPr>
            <w:tcW w:w="87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63</w:t>
            </w:r>
          </w:p>
        </w:tc>
        <w:tc>
          <w:tcPr>
            <w:tcW w:w="82" w:type="dxa"/>
            <w:tcBorders/>
            <w:shd w:fill="FFFFFF" w:val="clear"/>
            <w:vAlign w:val="center"/>
          </w:tcPr>
          <w:p>
            <w:pPr>
              <w:pStyle w:val="TableContents"/>
              <w:spacing w:before="0" w:after="283"/>
              <w:rPr/>
            </w:pPr>
            <w:r>
              <w:rPr/>
              <w:t> </w:t>
            </w:r>
          </w:p>
        </w:tc>
      </w:tr>
      <w:tr>
        <w:trPr/>
        <w:tc>
          <w:tcPr>
            <w:tcW w:w="8024"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Current portion of notes payable and long-term debt</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75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50,921</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4" w:type="dxa"/>
            <w:tcBorders/>
            <w:shd w:fill="CCEEFF" w:val="clear"/>
            <w:vAlign w:val="center"/>
          </w:tcPr>
          <w:p>
            <w:pPr>
              <w:pStyle w:val="TableContents"/>
              <w:spacing w:before="0" w:after="283"/>
              <w:ind w:left="0" w:right="0" w:hanging="0"/>
              <w:rPr/>
            </w:pPr>
            <w:r>
              <w:rPr/>
              <w:t> </w:t>
            </w:r>
          </w:p>
        </w:tc>
        <w:tc>
          <w:tcPr>
            <w:tcW w:w="87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57,074</w:t>
            </w:r>
          </w:p>
        </w:tc>
        <w:tc>
          <w:tcPr>
            <w:tcW w:w="82" w:type="dxa"/>
            <w:tcBorders/>
            <w:shd w:fill="CCEEFF" w:val="clear"/>
            <w:vAlign w:val="center"/>
          </w:tcPr>
          <w:p>
            <w:pPr>
              <w:pStyle w:val="TableContents"/>
              <w:spacing w:before="0" w:after="283"/>
              <w:rPr/>
            </w:pPr>
            <w:r>
              <w:rPr/>
              <w:t> </w:t>
            </w:r>
          </w:p>
        </w:tc>
      </w:tr>
      <w:tr>
        <w:trPr/>
        <w:tc>
          <w:tcPr>
            <w:tcW w:w="8024"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Current portion of Convertible senior notes</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75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79,710</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4"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875" w:type="dxa"/>
            <w:tcBorders>
              <w:bottom w:val="single" w:sz="2" w:space="0" w:color="000000"/>
            </w:tcBorders>
            <w:shd w:fill="FFFFFF" w:val="clear"/>
            <w:tcMar>
              <w:bottom w:w="28" w:type="dxa"/>
            </w:tcMar>
            <w:vAlign w:val="center"/>
          </w:tcPr>
          <w:p>
            <w:pPr>
              <w:pStyle w:val="TableContents"/>
              <w:spacing w:before="0" w:after="283"/>
              <w:ind w:left="0" w:right="0" w:hanging="0"/>
              <w:jc w:val="right"/>
              <w:rPr/>
            </w:pPr>
            <w:r>
              <w:rPr/>
              <w:t>—</w:t>
            </w:r>
          </w:p>
        </w:tc>
        <w:tc>
          <w:tcPr>
            <w:tcW w:w="82" w:type="dxa"/>
            <w:tcBorders/>
            <w:shd w:fill="FFFFFF" w:val="clear"/>
            <w:vAlign w:val="center"/>
          </w:tcPr>
          <w:p>
            <w:pPr>
              <w:pStyle w:val="TableContents"/>
              <w:spacing w:before="0" w:after="283"/>
              <w:rPr/>
            </w:pPr>
            <w:r>
              <w:rPr/>
              <w:t> </w:t>
            </w:r>
          </w:p>
        </w:tc>
      </w:tr>
      <w:tr>
        <w:trPr/>
        <w:tc>
          <w:tcPr>
            <w:tcW w:w="8024"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Total current liabilities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75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205,607</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4" w:type="dxa"/>
            <w:tcBorders/>
            <w:shd w:fill="CCEEFF" w:val="clear"/>
            <w:vAlign w:val="center"/>
          </w:tcPr>
          <w:p>
            <w:pPr>
              <w:pStyle w:val="TableContents"/>
              <w:spacing w:before="0" w:after="283"/>
              <w:ind w:left="0" w:right="0" w:hanging="0"/>
              <w:rPr/>
            </w:pPr>
            <w:r>
              <w:rPr/>
              <w:t> </w:t>
            </w:r>
          </w:p>
        </w:tc>
        <w:tc>
          <w:tcPr>
            <w:tcW w:w="87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138,582</w:t>
            </w:r>
          </w:p>
        </w:tc>
        <w:tc>
          <w:tcPr>
            <w:tcW w:w="82" w:type="dxa"/>
            <w:tcBorders/>
            <w:shd w:fill="CCEEFF" w:val="clear"/>
            <w:vAlign w:val="center"/>
          </w:tcPr>
          <w:p>
            <w:pPr>
              <w:pStyle w:val="TableContents"/>
              <w:spacing w:before="0" w:after="283"/>
              <w:rPr/>
            </w:pPr>
            <w:r>
              <w:rPr/>
              <w:t> </w:t>
            </w:r>
          </w:p>
        </w:tc>
      </w:tr>
      <w:tr>
        <w:trPr/>
        <w:tc>
          <w:tcPr>
            <w:tcW w:w="8024"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Non-current lease liability - operating</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75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5,307</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4" w:type="dxa"/>
            <w:tcBorders/>
            <w:shd w:fill="FFFFFF" w:val="clear"/>
            <w:vAlign w:val="center"/>
          </w:tcPr>
          <w:p>
            <w:pPr>
              <w:pStyle w:val="TableContents"/>
              <w:spacing w:before="0" w:after="283"/>
              <w:ind w:left="0" w:right="0" w:hanging="0"/>
              <w:rPr/>
            </w:pPr>
            <w:r>
              <w:rPr/>
              <w:t> </w:t>
            </w:r>
          </w:p>
        </w:tc>
        <w:tc>
          <w:tcPr>
            <w:tcW w:w="87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5,505</w:t>
            </w:r>
          </w:p>
        </w:tc>
        <w:tc>
          <w:tcPr>
            <w:tcW w:w="82" w:type="dxa"/>
            <w:tcBorders/>
            <w:shd w:fill="FFFFFF" w:val="clear"/>
            <w:vAlign w:val="center"/>
          </w:tcPr>
          <w:p>
            <w:pPr>
              <w:pStyle w:val="TableContents"/>
              <w:spacing w:before="0" w:after="283"/>
              <w:rPr/>
            </w:pPr>
            <w:r>
              <w:rPr/>
              <w:t> </w:t>
            </w:r>
          </w:p>
        </w:tc>
      </w:tr>
      <w:tr>
        <w:trPr/>
        <w:tc>
          <w:tcPr>
            <w:tcW w:w="8024"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Convertible senior notes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755" w:type="dxa"/>
            <w:tcBorders/>
            <w:shd w:fill="CCEEFF" w:val="clear"/>
            <w:vAlign w:val="center"/>
          </w:tcPr>
          <w:p>
            <w:pPr>
              <w:pStyle w:val="TableContents"/>
              <w:spacing w:before="0" w:after="283"/>
              <w:ind w:left="0" w:right="0" w:hanging="0"/>
              <w:jc w:val="right"/>
              <w:rPr/>
            </w:pPr>
            <w:r>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4" w:type="dxa"/>
            <w:tcBorders/>
            <w:shd w:fill="CCEEFF" w:val="clear"/>
            <w:vAlign w:val="center"/>
          </w:tcPr>
          <w:p>
            <w:pPr>
              <w:pStyle w:val="TableContents"/>
              <w:spacing w:before="0" w:after="283"/>
              <w:ind w:left="0" w:right="0" w:hanging="0"/>
              <w:rPr/>
            </w:pPr>
            <w:r>
              <w:rPr/>
              <w:t> </w:t>
            </w:r>
          </w:p>
        </w:tc>
        <w:tc>
          <w:tcPr>
            <w:tcW w:w="87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79,506</w:t>
            </w:r>
          </w:p>
        </w:tc>
        <w:tc>
          <w:tcPr>
            <w:tcW w:w="82" w:type="dxa"/>
            <w:tcBorders/>
            <w:shd w:fill="CCEEFF" w:val="clear"/>
            <w:vAlign w:val="center"/>
          </w:tcPr>
          <w:p>
            <w:pPr>
              <w:pStyle w:val="TableContents"/>
              <w:spacing w:before="0" w:after="283"/>
              <w:rPr/>
            </w:pPr>
            <w:r>
              <w:rPr/>
              <w:t> </w:t>
            </w:r>
          </w:p>
        </w:tc>
      </w:tr>
      <w:tr>
        <w:trPr/>
        <w:tc>
          <w:tcPr>
            <w:tcW w:w="8024"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TOTAL LIABILITIES</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75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210,914</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4"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87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223,593</w:t>
            </w:r>
          </w:p>
        </w:tc>
        <w:tc>
          <w:tcPr>
            <w:tcW w:w="82" w:type="dxa"/>
            <w:tcBorders/>
            <w:shd w:fill="FFFFFF" w:val="clear"/>
            <w:vAlign w:val="center"/>
          </w:tcPr>
          <w:p>
            <w:pPr>
              <w:pStyle w:val="TableContents"/>
              <w:spacing w:before="0" w:after="283"/>
              <w:rPr/>
            </w:pPr>
            <w:r>
              <w:rPr/>
              <w:t> </w:t>
            </w:r>
          </w:p>
        </w:tc>
      </w:tr>
      <w:tr>
        <w:trPr/>
        <w:tc>
          <w:tcPr>
            <w:tcW w:w="8024"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Stockholders' equity:</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4"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rPr/>
            </w:pPr>
            <w:r>
              <w:rPr/>
              <w:t> </w:t>
            </w:r>
          </w:p>
        </w:tc>
        <w:tc>
          <w:tcPr>
            <w:tcW w:w="82" w:type="dxa"/>
            <w:tcBorders/>
            <w:shd w:fill="CCEEFF" w:val="clear"/>
            <w:vAlign w:val="center"/>
          </w:tcPr>
          <w:p>
            <w:pPr>
              <w:pStyle w:val="TableContents"/>
              <w:spacing w:before="0" w:after="283"/>
              <w:rPr/>
            </w:pPr>
            <w:r>
              <w:rPr/>
              <w:t> </w:t>
            </w:r>
          </w:p>
        </w:tc>
      </w:tr>
      <w:tr>
        <w:trPr/>
        <w:tc>
          <w:tcPr>
            <w:tcW w:w="8024"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Common Stock; 45,000 shares authorized at $0.001 par value; 29,072 and 28,622 shares issued and outstanding at March 31, 2023 and December 31, 2022, respectively</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75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29</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4" w:type="dxa"/>
            <w:tcBorders/>
            <w:shd w:fill="FFFFFF" w:val="clear"/>
            <w:vAlign w:val="center"/>
          </w:tcPr>
          <w:p>
            <w:pPr>
              <w:pStyle w:val="TableContents"/>
              <w:spacing w:before="0" w:after="283"/>
              <w:ind w:left="0" w:right="0" w:hanging="0"/>
              <w:rPr/>
            </w:pPr>
            <w:r>
              <w:rPr/>
              <w:t> </w:t>
            </w:r>
          </w:p>
        </w:tc>
        <w:tc>
          <w:tcPr>
            <w:tcW w:w="87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29</w:t>
            </w:r>
          </w:p>
        </w:tc>
        <w:tc>
          <w:tcPr>
            <w:tcW w:w="82" w:type="dxa"/>
            <w:tcBorders/>
            <w:shd w:fill="FFFFFF" w:val="clear"/>
            <w:vAlign w:val="center"/>
          </w:tcPr>
          <w:p>
            <w:pPr>
              <w:pStyle w:val="TableContents"/>
              <w:spacing w:before="0" w:after="283"/>
              <w:rPr/>
            </w:pPr>
            <w:r>
              <w:rPr/>
              <w:t> </w:t>
            </w:r>
          </w:p>
        </w:tc>
      </w:tr>
      <w:tr>
        <w:trPr/>
        <w:tc>
          <w:tcPr>
            <w:tcW w:w="8024"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Additional paid-in capital</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75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394,147</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4" w:type="dxa"/>
            <w:tcBorders/>
            <w:shd w:fill="CCEEFF" w:val="clear"/>
            <w:vAlign w:val="center"/>
          </w:tcPr>
          <w:p>
            <w:pPr>
              <w:pStyle w:val="TableContents"/>
              <w:spacing w:before="0" w:after="283"/>
              <w:ind w:left="0" w:right="0" w:hanging="0"/>
              <w:rPr/>
            </w:pPr>
            <w:r>
              <w:rPr/>
              <w:t> </w:t>
            </w:r>
          </w:p>
        </w:tc>
        <w:tc>
          <w:tcPr>
            <w:tcW w:w="87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391,526</w:t>
            </w:r>
          </w:p>
        </w:tc>
        <w:tc>
          <w:tcPr>
            <w:tcW w:w="82" w:type="dxa"/>
            <w:tcBorders/>
            <w:shd w:fill="CCEEFF" w:val="clear"/>
            <w:vAlign w:val="center"/>
          </w:tcPr>
          <w:p>
            <w:pPr>
              <w:pStyle w:val="TableContents"/>
              <w:spacing w:before="0" w:after="283"/>
              <w:rPr/>
            </w:pPr>
            <w:r>
              <w:rPr/>
              <w:t> </w:t>
            </w:r>
          </w:p>
        </w:tc>
      </w:tr>
      <w:tr>
        <w:trPr/>
        <w:tc>
          <w:tcPr>
            <w:tcW w:w="8024"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Accumulated other comprehensive income</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75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3,823</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4" w:type="dxa"/>
            <w:tcBorders/>
            <w:shd w:fill="FFFFFF" w:val="clear"/>
            <w:vAlign w:val="center"/>
          </w:tcPr>
          <w:p>
            <w:pPr>
              <w:pStyle w:val="TableContents"/>
              <w:spacing w:before="0" w:after="283"/>
              <w:ind w:left="0" w:right="0" w:hanging="0"/>
              <w:rPr/>
            </w:pPr>
            <w:r>
              <w:rPr/>
              <w:t> </w:t>
            </w:r>
          </w:p>
        </w:tc>
        <w:tc>
          <w:tcPr>
            <w:tcW w:w="87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2,183</w:t>
            </w:r>
          </w:p>
        </w:tc>
        <w:tc>
          <w:tcPr>
            <w:tcW w:w="82" w:type="dxa"/>
            <w:tcBorders/>
            <w:shd w:fill="FFFFFF" w:val="clear"/>
            <w:vAlign w:val="center"/>
          </w:tcPr>
          <w:p>
            <w:pPr>
              <w:pStyle w:val="TableContents"/>
              <w:spacing w:before="0" w:after="283"/>
              <w:rPr/>
            </w:pPr>
            <w:r>
              <w:rPr/>
              <w:t> </w:t>
            </w:r>
          </w:p>
        </w:tc>
      </w:tr>
      <w:tr>
        <w:trPr/>
        <w:tc>
          <w:tcPr>
            <w:tcW w:w="8024"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Accumulated deficit</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75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(225,362</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44"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87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(209,068</w:t>
            </w:r>
          </w:p>
        </w:tc>
        <w:tc>
          <w:tcPr>
            <w:tcW w:w="82"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8024"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TOTAL STOCKHOLDERS' EQUITY</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75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172,637</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4"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87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184,670</w:t>
            </w:r>
          </w:p>
        </w:tc>
        <w:tc>
          <w:tcPr>
            <w:tcW w:w="82" w:type="dxa"/>
            <w:tcBorders/>
            <w:shd w:fill="FFFFFF" w:val="clear"/>
            <w:vAlign w:val="center"/>
          </w:tcPr>
          <w:p>
            <w:pPr>
              <w:pStyle w:val="TableContents"/>
              <w:spacing w:before="0" w:after="283"/>
              <w:rPr/>
            </w:pPr>
            <w:r>
              <w:rPr/>
              <w:t> </w:t>
            </w:r>
          </w:p>
        </w:tc>
      </w:tr>
      <w:tr>
        <w:trPr/>
        <w:tc>
          <w:tcPr>
            <w:tcW w:w="8024"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TOTAL LIABILITIES AND STOCKHOLDERS' EQUITY</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55"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383,551</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44"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75"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408,263</w:t>
            </w:r>
          </w:p>
        </w:tc>
        <w:tc>
          <w:tcPr>
            <w:tcW w:w="82" w:type="dxa"/>
            <w:tcBorders/>
            <w:shd w:fill="CCEEFF" w:val="clear"/>
            <w:vAlign w:val="center"/>
          </w:tcPr>
          <w:p>
            <w:pPr>
              <w:pStyle w:val="TableContents"/>
              <w:spacing w:before="0" w:after="283"/>
              <w:rPr/>
            </w:pPr>
            <w:r>
              <w:rPr/>
              <w:t> </w:t>
            </w:r>
          </w:p>
        </w:tc>
      </w:tr>
    </w:tbl>
    <w:p>
      <w:pPr>
        <w:pStyle w:val="TextBody"/>
        <w:spacing w:before="0" w:after="0"/>
        <w:ind w:left="0" w:right="0" w:hanging="0"/>
        <w:jc w:val="center"/>
        <w:rPr/>
      </w:pPr>
      <w:r>
        <w:rPr/>
        <w:t>​</w:t>
      </w:r>
      <w:r>
        <w:rPr>
          <w:rFonts w:ascii="Times New Roman" w:hAnsi="Times New Roman"/>
          <w:i/>
          <w:sz w:val="20"/>
        </w:rPr>
        <w:t>The accompanying notes are an integral part of these condensed consolidated financial statements.</w:t>
      </w:r>
      <w:r>
        <w:rPr>
          <w:rFonts w:ascii="Times New Roman" w:hAnsi="Times New Roman"/>
          <w:sz w:val="20"/>
        </w:rPr>
        <w:t>​</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3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rPr/>
      </w:pPr>
      <w:r>
        <w:rPr/>
        <w:t xml:space="preserve">  </w:t>
      </w:r>
    </w:p>
    <w:p>
      <w:pPr>
        <w:pStyle w:val="TextBody"/>
        <w:spacing w:before="0" w:after="0"/>
        <w:ind w:left="0" w:right="0" w:hanging="0"/>
        <w:jc w:val="center"/>
        <w:rPr>
          <w:rFonts w:ascii="Times New Roman;Times;serif" w:hAnsi="Times New Roman;Times;serif"/>
          <w:b/>
          <w:sz w:val="20"/>
        </w:rPr>
      </w:pPr>
      <w:bookmarkStart w:id="6" w:name="ops"/>
      <w:bookmarkEnd w:id="6"/>
      <w:r>
        <w:rPr>
          <w:rFonts w:ascii="Times New Roman;Times;serif" w:hAnsi="Times New Roman;Times;serif"/>
          <w:b/>
          <w:sz w:val="20"/>
        </w:rPr>
        <w:t>Applied Optoelectronics, Inc. and Subsidiaries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OPERATIONS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 except share and per share data)</w:t>
      </w:r>
    </w:p>
    <w:p>
      <w:pPr>
        <w:pStyle w:val="TextBody"/>
        <w:spacing w:before="0" w:after="0"/>
        <w:ind w:left="0" w:right="0" w:hanging="0"/>
        <w:jc w:val="center"/>
        <w:rPr/>
      </w:pPr>
      <w:r>
        <w:rPr/>
        <w:t>​</w:t>
      </w:r>
    </w:p>
    <w:tbl>
      <w:tblPr>
        <w:tblW w:w="7618" w:type="dxa"/>
        <w:jc w:val="left"/>
        <w:tblInd w:w="0" w:type="dxa"/>
        <w:tblCellMar>
          <w:top w:w="0" w:type="dxa"/>
          <w:left w:w="0" w:type="dxa"/>
          <w:bottom w:w="0" w:type="dxa"/>
          <w:right w:w="0" w:type="dxa"/>
        </w:tblCellMar>
      </w:tblPr>
      <w:tblGrid>
        <w:gridCol w:w="4895"/>
        <w:gridCol w:w="60"/>
        <w:gridCol w:w="141"/>
        <w:gridCol w:w="1072"/>
        <w:gridCol w:w="90"/>
        <w:gridCol w:w="67"/>
        <w:gridCol w:w="141"/>
        <w:gridCol w:w="1072"/>
        <w:gridCol w:w="80"/>
      </w:tblGrid>
      <w:tr>
        <w:trPr/>
        <w:tc>
          <w:tcPr>
            <w:tcW w:w="489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583"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Three months ended March 31,</w:t>
            </w:r>
          </w:p>
        </w:tc>
        <w:tc>
          <w:tcPr>
            <w:tcW w:w="80" w:type="dxa"/>
            <w:tcBorders/>
            <w:shd w:fill="FFFFFF" w:val="clear"/>
            <w:vAlign w:val="center"/>
          </w:tcPr>
          <w:p>
            <w:pPr>
              <w:pStyle w:val="TableContents"/>
              <w:spacing w:before="0" w:after="283"/>
              <w:rPr/>
            </w:pPr>
            <w:r>
              <w:rPr/>
              <w:t> </w:t>
            </w:r>
          </w:p>
        </w:tc>
      </w:tr>
      <w:tr>
        <w:trPr/>
        <w:tc>
          <w:tcPr>
            <w:tcW w:w="4895" w:type="dxa"/>
            <w:tcBorders/>
            <w:shd w:fill="FFFFFF" w:val="clear"/>
            <w:vAlign w:val="center"/>
          </w:tcPr>
          <w:p>
            <w:pPr>
              <w:pStyle w:val="TableContents"/>
              <w:spacing w:before="0" w:after="0"/>
              <w:rPr>
                <w:caps w:val="false"/>
                <w:smallCaps w:val="false"/>
              </w:rPr>
            </w:pPr>
            <w:r>
              <w:rPr>
                <w:caps w:val="false"/>
                <w:smallCaps w:val="false"/>
              </w:rPr>
              <w:t>​</w:t>
            </w:r>
          </w:p>
        </w:tc>
        <w:tc>
          <w:tcPr>
            <w:tcW w:w="60" w:type="dxa"/>
            <w:tcBorders/>
            <w:shd w:fill="FFFFFF" w:val="clear"/>
            <w:vAlign w:val="center"/>
          </w:tcPr>
          <w:p>
            <w:pPr>
              <w:pStyle w:val="TableContents"/>
              <w:spacing w:before="0" w:after="283"/>
              <w:ind w:left="0" w:right="0" w:hanging="0"/>
              <w:rPr/>
            </w:pPr>
            <w:r>
              <w:rPr/>
              <w:t> </w:t>
            </w:r>
          </w:p>
        </w:tc>
        <w:tc>
          <w:tcPr>
            <w:tcW w:w="1213"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2023</w:t>
            </w:r>
          </w:p>
        </w:tc>
        <w:tc>
          <w:tcPr>
            <w:tcW w:w="90" w:type="dxa"/>
            <w:tcBorders/>
            <w:shd w:fill="FFFFFF" w:val="clear"/>
            <w:vAlign w:val="center"/>
          </w:tcPr>
          <w:p>
            <w:pPr>
              <w:pStyle w:val="TableContents"/>
              <w:spacing w:before="0" w:after="283"/>
              <w:rPr/>
            </w:pPr>
            <w:r>
              <w:rPr/>
              <w:t> </w:t>
            </w:r>
          </w:p>
        </w:tc>
        <w:tc>
          <w:tcPr>
            <w:tcW w:w="67" w:type="dxa"/>
            <w:tcBorders/>
            <w:shd w:fill="FFFFFF" w:val="clear"/>
            <w:vAlign w:val="center"/>
          </w:tcPr>
          <w:p>
            <w:pPr>
              <w:pStyle w:val="TableContents"/>
              <w:spacing w:before="0" w:after="283"/>
              <w:ind w:left="0" w:right="0" w:hanging="0"/>
              <w:rPr/>
            </w:pPr>
            <w:r>
              <w:rPr/>
              <w:t> </w:t>
            </w:r>
          </w:p>
        </w:tc>
        <w:tc>
          <w:tcPr>
            <w:tcW w:w="1213"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2022</w:t>
            </w:r>
          </w:p>
        </w:tc>
        <w:tc>
          <w:tcPr>
            <w:tcW w:w="80" w:type="dxa"/>
            <w:tcBorders/>
            <w:shd w:fill="FFFFFF" w:val="clear"/>
            <w:vAlign w:val="center"/>
          </w:tcPr>
          <w:p>
            <w:pPr>
              <w:pStyle w:val="TableContents"/>
              <w:spacing w:before="0" w:after="283"/>
              <w:rPr/>
            </w:pPr>
            <w:r>
              <w:rPr/>
              <w:t> </w:t>
            </w:r>
          </w:p>
        </w:tc>
      </w:tr>
      <w:tr>
        <w:trPr/>
        <w:tc>
          <w:tcPr>
            <w:tcW w:w="489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Revenue, net</w:t>
            </w:r>
          </w:p>
        </w:tc>
        <w:tc>
          <w:tcPr>
            <w:tcW w:w="60" w:type="dxa"/>
            <w:tcBorders/>
            <w:shd w:fill="CCEEFF" w:val="clear"/>
            <w:vAlign w:val="center"/>
          </w:tcPr>
          <w:p>
            <w:pPr>
              <w:pStyle w:val="TableContents"/>
              <w:spacing w:before="0" w:after="283"/>
              <w:ind w:left="0" w:right="0" w:hanging="0"/>
              <w:rPr/>
            </w:pPr>
            <w:r>
              <w:rPr/>
              <w:t> </w:t>
            </w:r>
          </w:p>
        </w:tc>
        <w:tc>
          <w:tcPr>
            <w:tcW w:w="141"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072"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53,030</w:t>
            </w:r>
          </w:p>
        </w:tc>
        <w:tc>
          <w:tcPr>
            <w:tcW w:w="90" w:type="dxa"/>
            <w:tcBorders/>
            <w:shd w:fill="CCEEFF" w:val="clear"/>
            <w:vAlign w:val="center"/>
          </w:tcPr>
          <w:p>
            <w:pPr>
              <w:pStyle w:val="TableContents"/>
              <w:spacing w:before="0" w:after="283"/>
              <w:rPr/>
            </w:pPr>
            <w:r>
              <w:rPr/>
              <w:t> </w:t>
            </w:r>
          </w:p>
        </w:tc>
        <w:tc>
          <w:tcPr>
            <w:tcW w:w="67" w:type="dxa"/>
            <w:tcBorders/>
            <w:shd w:fill="CCEEFF" w:val="clear"/>
            <w:vAlign w:val="center"/>
          </w:tcPr>
          <w:p>
            <w:pPr>
              <w:pStyle w:val="TableContents"/>
              <w:spacing w:before="0" w:after="283"/>
              <w:ind w:left="0" w:right="0" w:hanging="0"/>
              <w:rPr/>
            </w:pPr>
            <w:r>
              <w:rPr/>
              <w:t> </w:t>
            </w:r>
          </w:p>
        </w:tc>
        <w:tc>
          <w:tcPr>
            <w:tcW w:w="141"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072"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52,242</w:t>
            </w:r>
          </w:p>
        </w:tc>
        <w:tc>
          <w:tcPr>
            <w:tcW w:w="80" w:type="dxa"/>
            <w:tcBorders/>
            <w:shd w:fill="CCEEFF" w:val="clear"/>
            <w:vAlign w:val="center"/>
          </w:tcPr>
          <w:p>
            <w:pPr>
              <w:pStyle w:val="TableContents"/>
              <w:spacing w:before="0" w:after="283"/>
              <w:rPr/>
            </w:pPr>
            <w:r>
              <w:rPr/>
              <w:t> </w:t>
            </w:r>
          </w:p>
        </w:tc>
      </w:tr>
      <w:tr>
        <w:trPr/>
        <w:tc>
          <w:tcPr>
            <w:tcW w:w="4895"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Cost of goods sold</w:t>
            </w:r>
          </w:p>
        </w:tc>
        <w:tc>
          <w:tcPr>
            <w:tcW w:w="60" w:type="dxa"/>
            <w:tcBorders/>
            <w:shd w:fill="FFFFFF" w:val="clear"/>
            <w:vAlign w:val="center"/>
          </w:tcPr>
          <w:p>
            <w:pPr>
              <w:pStyle w:val="TableContents"/>
              <w:spacing w:before="0" w:after="283"/>
              <w:rPr/>
            </w:pPr>
            <w:r>
              <w:rPr/>
              <w:t> </w:t>
            </w:r>
          </w:p>
        </w:tc>
        <w:tc>
          <w:tcPr>
            <w:tcW w:w="141"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1072"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43,786</w:t>
            </w:r>
          </w:p>
        </w:tc>
        <w:tc>
          <w:tcPr>
            <w:tcW w:w="90" w:type="dxa"/>
            <w:tcBorders/>
            <w:shd w:fill="FFFFFF" w:val="clear"/>
            <w:vAlign w:val="center"/>
          </w:tcPr>
          <w:p>
            <w:pPr>
              <w:pStyle w:val="TableContents"/>
              <w:spacing w:before="0" w:after="283"/>
              <w:rPr/>
            </w:pPr>
            <w:r>
              <w:rPr/>
              <w:t> </w:t>
            </w:r>
          </w:p>
        </w:tc>
        <w:tc>
          <w:tcPr>
            <w:tcW w:w="67" w:type="dxa"/>
            <w:tcBorders/>
            <w:shd w:fill="FFFFFF" w:val="clear"/>
            <w:vAlign w:val="center"/>
          </w:tcPr>
          <w:p>
            <w:pPr>
              <w:pStyle w:val="TableContents"/>
              <w:spacing w:before="0" w:after="283"/>
              <w:rPr/>
            </w:pPr>
            <w:r>
              <w:rPr/>
              <w:t> </w:t>
            </w:r>
          </w:p>
        </w:tc>
        <w:tc>
          <w:tcPr>
            <w:tcW w:w="141"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1072"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43,217</w:t>
            </w:r>
          </w:p>
        </w:tc>
        <w:tc>
          <w:tcPr>
            <w:tcW w:w="80" w:type="dxa"/>
            <w:tcBorders/>
            <w:shd w:fill="FFFFFF" w:val="clear"/>
            <w:vAlign w:val="center"/>
          </w:tcPr>
          <w:p>
            <w:pPr>
              <w:pStyle w:val="TableContents"/>
              <w:spacing w:before="0" w:after="283"/>
              <w:rPr/>
            </w:pPr>
            <w:r>
              <w:rPr/>
              <w:t> </w:t>
            </w:r>
          </w:p>
        </w:tc>
      </w:tr>
      <w:tr>
        <w:trPr/>
        <w:tc>
          <w:tcPr>
            <w:tcW w:w="489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Gross profit</w:t>
            </w:r>
          </w:p>
        </w:tc>
        <w:tc>
          <w:tcPr>
            <w:tcW w:w="60" w:type="dxa"/>
            <w:tcBorders/>
            <w:shd w:fill="CCEEFF" w:val="clear"/>
            <w:vAlign w:val="center"/>
          </w:tcPr>
          <w:p>
            <w:pPr>
              <w:pStyle w:val="TableContents"/>
              <w:spacing w:before="0" w:after="283"/>
              <w:rPr/>
            </w:pPr>
            <w:r>
              <w:rPr/>
              <w:t> </w:t>
            </w:r>
          </w:p>
        </w:tc>
        <w:tc>
          <w:tcPr>
            <w:tcW w:w="141"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1072"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9,244</w:t>
            </w:r>
          </w:p>
        </w:tc>
        <w:tc>
          <w:tcPr>
            <w:tcW w:w="90" w:type="dxa"/>
            <w:tcBorders/>
            <w:shd w:fill="CCEEFF" w:val="clear"/>
            <w:vAlign w:val="center"/>
          </w:tcPr>
          <w:p>
            <w:pPr>
              <w:pStyle w:val="TableContents"/>
              <w:spacing w:before="0" w:after="283"/>
              <w:rPr/>
            </w:pPr>
            <w:r>
              <w:rPr/>
              <w:t> </w:t>
            </w:r>
          </w:p>
        </w:tc>
        <w:tc>
          <w:tcPr>
            <w:tcW w:w="67" w:type="dxa"/>
            <w:tcBorders/>
            <w:shd w:fill="CCEEFF" w:val="clear"/>
            <w:vAlign w:val="center"/>
          </w:tcPr>
          <w:p>
            <w:pPr>
              <w:pStyle w:val="TableContents"/>
              <w:spacing w:before="0" w:after="283"/>
              <w:rPr/>
            </w:pPr>
            <w:r>
              <w:rPr/>
              <w:t> </w:t>
            </w:r>
          </w:p>
        </w:tc>
        <w:tc>
          <w:tcPr>
            <w:tcW w:w="141"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1072"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9,025</w:t>
            </w:r>
          </w:p>
        </w:tc>
        <w:tc>
          <w:tcPr>
            <w:tcW w:w="80" w:type="dxa"/>
            <w:tcBorders/>
            <w:shd w:fill="CCEEFF" w:val="clear"/>
            <w:vAlign w:val="center"/>
          </w:tcPr>
          <w:p>
            <w:pPr>
              <w:pStyle w:val="TableContents"/>
              <w:spacing w:before="0" w:after="283"/>
              <w:rPr/>
            </w:pPr>
            <w:r>
              <w:rPr/>
              <w:t> </w:t>
            </w:r>
          </w:p>
        </w:tc>
      </w:tr>
      <w:tr>
        <w:trPr/>
        <w:tc>
          <w:tcPr>
            <w:tcW w:w="4895" w:type="dxa"/>
            <w:tcBorders/>
            <w:shd w:fill="FFFFFF" w:val="clear"/>
            <w:vAlign w:val="center"/>
          </w:tcPr>
          <w:p>
            <w:pPr>
              <w:pStyle w:val="TableContents"/>
              <w:spacing w:before="0" w:after="0"/>
              <w:rPr>
                <w:rFonts w:ascii="Times New Roman" w:hAnsi="Times New Roman"/>
                <w:sz w:val="20"/>
              </w:rPr>
            </w:pPr>
            <w:r>
              <w:rPr>
                <w:rFonts w:ascii="Times New Roman" w:hAnsi="Times New Roman"/>
                <w:sz w:val="20"/>
              </w:rPr>
              <w:t>Operating expenses</w:t>
            </w:r>
          </w:p>
        </w:tc>
        <w:tc>
          <w:tcPr>
            <w:tcW w:w="60" w:type="dxa"/>
            <w:tcBorders/>
            <w:shd w:fill="FFFFFF" w:val="clear"/>
            <w:vAlign w:val="center"/>
          </w:tcPr>
          <w:p>
            <w:pPr>
              <w:pStyle w:val="TableContents"/>
              <w:spacing w:before="0" w:after="283"/>
              <w:rPr/>
            </w:pPr>
            <w:r>
              <w:rPr/>
              <w:t> </w:t>
            </w:r>
          </w:p>
        </w:tc>
        <w:tc>
          <w:tcPr>
            <w:tcW w:w="141" w:type="dxa"/>
            <w:tcBorders/>
            <w:shd w:fill="FFFFFF" w:val="clear"/>
            <w:vAlign w:val="center"/>
          </w:tcPr>
          <w:p>
            <w:pPr>
              <w:pStyle w:val="TableContents"/>
              <w:spacing w:before="0" w:after="283"/>
              <w:rPr/>
            </w:pPr>
            <w:r>
              <w:rPr/>
              <w:t> </w:t>
            </w:r>
          </w:p>
        </w:tc>
        <w:tc>
          <w:tcPr>
            <w:tcW w:w="1072" w:type="dxa"/>
            <w:tcBorders/>
            <w:shd w:fill="FFFFFF" w:val="clear"/>
            <w:vAlign w:val="center"/>
          </w:tcPr>
          <w:p>
            <w:pPr>
              <w:pStyle w:val="TableContents"/>
              <w:spacing w:before="0" w:after="283"/>
              <w:jc w:val="right"/>
              <w:rPr/>
            </w:pPr>
            <w:r>
              <w:rPr/>
              <w:t> </w:t>
            </w:r>
          </w:p>
        </w:tc>
        <w:tc>
          <w:tcPr>
            <w:tcW w:w="90" w:type="dxa"/>
            <w:tcBorders/>
            <w:shd w:fill="FFFFFF" w:val="clear"/>
            <w:vAlign w:val="center"/>
          </w:tcPr>
          <w:p>
            <w:pPr>
              <w:pStyle w:val="TableContents"/>
              <w:spacing w:before="0" w:after="283"/>
              <w:rPr/>
            </w:pPr>
            <w:r>
              <w:rPr/>
              <w:t> </w:t>
            </w:r>
          </w:p>
        </w:tc>
        <w:tc>
          <w:tcPr>
            <w:tcW w:w="67" w:type="dxa"/>
            <w:tcBorders/>
            <w:shd w:fill="FFFFFF" w:val="clear"/>
            <w:vAlign w:val="center"/>
          </w:tcPr>
          <w:p>
            <w:pPr>
              <w:pStyle w:val="TableContents"/>
              <w:spacing w:before="0" w:after="283"/>
              <w:rPr/>
            </w:pPr>
            <w:r>
              <w:rPr/>
              <w:t> </w:t>
            </w:r>
          </w:p>
        </w:tc>
        <w:tc>
          <w:tcPr>
            <w:tcW w:w="141" w:type="dxa"/>
            <w:tcBorders/>
            <w:shd w:fill="FFFFFF" w:val="clear"/>
            <w:vAlign w:val="center"/>
          </w:tcPr>
          <w:p>
            <w:pPr>
              <w:pStyle w:val="TableContents"/>
              <w:spacing w:before="0" w:after="283"/>
              <w:rPr/>
            </w:pPr>
            <w:r>
              <w:rPr/>
              <w:t> </w:t>
            </w:r>
          </w:p>
        </w:tc>
        <w:tc>
          <w:tcPr>
            <w:tcW w:w="1072" w:type="dxa"/>
            <w:tcBorders/>
            <w:shd w:fill="FFFFFF" w:val="clear"/>
            <w:vAlign w:val="center"/>
          </w:tcPr>
          <w:p>
            <w:pPr>
              <w:pStyle w:val="TableContents"/>
              <w:spacing w:before="0" w:after="283"/>
              <w:jc w:val="right"/>
              <w:rPr/>
            </w:pPr>
            <w:r>
              <w:rPr/>
              <w:t>​</w:t>
            </w:r>
          </w:p>
        </w:tc>
        <w:tc>
          <w:tcPr>
            <w:tcW w:w="80" w:type="dxa"/>
            <w:tcBorders/>
            <w:shd w:fill="FFFFFF" w:val="clear"/>
            <w:vAlign w:val="center"/>
          </w:tcPr>
          <w:p>
            <w:pPr>
              <w:pStyle w:val="TableContents"/>
              <w:spacing w:before="0" w:after="283"/>
              <w:rPr/>
            </w:pPr>
            <w:r>
              <w:rPr/>
              <w:t> </w:t>
            </w:r>
          </w:p>
        </w:tc>
      </w:tr>
      <w:tr>
        <w:trPr/>
        <w:tc>
          <w:tcPr>
            <w:tcW w:w="4895"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Research and development</w:t>
            </w:r>
          </w:p>
        </w:tc>
        <w:tc>
          <w:tcPr>
            <w:tcW w:w="60" w:type="dxa"/>
            <w:tcBorders/>
            <w:shd w:fill="CCEEFF" w:val="clear"/>
            <w:vAlign w:val="center"/>
          </w:tcPr>
          <w:p>
            <w:pPr>
              <w:pStyle w:val="TableContents"/>
              <w:spacing w:before="0" w:after="283"/>
              <w:rPr/>
            </w:pPr>
            <w:r>
              <w:rPr/>
              <w:t> </w:t>
            </w:r>
          </w:p>
        </w:tc>
        <w:tc>
          <w:tcPr>
            <w:tcW w:w="141" w:type="dxa"/>
            <w:tcBorders/>
            <w:shd w:fill="CCEEFF" w:val="clear"/>
            <w:vAlign w:val="center"/>
          </w:tcPr>
          <w:p>
            <w:pPr>
              <w:pStyle w:val="TableContents"/>
              <w:spacing w:before="0" w:after="283"/>
              <w:ind w:left="0" w:right="0" w:hanging="0"/>
              <w:rPr/>
            </w:pPr>
            <w:r>
              <w:rPr/>
              <w:t> </w:t>
            </w:r>
          </w:p>
        </w:tc>
        <w:tc>
          <w:tcPr>
            <w:tcW w:w="1072"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8,536</w:t>
            </w:r>
          </w:p>
        </w:tc>
        <w:tc>
          <w:tcPr>
            <w:tcW w:w="90" w:type="dxa"/>
            <w:tcBorders/>
            <w:shd w:fill="CCEEFF" w:val="clear"/>
            <w:vAlign w:val="center"/>
          </w:tcPr>
          <w:p>
            <w:pPr>
              <w:pStyle w:val="TableContents"/>
              <w:spacing w:before="0" w:after="283"/>
              <w:rPr/>
            </w:pPr>
            <w:r>
              <w:rPr/>
              <w:t> </w:t>
            </w:r>
          </w:p>
        </w:tc>
        <w:tc>
          <w:tcPr>
            <w:tcW w:w="67" w:type="dxa"/>
            <w:tcBorders/>
            <w:shd w:fill="CCEEFF" w:val="clear"/>
            <w:vAlign w:val="center"/>
          </w:tcPr>
          <w:p>
            <w:pPr>
              <w:pStyle w:val="TableContents"/>
              <w:spacing w:before="0" w:after="283"/>
              <w:rPr/>
            </w:pPr>
            <w:r>
              <w:rPr/>
              <w:t> </w:t>
            </w:r>
          </w:p>
        </w:tc>
        <w:tc>
          <w:tcPr>
            <w:tcW w:w="141" w:type="dxa"/>
            <w:tcBorders/>
            <w:shd w:fill="CCEEFF" w:val="clear"/>
            <w:vAlign w:val="center"/>
          </w:tcPr>
          <w:p>
            <w:pPr>
              <w:pStyle w:val="TableContents"/>
              <w:spacing w:before="0" w:after="283"/>
              <w:ind w:left="0" w:right="0" w:hanging="0"/>
              <w:rPr/>
            </w:pPr>
            <w:r>
              <w:rPr/>
              <w:t> </w:t>
            </w:r>
          </w:p>
        </w:tc>
        <w:tc>
          <w:tcPr>
            <w:tcW w:w="1072"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9,486</w:t>
            </w:r>
          </w:p>
        </w:tc>
        <w:tc>
          <w:tcPr>
            <w:tcW w:w="80" w:type="dxa"/>
            <w:tcBorders/>
            <w:shd w:fill="CCEEFF" w:val="clear"/>
            <w:vAlign w:val="center"/>
          </w:tcPr>
          <w:p>
            <w:pPr>
              <w:pStyle w:val="TableContents"/>
              <w:spacing w:before="0" w:after="283"/>
              <w:rPr/>
            </w:pPr>
            <w:r>
              <w:rPr/>
              <w:t> </w:t>
            </w:r>
          </w:p>
        </w:tc>
      </w:tr>
      <w:tr>
        <w:trPr/>
        <w:tc>
          <w:tcPr>
            <w:tcW w:w="4895"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Sales and marketing</w:t>
            </w:r>
          </w:p>
        </w:tc>
        <w:tc>
          <w:tcPr>
            <w:tcW w:w="60" w:type="dxa"/>
            <w:tcBorders/>
            <w:shd w:fill="FFFFFF" w:val="clear"/>
            <w:vAlign w:val="center"/>
          </w:tcPr>
          <w:p>
            <w:pPr>
              <w:pStyle w:val="TableContents"/>
              <w:spacing w:before="0" w:after="283"/>
              <w:rPr/>
            </w:pPr>
            <w:r>
              <w:rPr/>
              <w:t> </w:t>
            </w:r>
          </w:p>
        </w:tc>
        <w:tc>
          <w:tcPr>
            <w:tcW w:w="141" w:type="dxa"/>
            <w:tcBorders/>
            <w:shd w:fill="FFFFFF" w:val="clear"/>
            <w:vAlign w:val="center"/>
          </w:tcPr>
          <w:p>
            <w:pPr>
              <w:pStyle w:val="TableContents"/>
              <w:spacing w:before="0" w:after="283"/>
              <w:ind w:left="0" w:right="0" w:hanging="0"/>
              <w:rPr/>
            </w:pPr>
            <w:r>
              <w:rPr/>
              <w:t> </w:t>
            </w:r>
          </w:p>
        </w:tc>
        <w:tc>
          <w:tcPr>
            <w:tcW w:w="1072"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2,327</w:t>
            </w:r>
          </w:p>
        </w:tc>
        <w:tc>
          <w:tcPr>
            <w:tcW w:w="90" w:type="dxa"/>
            <w:tcBorders/>
            <w:shd w:fill="FFFFFF" w:val="clear"/>
            <w:vAlign w:val="center"/>
          </w:tcPr>
          <w:p>
            <w:pPr>
              <w:pStyle w:val="TableContents"/>
              <w:spacing w:before="0" w:after="283"/>
              <w:rPr/>
            </w:pPr>
            <w:r>
              <w:rPr/>
              <w:t> </w:t>
            </w:r>
          </w:p>
        </w:tc>
        <w:tc>
          <w:tcPr>
            <w:tcW w:w="67" w:type="dxa"/>
            <w:tcBorders/>
            <w:shd w:fill="FFFFFF" w:val="clear"/>
            <w:vAlign w:val="center"/>
          </w:tcPr>
          <w:p>
            <w:pPr>
              <w:pStyle w:val="TableContents"/>
              <w:spacing w:before="0" w:after="283"/>
              <w:rPr/>
            </w:pPr>
            <w:r>
              <w:rPr/>
              <w:t> </w:t>
            </w:r>
          </w:p>
        </w:tc>
        <w:tc>
          <w:tcPr>
            <w:tcW w:w="141" w:type="dxa"/>
            <w:tcBorders/>
            <w:shd w:fill="FFFFFF" w:val="clear"/>
            <w:vAlign w:val="center"/>
          </w:tcPr>
          <w:p>
            <w:pPr>
              <w:pStyle w:val="TableContents"/>
              <w:spacing w:before="0" w:after="283"/>
              <w:ind w:left="0" w:right="0" w:hanging="0"/>
              <w:rPr/>
            </w:pPr>
            <w:r>
              <w:rPr/>
              <w:t> </w:t>
            </w:r>
          </w:p>
        </w:tc>
        <w:tc>
          <w:tcPr>
            <w:tcW w:w="1072"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2,558</w:t>
            </w:r>
          </w:p>
        </w:tc>
        <w:tc>
          <w:tcPr>
            <w:tcW w:w="80" w:type="dxa"/>
            <w:tcBorders/>
            <w:shd w:fill="FFFFFF" w:val="clear"/>
            <w:vAlign w:val="center"/>
          </w:tcPr>
          <w:p>
            <w:pPr>
              <w:pStyle w:val="TableContents"/>
              <w:spacing w:before="0" w:after="283"/>
              <w:rPr/>
            </w:pPr>
            <w:r>
              <w:rPr/>
              <w:t> </w:t>
            </w:r>
          </w:p>
        </w:tc>
      </w:tr>
      <w:tr>
        <w:trPr/>
        <w:tc>
          <w:tcPr>
            <w:tcW w:w="4895"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General and administrative</w:t>
            </w:r>
          </w:p>
        </w:tc>
        <w:tc>
          <w:tcPr>
            <w:tcW w:w="60" w:type="dxa"/>
            <w:tcBorders/>
            <w:shd w:fill="CCEEFF" w:val="clear"/>
            <w:vAlign w:val="center"/>
          </w:tcPr>
          <w:p>
            <w:pPr>
              <w:pStyle w:val="TableContents"/>
              <w:spacing w:before="0" w:after="283"/>
              <w:rPr/>
            </w:pPr>
            <w:r>
              <w:rPr/>
              <w:t> </w:t>
            </w:r>
          </w:p>
        </w:tc>
        <w:tc>
          <w:tcPr>
            <w:tcW w:w="141"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1072"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12,548</w:t>
            </w:r>
          </w:p>
        </w:tc>
        <w:tc>
          <w:tcPr>
            <w:tcW w:w="90" w:type="dxa"/>
            <w:tcBorders/>
            <w:shd w:fill="CCEEFF" w:val="clear"/>
            <w:vAlign w:val="center"/>
          </w:tcPr>
          <w:p>
            <w:pPr>
              <w:pStyle w:val="TableContents"/>
              <w:spacing w:before="0" w:after="283"/>
              <w:rPr/>
            </w:pPr>
            <w:r>
              <w:rPr/>
              <w:t> </w:t>
            </w:r>
          </w:p>
        </w:tc>
        <w:tc>
          <w:tcPr>
            <w:tcW w:w="67" w:type="dxa"/>
            <w:tcBorders/>
            <w:shd w:fill="CCEEFF" w:val="clear"/>
            <w:vAlign w:val="center"/>
          </w:tcPr>
          <w:p>
            <w:pPr>
              <w:pStyle w:val="TableContents"/>
              <w:spacing w:before="0" w:after="283"/>
              <w:rPr/>
            </w:pPr>
            <w:r>
              <w:rPr/>
              <w:t> </w:t>
            </w:r>
          </w:p>
        </w:tc>
        <w:tc>
          <w:tcPr>
            <w:tcW w:w="141"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1072"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11,220</w:t>
            </w:r>
          </w:p>
        </w:tc>
        <w:tc>
          <w:tcPr>
            <w:tcW w:w="80" w:type="dxa"/>
            <w:tcBorders/>
            <w:shd w:fill="CCEEFF" w:val="clear"/>
            <w:vAlign w:val="center"/>
          </w:tcPr>
          <w:p>
            <w:pPr>
              <w:pStyle w:val="TableContents"/>
              <w:spacing w:before="0" w:after="283"/>
              <w:rPr/>
            </w:pPr>
            <w:r>
              <w:rPr/>
              <w:t> </w:t>
            </w:r>
          </w:p>
        </w:tc>
      </w:tr>
      <w:tr>
        <w:trPr/>
        <w:tc>
          <w:tcPr>
            <w:tcW w:w="4895"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Total operating expenses</w:t>
            </w:r>
          </w:p>
        </w:tc>
        <w:tc>
          <w:tcPr>
            <w:tcW w:w="60" w:type="dxa"/>
            <w:tcBorders/>
            <w:shd w:fill="FFFFFF" w:val="clear"/>
            <w:vAlign w:val="center"/>
          </w:tcPr>
          <w:p>
            <w:pPr>
              <w:pStyle w:val="TableContents"/>
              <w:spacing w:before="0" w:after="283"/>
              <w:rPr/>
            </w:pPr>
            <w:r>
              <w:rPr/>
              <w:t> </w:t>
            </w:r>
          </w:p>
        </w:tc>
        <w:tc>
          <w:tcPr>
            <w:tcW w:w="141"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1072"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23,411</w:t>
            </w:r>
          </w:p>
        </w:tc>
        <w:tc>
          <w:tcPr>
            <w:tcW w:w="90" w:type="dxa"/>
            <w:tcBorders/>
            <w:shd w:fill="FFFFFF" w:val="clear"/>
            <w:vAlign w:val="center"/>
          </w:tcPr>
          <w:p>
            <w:pPr>
              <w:pStyle w:val="TableContents"/>
              <w:spacing w:before="0" w:after="283"/>
              <w:rPr/>
            </w:pPr>
            <w:r>
              <w:rPr/>
              <w:t> </w:t>
            </w:r>
          </w:p>
        </w:tc>
        <w:tc>
          <w:tcPr>
            <w:tcW w:w="67" w:type="dxa"/>
            <w:tcBorders/>
            <w:shd w:fill="FFFFFF" w:val="clear"/>
            <w:vAlign w:val="center"/>
          </w:tcPr>
          <w:p>
            <w:pPr>
              <w:pStyle w:val="TableContents"/>
              <w:spacing w:before="0" w:after="283"/>
              <w:rPr/>
            </w:pPr>
            <w:r>
              <w:rPr/>
              <w:t> </w:t>
            </w:r>
          </w:p>
        </w:tc>
        <w:tc>
          <w:tcPr>
            <w:tcW w:w="141"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1072"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23,264</w:t>
            </w:r>
          </w:p>
        </w:tc>
        <w:tc>
          <w:tcPr>
            <w:tcW w:w="80" w:type="dxa"/>
            <w:tcBorders/>
            <w:shd w:fill="FFFFFF" w:val="clear"/>
            <w:vAlign w:val="center"/>
          </w:tcPr>
          <w:p>
            <w:pPr>
              <w:pStyle w:val="TableContents"/>
              <w:spacing w:before="0" w:after="283"/>
              <w:rPr/>
            </w:pPr>
            <w:r>
              <w:rPr/>
              <w:t> </w:t>
            </w:r>
          </w:p>
        </w:tc>
      </w:tr>
      <w:tr>
        <w:trPr/>
        <w:tc>
          <w:tcPr>
            <w:tcW w:w="489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Loss from operations</w:t>
            </w:r>
          </w:p>
        </w:tc>
        <w:tc>
          <w:tcPr>
            <w:tcW w:w="60" w:type="dxa"/>
            <w:tcBorders/>
            <w:shd w:fill="CCEEFF" w:val="clear"/>
            <w:vAlign w:val="center"/>
          </w:tcPr>
          <w:p>
            <w:pPr>
              <w:pStyle w:val="TableContents"/>
              <w:spacing w:before="0" w:after="283"/>
              <w:rPr/>
            </w:pPr>
            <w:r>
              <w:rPr/>
              <w:t> </w:t>
            </w:r>
          </w:p>
        </w:tc>
        <w:tc>
          <w:tcPr>
            <w:tcW w:w="141"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1072"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(14,167</w:t>
            </w:r>
          </w:p>
        </w:tc>
        <w:tc>
          <w:tcPr>
            <w:tcW w:w="9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7" w:type="dxa"/>
            <w:tcBorders/>
            <w:shd w:fill="CCEEFF" w:val="clear"/>
            <w:vAlign w:val="center"/>
          </w:tcPr>
          <w:p>
            <w:pPr>
              <w:pStyle w:val="TableContents"/>
              <w:spacing w:before="0" w:after="283"/>
              <w:rPr/>
            </w:pPr>
            <w:r>
              <w:rPr/>
              <w:t> </w:t>
            </w:r>
          </w:p>
        </w:tc>
        <w:tc>
          <w:tcPr>
            <w:tcW w:w="141"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1072"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(14,239</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4895" w:type="dxa"/>
            <w:tcBorders/>
            <w:shd w:fill="FFFFFF" w:val="clear"/>
            <w:vAlign w:val="center"/>
          </w:tcPr>
          <w:p>
            <w:pPr>
              <w:pStyle w:val="TableContents"/>
              <w:spacing w:before="0" w:after="0"/>
              <w:rPr>
                <w:rFonts w:ascii="Times New Roman" w:hAnsi="Times New Roman"/>
                <w:sz w:val="20"/>
              </w:rPr>
            </w:pPr>
            <w:r>
              <w:rPr>
                <w:rFonts w:ascii="Times New Roman" w:hAnsi="Times New Roman"/>
                <w:sz w:val="20"/>
              </w:rPr>
              <w:t>Other income (expense)</w:t>
            </w:r>
          </w:p>
        </w:tc>
        <w:tc>
          <w:tcPr>
            <w:tcW w:w="60" w:type="dxa"/>
            <w:tcBorders/>
            <w:shd w:fill="FFFFFF" w:val="clear"/>
            <w:vAlign w:val="center"/>
          </w:tcPr>
          <w:p>
            <w:pPr>
              <w:pStyle w:val="TableContents"/>
              <w:spacing w:before="0" w:after="283"/>
              <w:rPr/>
            </w:pPr>
            <w:r>
              <w:rPr/>
              <w:t> </w:t>
            </w:r>
          </w:p>
        </w:tc>
        <w:tc>
          <w:tcPr>
            <w:tcW w:w="141" w:type="dxa"/>
            <w:tcBorders/>
            <w:shd w:fill="FFFFFF" w:val="clear"/>
            <w:vAlign w:val="center"/>
          </w:tcPr>
          <w:p>
            <w:pPr>
              <w:pStyle w:val="TableContents"/>
              <w:spacing w:before="0" w:after="283"/>
              <w:rPr/>
            </w:pPr>
            <w:r>
              <w:rPr/>
              <w:t> </w:t>
            </w:r>
          </w:p>
        </w:tc>
        <w:tc>
          <w:tcPr>
            <w:tcW w:w="1072" w:type="dxa"/>
            <w:tcBorders/>
            <w:shd w:fill="FFFFFF" w:val="clear"/>
            <w:vAlign w:val="center"/>
          </w:tcPr>
          <w:p>
            <w:pPr>
              <w:pStyle w:val="TableContents"/>
              <w:spacing w:before="0" w:after="283"/>
              <w:jc w:val="right"/>
              <w:rPr/>
            </w:pPr>
            <w:r>
              <w:rPr/>
              <w:t> </w:t>
            </w:r>
          </w:p>
        </w:tc>
        <w:tc>
          <w:tcPr>
            <w:tcW w:w="90" w:type="dxa"/>
            <w:tcBorders/>
            <w:shd w:fill="FFFFFF" w:val="clear"/>
            <w:vAlign w:val="center"/>
          </w:tcPr>
          <w:p>
            <w:pPr>
              <w:pStyle w:val="TableContents"/>
              <w:spacing w:before="0" w:after="283"/>
              <w:rPr/>
            </w:pPr>
            <w:r>
              <w:rPr/>
              <w:t> </w:t>
            </w:r>
          </w:p>
        </w:tc>
        <w:tc>
          <w:tcPr>
            <w:tcW w:w="67" w:type="dxa"/>
            <w:tcBorders/>
            <w:shd w:fill="FFFFFF" w:val="clear"/>
            <w:vAlign w:val="center"/>
          </w:tcPr>
          <w:p>
            <w:pPr>
              <w:pStyle w:val="TableContents"/>
              <w:spacing w:before="0" w:after="283"/>
              <w:rPr/>
            </w:pPr>
            <w:r>
              <w:rPr/>
              <w:t> </w:t>
            </w:r>
          </w:p>
        </w:tc>
        <w:tc>
          <w:tcPr>
            <w:tcW w:w="141" w:type="dxa"/>
            <w:tcBorders/>
            <w:shd w:fill="FFFFFF" w:val="clear"/>
            <w:vAlign w:val="center"/>
          </w:tcPr>
          <w:p>
            <w:pPr>
              <w:pStyle w:val="TableContents"/>
              <w:spacing w:before="0" w:after="283"/>
              <w:rPr/>
            </w:pPr>
            <w:r>
              <w:rPr/>
              <w:t> </w:t>
            </w:r>
          </w:p>
        </w:tc>
        <w:tc>
          <w:tcPr>
            <w:tcW w:w="1072" w:type="dxa"/>
            <w:tcBorders/>
            <w:shd w:fill="FFFFFF" w:val="clear"/>
            <w:vAlign w:val="center"/>
          </w:tcPr>
          <w:p>
            <w:pPr>
              <w:pStyle w:val="TableContents"/>
              <w:spacing w:before="0" w:after="283"/>
              <w:jc w:val="right"/>
              <w:rPr/>
            </w:pPr>
            <w:r>
              <w:rPr/>
              <w:t>​</w:t>
            </w:r>
          </w:p>
        </w:tc>
        <w:tc>
          <w:tcPr>
            <w:tcW w:w="80" w:type="dxa"/>
            <w:tcBorders/>
            <w:shd w:fill="FFFFFF" w:val="clear"/>
            <w:vAlign w:val="center"/>
          </w:tcPr>
          <w:p>
            <w:pPr>
              <w:pStyle w:val="TableContents"/>
              <w:spacing w:before="0" w:after="283"/>
              <w:rPr/>
            </w:pPr>
            <w:r>
              <w:rPr/>
              <w:t> </w:t>
            </w:r>
          </w:p>
        </w:tc>
      </w:tr>
      <w:tr>
        <w:trPr/>
        <w:tc>
          <w:tcPr>
            <w:tcW w:w="4895"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Interest income</w:t>
            </w:r>
          </w:p>
        </w:tc>
        <w:tc>
          <w:tcPr>
            <w:tcW w:w="60" w:type="dxa"/>
            <w:tcBorders/>
            <w:shd w:fill="CCEEFF" w:val="clear"/>
            <w:vAlign w:val="center"/>
          </w:tcPr>
          <w:p>
            <w:pPr>
              <w:pStyle w:val="TableContents"/>
              <w:spacing w:before="0" w:after="283"/>
              <w:rPr/>
            </w:pPr>
            <w:r>
              <w:rPr/>
              <w:t> </w:t>
            </w:r>
          </w:p>
        </w:tc>
        <w:tc>
          <w:tcPr>
            <w:tcW w:w="141" w:type="dxa"/>
            <w:tcBorders/>
            <w:shd w:fill="CCEEFF" w:val="clear"/>
            <w:vAlign w:val="center"/>
          </w:tcPr>
          <w:p>
            <w:pPr>
              <w:pStyle w:val="TableContents"/>
              <w:spacing w:before="0" w:after="283"/>
              <w:ind w:left="0" w:right="0" w:hanging="0"/>
              <w:rPr/>
            </w:pPr>
            <w:r>
              <w:rPr/>
              <w:t> </w:t>
            </w:r>
          </w:p>
        </w:tc>
        <w:tc>
          <w:tcPr>
            <w:tcW w:w="1072"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33</w:t>
            </w:r>
          </w:p>
        </w:tc>
        <w:tc>
          <w:tcPr>
            <w:tcW w:w="90" w:type="dxa"/>
            <w:tcBorders/>
            <w:shd w:fill="CCEEFF" w:val="clear"/>
            <w:vAlign w:val="center"/>
          </w:tcPr>
          <w:p>
            <w:pPr>
              <w:pStyle w:val="TableContents"/>
              <w:spacing w:before="0" w:after="283"/>
              <w:rPr/>
            </w:pPr>
            <w:r>
              <w:rPr/>
              <w:t> </w:t>
            </w:r>
          </w:p>
        </w:tc>
        <w:tc>
          <w:tcPr>
            <w:tcW w:w="67" w:type="dxa"/>
            <w:tcBorders/>
            <w:shd w:fill="CCEEFF" w:val="clear"/>
            <w:vAlign w:val="center"/>
          </w:tcPr>
          <w:p>
            <w:pPr>
              <w:pStyle w:val="TableContents"/>
              <w:spacing w:before="0" w:after="283"/>
              <w:rPr/>
            </w:pPr>
            <w:r>
              <w:rPr/>
              <w:t> </w:t>
            </w:r>
          </w:p>
        </w:tc>
        <w:tc>
          <w:tcPr>
            <w:tcW w:w="141" w:type="dxa"/>
            <w:tcBorders/>
            <w:shd w:fill="CCEEFF" w:val="clear"/>
            <w:vAlign w:val="center"/>
          </w:tcPr>
          <w:p>
            <w:pPr>
              <w:pStyle w:val="TableContents"/>
              <w:spacing w:before="0" w:after="283"/>
              <w:ind w:left="0" w:right="0" w:hanging="0"/>
              <w:rPr/>
            </w:pPr>
            <w:r>
              <w:rPr/>
              <w:t> </w:t>
            </w:r>
          </w:p>
        </w:tc>
        <w:tc>
          <w:tcPr>
            <w:tcW w:w="1072"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28</w:t>
            </w:r>
          </w:p>
        </w:tc>
        <w:tc>
          <w:tcPr>
            <w:tcW w:w="80" w:type="dxa"/>
            <w:tcBorders/>
            <w:shd w:fill="CCEEFF" w:val="clear"/>
            <w:vAlign w:val="center"/>
          </w:tcPr>
          <w:p>
            <w:pPr>
              <w:pStyle w:val="TableContents"/>
              <w:spacing w:before="0" w:after="283"/>
              <w:rPr/>
            </w:pPr>
            <w:r>
              <w:rPr/>
              <w:t> </w:t>
            </w:r>
          </w:p>
        </w:tc>
      </w:tr>
      <w:tr>
        <w:trPr/>
        <w:tc>
          <w:tcPr>
            <w:tcW w:w="4895"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Interest expense</w:t>
            </w:r>
          </w:p>
        </w:tc>
        <w:tc>
          <w:tcPr>
            <w:tcW w:w="60" w:type="dxa"/>
            <w:tcBorders/>
            <w:shd w:fill="FFFFFF" w:val="clear"/>
            <w:vAlign w:val="center"/>
          </w:tcPr>
          <w:p>
            <w:pPr>
              <w:pStyle w:val="TableContents"/>
              <w:spacing w:before="0" w:after="283"/>
              <w:rPr/>
            </w:pPr>
            <w:r>
              <w:rPr/>
              <w:t> </w:t>
            </w:r>
          </w:p>
        </w:tc>
        <w:tc>
          <w:tcPr>
            <w:tcW w:w="141" w:type="dxa"/>
            <w:tcBorders/>
            <w:shd w:fill="FFFFFF" w:val="clear"/>
            <w:vAlign w:val="center"/>
          </w:tcPr>
          <w:p>
            <w:pPr>
              <w:pStyle w:val="TableContents"/>
              <w:spacing w:before="0" w:after="283"/>
              <w:ind w:left="0" w:right="0" w:hanging="0"/>
              <w:rPr/>
            </w:pPr>
            <w:r>
              <w:rPr/>
              <w:t> </w:t>
            </w:r>
          </w:p>
        </w:tc>
        <w:tc>
          <w:tcPr>
            <w:tcW w:w="1072"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(2,137</w:t>
            </w:r>
          </w:p>
        </w:tc>
        <w:tc>
          <w:tcPr>
            <w:tcW w:w="9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7" w:type="dxa"/>
            <w:tcBorders/>
            <w:shd w:fill="FFFFFF" w:val="clear"/>
            <w:vAlign w:val="center"/>
          </w:tcPr>
          <w:p>
            <w:pPr>
              <w:pStyle w:val="TableContents"/>
              <w:spacing w:before="0" w:after="283"/>
              <w:rPr/>
            </w:pPr>
            <w:r>
              <w:rPr/>
              <w:t> </w:t>
            </w:r>
          </w:p>
        </w:tc>
        <w:tc>
          <w:tcPr>
            <w:tcW w:w="141" w:type="dxa"/>
            <w:tcBorders/>
            <w:shd w:fill="FFFFFF" w:val="clear"/>
            <w:vAlign w:val="center"/>
          </w:tcPr>
          <w:p>
            <w:pPr>
              <w:pStyle w:val="TableContents"/>
              <w:spacing w:before="0" w:after="283"/>
              <w:ind w:left="0" w:right="0" w:hanging="0"/>
              <w:rPr/>
            </w:pPr>
            <w:r>
              <w:rPr/>
              <w:t> </w:t>
            </w:r>
          </w:p>
        </w:tc>
        <w:tc>
          <w:tcPr>
            <w:tcW w:w="1072"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(1,401</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4895"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Other expense, net</w:t>
            </w:r>
          </w:p>
        </w:tc>
        <w:tc>
          <w:tcPr>
            <w:tcW w:w="60" w:type="dxa"/>
            <w:tcBorders/>
            <w:shd w:fill="CCEEFF" w:val="clear"/>
            <w:vAlign w:val="center"/>
          </w:tcPr>
          <w:p>
            <w:pPr>
              <w:pStyle w:val="TableContents"/>
              <w:spacing w:before="0" w:after="283"/>
              <w:rPr/>
            </w:pPr>
            <w:r>
              <w:rPr/>
              <w:t> </w:t>
            </w:r>
          </w:p>
        </w:tc>
        <w:tc>
          <w:tcPr>
            <w:tcW w:w="141"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1072"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(21</w:t>
            </w:r>
          </w:p>
        </w:tc>
        <w:tc>
          <w:tcPr>
            <w:tcW w:w="9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7" w:type="dxa"/>
            <w:tcBorders/>
            <w:shd w:fill="CCEEFF" w:val="clear"/>
            <w:vAlign w:val="center"/>
          </w:tcPr>
          <w:p>
            <w:pPr>
              <w:pStyle w:val="TableContents"/>
              <w:spacing w:before="0" w:after="283"/>
              <w:rPr/>
            </w:pPr>
            <w:r>
              <w:rPr/>
              <w:t> </w:t>
            </w:r>
          </w:p>
        </w:tc>
        <w:tc>
          <w:tcPr>
            <w:tcW w:w="141"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1072"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(450</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4895"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Total other income (expense), net</w:t>
            </w:r>
          </w:p>
        </w:tc>
        <w:tc>
          <w:tcPr>
            <w:tcW w:w="60" w:type="dxa"/>
            <w:tcBorders/>
            <w:shd w:fill="FFFFFF" w:val="clear"/>
            <w:vAlign w:val="center"/>
          </w:tcPr>
          <w:p>
            <w:pPr>
              <w:pStyle w:val="TableContents"/>
              <w:spacing w:before="0" w:after="283"/>
              <w:rPr/>
            </w:pPr>
            <w:r>
              <w:rPr/>
              <w:t> </w:t>
            </w:r>
          </w:p>
        </w:tc>
        <w:tc>
          <w:tcPr>
            <w:tcW w:w="141" w:type="dxa"/>
            <w:tcBorders/>
            <w:shd w:fill="FFFFFF" w:val="clear"/>
            <w:vAlign w:val="center"/>
          </w:tcPr>
          <w:p>
            <w:pPr>
              <w:pStyle w:val="TableContents"/>
              <w:spacing w:before="0" w:after="283"/>
              <w:ind w:left="0" w:right="0" w:hanging="0"/>
              <w:rPr/>
            </w:pPr>
            <w:r>
              <w:rPr/>
              <w:t> </w:t>
            </w:r>
          </w:p>
        </w:tc>
        <w:tc>
          <w:tcPr>
            <w:tcW w:w="1072"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(2,125</w:t>
            </w:r>
          </w:p>
        </w:tc>
        <w:tc>
          <w:tcPr>
            <w:tcW w:w="9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7" w:type="dxa"/>
            <w:tcBorders/>
            <w:shd w:fill="FFFFFF" w:val="clear"/>
            <w:vAlign w:val="center"/>
          </w:tcPr>
          <w:p>
            <w:pPr>
              <w:pStyle w:val="TableContents"/>
              <w:spacing w:before="0" w:after="283"/>
              <w:rPr/>
            </w:pPr>
            <w:r>
              <w:rPr/>
              <w:t> </w:t>
            </w:r>
          </w:p>
        </w:tc>
        <w:tc>
          <w:tcPr>
            <w:tcW w:w="141" w:type="dxa"/>
            <w:tcBorders/>
            <w:shd w:fill="FFFFFF" w:val="clear"/>
            <w:vAlign w:val="center"/>
          </w:tcPr>
          <w:p>
            <w:pPr>
              <w:pStyle w:val="TableContents"/>
              <w:spacing w:before="0" w:after="283"/>
              <w:ind w:left="0" w:right="0" w:hanging="0"/>
              <w:rPr/>
            </w:pPr>
            <w:r>
              <w:rPr/>
              <w:t> </w:t>
            </w:r>
          </w:p>
        </w:tc>
        <w:tc>
          <w:tcPr>
            <w:tcW w:w="1072"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(1,823</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489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Loss before income taxes</w:t>
            </w:r>
          </w:p>
        </w:tc>
        <w:tc>
          <w:tcPr>
            <w:tcW w:w="60" w:type="dxa"/>
            <w:tcBorders/>
            <w:shd w:fill="CCEEFF" w:val="clear"/>
            <w:vAlign w:val="center"/>
          </w:tcPr>
          <w:p>
            <w:pPr>
              <w:pStyle w:val="TableContents"/>
              <w:spacing w:before="0" w:after="283"/>
              <w:rPr/>
            </w:pPr>
            <w:r>
              <w:rPr/>
              <w:t> </w:t>
            </w:r>
          </w:p>
        </w:tc>
        <w:tc>
          <w:tcPr>
            <w:tcW w:w="141"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1072"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(16,292</w:t>
            </w:r>
          </w:p>
        </w:tc>
        <w:tc>
          <w:tcPr>
            <w:tcW w:w="9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7" w:type="dxa"/>
            <w:tcBorders/>
            <w:shd w:fill="CCEEFF" w:val="clear"/>
            <w:vAlign w:val="center"/>
          </w:tcPr>
          <w:p>
            <w:pPr>
              <w:pStyle w:val="TableContents"/>
              <w:spacing w:before="0" w:after="283"/>
              <w:rPr/>
            </w:pPr>
            <w:r>
              <w:rPr/>
              <w:t> </w:t>
            </w:r>
          </w:p>
        </w:tc>
        <w:tc>
          <w:tcPr>
            <w:tcW w:w="141"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1072"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(16,062</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4895"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FFFFFF" w:val="clear"/>
            <w:vAlign w:val="center"/>
          </w:tcPr>
          <w:p>
            <w:pPr>
              <w:pStyle w:val="TableContents"/>
              <w:spacing w:before="0" w:after="283"/>
              <w:ind w:left="0" w:right="0" w:hanging="0"/>
              <w:rPr/>
            </w:pPr>
            <w:r>
              <w:rPr/>
              <w:t> </w:t>
            </w:r>
          </w:p>
        </w:tc>
        <w:tc>
          <w:tcPr>
            <w:tcW w:w="141"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072"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(16,292</w:t>
            </w:r>
          </w:p>
        </w:tc>
        <w:tc>
          <w:tcPr>
            <w:tcW w:w="9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7" w:type="dxa"/>
            <w:tcBorders/>
            <w:shd w:fill="FFFFFF" w:val="clear"/>
            <w:vAlign w:val="center"/>
          </w:tcPr>
          <w:p>
            <w:pPr>
              <w:pStyle w:val="TableContents"/>
              <w:spacing w:before="0" w:after="283"/>
              <w:ind w:left="0" w:right="0" w:hanging="0"/>
              <w:rPr/>
            </w:pPr>
            <w:r>
              <w:rPr/>
              <w:t> </w:t>
            </w:r>
          </w:p>
        </w:tc>
        <w:tc>
          <w:tcPr>
            <w:tcW w:w="141"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072"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(16,062</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489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Net loss per share</w:t>
            </w:r>
          </w:p>
        </w:tc>
        <w:tc>
          <w:tcPr>
            <w:tcW w:w="60" w:type="dxa"/>
            <w:tcBorders/>
            <w:shd w:fill="CCEEFF" w:val="clear"/>
            <w:vAlign w:val="center"/>
          </w:tcPr>
          <w:p>
            <w:pPr>
              <w:pStyle w:val="TableContents"/>
              <w:spacing w:before="0" w:after="283"/>
              <w:ind w:left="0" w:right="0" w:hanging="0"/>
              <w:rPr/>
            </w:pPr>
            <w:r>
              <w:rPr/>
              <w:t> </w:t>
            </w:r>
          </w:p>
        </w:tc>
        <w:tc>
          <w:tcPr>
            <w:tcW w:w="1213" w:type="dxa"/>
            <w:gridSpan w:val="2"/>
            <w:tcBorders/>
            <w:shd w:fill="CCEEFF" w:val="clear"/>
            <w:vAlign w:val="center"/>
          </w:tcPr>
          <w:p>
            <w:pPr>
              <w:pStyle w:val="TableContents"/>
              <w:spacing w:before="0" w:after="0"/>
              <w:ind w:left="0" w:right="0" w:hanging="0"/>
              <w:rPr>
                <w:caps w:val="false"/>
                <w:smallCaps w:val="false"/>
              </w:rPr>
            </w:pPr>
            <w:r>
              <w:rPr>
                <w:caps w:val="false"/>
                <w:smallCaps w:val="false"/>
              </w:rPr>
              <w:t>​</w:t>
            </w:r>
          </w:p>
        </w:tc>
        <w:tc>
          <w:tcPr>
            <w:tcW w:w="90" w:type="dxa"/>
            <w:tcBorders/>
            <w:shd w:fill="CCEEFF" w:val="clear"/>
            <w:vAlign w:val="center"/>
          </w:tcPr>
          <w:p>
            <w:pPr>
              <w:pStyle w:val="TableContents"/>
              <w:spacing w:before="0" w:after="283"/>
              <w:rPr/>
            </w:pPr>
            <w:r>
              <w:rPr/>
              <w:t> </w:t>
            </w:r>
          </w:p>
        </w:tc>
        <w:tc>
          <w:tcPr>
            <w:tcW w:w="67" w:type="dxa"/>
            <w:tcBorders/>
            <w:shd w:fill="CCEEFF" w:val="clear"/>
            <w:vAlign w:val="center"/>
          </w:tcPr>
          <w:p>
            <w:pPr>
              <w:pStyle w:val="TableContents"/>
              <w:spacing w:before="0" w:after="283"/>
              <w:ind w:left="0" w:right="0" w:hanging="0"/>
              <w:rPr/>
            </w:pPr>
            <w:r>
              <w:rPr/>
              <w:t> </w:t>
            </w:r>
          </w:p>
        </w:tc>
        <w:tc>
          <w:tcPr>
            <w:tcW w:w="1213" w:type="dxa"/>
            <w:gridSpan w:val="2"/>
            <w:tcBorders/>
            <w:shd w:fill="CCEEFF" w:val="clear"/>
            <w:vAlign w:val="center"/>
          </w:tcPr>
          <w:p>
            <w:pPr>
              <w:pStyle w:val="TableContents"/>
              <w:spacing w:before="0" w:after="0"/>
              <w:ind w:left="0" w:right="0" w:hanging="0"/>
              <w:rPr>
                <w:caps w:val="false"/>
                <w:smallCaps w:val="false"/>
              </w:rPr>
            </w:pPr>
            <w:r>
              <w:rPr>
                <w:caps w:val="false"/>
                <w:smallCaps w:val="false"/>
              </w:rPr>
              <w:t>​</w:t>
            </w:r>
          </w:p>
        </w:tc>
        <w:tc>
          <w:tcPr>
            <w:tcW w:w="80" w:type="dxa"/>
            <w:tcBorders/>
            <w:shd w:fill="CCEEFF" w:val="clear"/>
            <w:vAlign w:val="center"/>
          </w:tcPr>
          <w:p>
            <w:pPr>
              <w:pStyle w:val="TableContents"/>
              <w:spacing w:before="0" w:after="283"/>
              <w:rPr/>
            </w:pPr>
            <w:r>
              <w:rPr/>
              <w:t> </w:t>
            </w:r>
          </w:p>
        </w:tc>
      </w:tr>
      <w:tr>
        <w:trPr/>
        <w:tc>
          <w:tcPr>
            <w:tcW w:w="4895"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Basic</w:t>
            </w:r>
          </w:p>
        </w:tc>
        <w:tc>
          <w:tcPr>
            <w:tcW w:w="60" w:type="dxa"/>
            <w:tcBorders/>
            <w:shd w:fill="FFFFFF" w:val="clear"/>
            <w:vAlign w:val="center"/>
          </w:tcPr>
          <w:p>
            <w:pPr>
              <w:pStyle w:val="TableContents"/>
              <w:spacing w:before="0" w:after="283"/>
              <w:ind w:left="0" w:right="0" w:hanging="0"/>
              <w:rPr/>
            </w:pPr>
            <w:r>
              <w:rPr/>
              <w:t> </w:t>
            </w:r>
          </w:p>
        </w:tc>
        <w:tc>
          <w:tcPr>
            <w:tcW w:w="141"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072"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(0.56</w:t>
            </w:r>
          </w:p>
        </w:tc>
        <w:tc>
          <w:tcPr>
            <w:tcW w:w="9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7" w:type="dxa"/>
            <w:tcBorders/>
            <w:shd w:fill="FFFFFF" w:val="clear"/>
            <w:vAlign w:val="center"/>
          </w:tcPr>
          <w:p>
            <w:pPr>
              <w:pStyle w:val="TableContents"/>
              <w:spacing w:before="0" w:after="283"/>
              <w:ind w:left="0" w:right="0" w:hanging="0"/>
              <w:rPr/>
            </w:pPr>
            <w:r>
              <w:rPr/>
              <w:t> </w:t>
            </w:r>
          </w:p>
        </w:tc>
        <w:tc>
          <w:tcPr>
            <w:tcW w:w="141"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072"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(0.58</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489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Diluted</w:t>
            </w:r>
          </w:p>
        </w:tc>
        <w:tc>
          <w:tcPr>
            <w:tcW w:w="60" w:type="dxa"/>
            <w:tcBorders/>
            <w:shd w:fill="CCEEFF" w:val="clear"/>
            <w:vAlign w:val="center"/>
          </w:tcPr>
          <w:p>
            <w:pPr>
              <w:pStyle w:val="TableContents"/>
              <w:spacing w:before="0" w:after="283"/>
              <w:ind w:left="0" w:right="0" w:hanging="0"/>
              <w:rPr/>
            </w:pPr>
            <w:r>
              <w:rPr/>
              <w:t> </w:t>
            </w:r>
          </w:p>
        </w:tc>
        <w:tc>
          <w:tcPr>
            <w:tcW w:w="141"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072"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(0.56</w:t>
            </w:r>
          </w:p>
        </w:tc>
        <w:tc>
          <w:tcPr>
            <w:tcW w:w="9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7" w:type="dxa"/>
            <w:tcBorders/>
            <w:shd w:fill="CCEEFF" w:val="clear"/>
            <w:vAlign w:val="center"/>
          </w:tcPr>
          <w:p>
            <w:pPr>
              <w:pStyle w:val="TableContents"/>
              <w:spacing w:before="0" w:after="283"/>
              <w:ind w:left="0" w:right="0" w:hanging="0"/>
              <w:rPr/>
            </w:pPr>
            <w:r>
              <w:rPr/>
              <w:t> </w:t>
            </w:r>
          </w:p>
        </w:tc>
        <w:tc>
          <w:tcPr>
            <w:tcW w:w="141"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072"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(0.58</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4895" w:type="dxa"/>
            <w:tcBorders/>
            <w:shd w:fill="FFFFFF" w:val="clear"/>
            <w:vAlign w:val="center"/>
          </w:tcPr>
          <w:p>
            <w:pPr>
              <w:pStyle w:val="TableContents"/>
              <w:spacing w:before="0" w:after="0"/>
              <w:rPr>
                <w:caps w:val="false"/>
                <w:smallCaps w:val="false"/>
              </w:rPr>
            </w:pPr>
            <w:r>
              <w:rPr>
                <w:caps w:val="false"/>
                <w:smallCaps w:val="false"/>
              </w:rPr>
              <w:t>​</w:t>
            </w:r>
          </w:p>
        </w:tc>
        <w:tc>
          <w:tcPr>
            <w:tcW w:w="60" w:type="dxa"/>
            <w:tcBorders/>
            <w:shd w:fill="FFFFFF" w:val="clear"/>
            <w:vAlign w:val="center"/>
          </w:tcPr>
          <w:p>
            <w:pPr>
              <w:pStyle w:val="TableContents"/>
              <w:spacing w:before="0" w:after="283"/>
              <w:ind w:left="0" w:right="0" w:hanging="0"/>
              <w:rPr/>
            </w:pPr>
            <w:r>
              <w:rPr/>
              <w:t> </w:t>
            </w:r>
          </w:p>
        </w:tc>
        <w:tc>
          <w:tcPr>
            <w:tcW w:w="1213" w:type="dxa"/>
            <w:gridSpan w:val="2"/>
            <w:tcBorders/>
            <w:shd w:fill="FFFFFF" w:val="clear"/>
            <w:vAlign w:val="center"/>
          </w:tcPr>
          <w:p>
            <w:pPr>
              <w:pStyle w:val="TableContents"/>
              <w:spacing w:before="0" w:after="0"/>
              <w:ind w:left="0" w:right="0" w:hanging="0"/>
              <w:rPr>
                <w:caps w:val="false"/>
                <w:smallCaps w:val="false"/>
              </w:rPr>
            </w:pPr>
            <w:r>
              <w:rPr>
                <w:caps w:val="false"/>
                <w:smallCaps w:val="false"/>
              </w:rPr>
              <w:t>​</w:t>
            </w:r>
          </w:p>
        </w:tc>
        <w:tc>
          <w:tcPr>
            <w:tcW w:w="90" w:type="dxa"/>
            <w:tcBorders/>
            <w:shd w:fill="FFFFFF" w:val="clear"/>
            <w:vAlign w:val="center"/>
          </w:tcPr>
          <w:p>
            <w:pPr>
              <w:pStyle w:val="TableContents"/>
              <w:spacing w:before="0" w:after="283"/>
              <w:rPr/>
            </w:pPr>
            <w:r>
              <w:rPr/>
              <w:t> </w:t>
            </w:r>
          </w:p>
        </w:tc>
        <w:tc>
          <w:tcPr>
            <w:tcW w:w="67" w:type="dxa"/>
            <w:tcBorders/>
            <w:shd w:fill="FFFFFF" w:val="clear"/>
            <w:vAlign w:val="center"/>
          </w:tcPr>
          <w:p>
            <w:pPr>
              <w:pStyle w:val="TableContents"/>
              <w:spacing w:before="0" w:after="283"/>
              <w:ind w:left="0" w:right="0" w:hanging="0"/>
              <w:rPr/>
            </w:pPr>
            <w:r>
              <w:rPr/>
              <w:t> </w:t>
            </w:r>
          </w:p>
        </w:tc>
        <w:tc>
          <w:tcPr>
            <w:tcW w:w="1213" w:type="dxa"/>
            <w:gridSpan w:val="2"/>
            <w:tcBorders/>
            <w:shd w:fill="FFFFFF" w:val="clear"/>
            <w:vAlign w:val="center"/>
          </w:tcPr>
          <w:p>
            <w:pPr>
              <w:pStyle w:val="TableContents"/>
              <w:spacing w:before="0" w:after="0"/>
              <w:ind w:left="0" w:right="0" w:hanging="0"/>
              <w:rPr>
                <w:caps w:val="false"/>
                <w:smallCaps w:val="false"/>
              </w:rPr>
            </w:pPr>
            <w:r>
              <w:rPr>
                <w:caps w:val="false"/>
                <w:smallCaps w:val="false"/>
              </w:rPr>
              <w:t>​</w:t>
            </w:r>
          </w:p>
        </w:tc>
        <w:tc>
          <w:tcPr>
            <w:tcW w:w="80" w:type="dxa"/>
            <w:tcBorders/>
            <w:shd w:fill="FFFFFF" w:val="clear"/>
            <w:vAlign w:val="center"/>
          </w:tcPr>
          <w:p>
            <w:pPr>
              <w:pStyle w:val="TableContents"/>
              <w:spacing w:before="0" w:after="283"/>
              <w:rPr/>
            </w:pPr>
            <w:r>
              <w:rPr/>
              <w:t> </w:t>
            </w:r>
          </w:p>
        </w:tc>
      </w:tr>
      <w:tr>
        <w:trPr/>
        <w:tc>
          <w:tcPr>
            <w:tcW w:w="489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Weighted average shares used to compute net loss per share:</w:t>
            </w:r>
          </w:p>
        </w:tc>
        <w:tc>
          <w:tcPr>
            <w:tcW w:w="60" w:type="dxa"/>
            <w:tcBorders/>
            <w:shd w:fill="CCEEFF" w:val="clear"/>
            <w:vAlign w:val="center"/>
          </w:tcPr>
          <w:p>
            <w:pPr>
              <w:pStyle w:val="TableContents"/>
              <w:spacing w:before="0" w:after="283"/>
              <w:ind w:left="0" w:right="0" w:hanging="0"/>
              <w:rPr/>
            </w:pPr>
            <w:r>
              <w:rPr/>
              <w:t> </w:t>
            </w:r>
          </w:p>
        </w:tc>
        <w:tc>
          <w:tcPr>
            <w:tcW w:w="1213" w:type="dxa"/>
            <w:gridSpan w:val="2"/>
            <w:tcBorders/>
            <w:shd w:fill="CCEEFF" w:val="clear"/>
            <w:vAlign w:val="center"/>
          </w:tcPr>
          <w:p>
            <w:pPr>
              <w:pStyle w:val="TableContents"/>
              <w:spacing w:before="0" w:after="0"/>
              <w:ind w:left="0" w:right="0" w:hanging="0"/>
              <w:rPr>
                <w:caps w:val="false"/>
                <w:smallCaps w:val="false"/>
              </w:rPr>
            </w:pPr>
            <w:r>
              <w:rPr>
                <w:caps w:val="false"/>
                <w:smallCaps w:val="false"/>
              </w:rPr>
              <w:t>​</w:t>
            </w:r>
          </w:p>
        </w:tc>
        <w:tc>
          <w:tcPr>
            <w:tcW w:w="90" w:type="dxa"/>
            <w:tcBorders/>
            <w:shd w:fill="CCEEFF" w:val="clear"/>
            <w:vAlign w:val="center"/>
          </w:tcPr>
          <w:p>
            <w:pPr>
              <w:pStyle w:val="TableContents"/>
              <w:spacing w:before="0" w:after="283"/>
              <w:rPr/>
            </w:pPr>
            <w:r>
              <w:rPr/>
              <w:t> </w:t>
            </w:r>
          </w:p>
        </w:tc>
        <w:tc>
          <w:tcPr>
            <w:tcW w:w="67" w:type="dxa"/>
            <w:tcBorders/>
            <w:shd w:fill="CCEEFF" w:val="clear"/>
            <w:vAlign w:val="center"/>
          </w:tcPr>
          <w:p>
            <w:pPr>
              <w:pStyle w:val="TableContents"/>
              <w:spacing w:before="0" w:after="283"/>
              <w:ind w:left="0" w:right="0" w:hanging="0"/>
              <w:rPr/>
            </w:pPr>
            <w:r>
              <w:rPr/>
              <w:t> </w:t>
            </w:r>
          </w:p>
        </w:tc>
        <w:tc>
          <w:tcPr>
            <w:tcW w:w="1213" w:type="dxa"/>
            <w:gridSpan w:val="2"/>
            <w:tcBorders/>
            <w:shd w:fill="CCEEFF" w:val="clear"/>
            <w:vAlign w:val="center"/>
          </w:tcPr>
          <w:p>
            <w:pPr>
              <w:pStyle w:val="TableContents"/>
              <w:spacing w:before="0" w:after="0"/>
              <w:ind w:left="0" w:right="0" w:hanging="0"/>
              <w:rPr>
                <w:caps w:val="false"/>
                <w:smallCaps w:val="false"/>
              </w:rPr>
            </w:pPr>
            <w:r>
              <w:rPr>
                <w:caps w:val="false"/>
                <w:smallCaps w:val="false"/>
              </w:rPr>
              <w:t>​</w:t>
            </w:r>
          </w:p>
        </w:tc>
        <w:tc>
          <w:tcPr>
            <w:tcW w:w="80" w:type="dxa"/>
            <w:tcBorders/>
            <w:shd w:fill="CCEEFF" w:val="clear"/>
            <w:vAlign w:val="center"/>
          </w:tcPr>
          <w:p>
            <w:pPr>
              <w:pStyle w:val="TableContents"/>
              <w:spacing w:before="0" w:after="283"/>
              <w:rPr/>
            </w:pPr>
            <w:r>
              <w:rPr/>
              <w:t> </w:t>
            </w:r>
          </w:p>
        </w:tc>
      </w:tr>
      <w:tr>
        <w:trPr/>
        <w:tc>
          <w:tcPr>
            <w:tcW w:w="4895"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Basic</w:t>
            </w:r>
          </w:p>
        </w:tc>
        <w:tc>
          <w:tcPr>
            <w:tcW w:w="60" w:type="dxa"/>
            <w:tcBorders/>
            <w:shd w:fill="FFFFFF" w:val="clear"/>
            <w:vAlign w:val="center"/>
          </w:tcPr>
          <w:p>
            <w:pPr>
              <w:pStyle w:val="TableContents"/>
              <w:spacing w:before="0" w:after="283"/>
              <w:rPr/>
            </w:pPr>
            <w:r>
              <w:rPr/>
              <w:t> </w:t>
            </w:r>
          </w:p>
        </w:tc>
        <w:tc>
          <w:tcPr>
            <w:tcW w:w="141" w:type="dxa"/>
            <w:tcBorders/>
            <w:shd w:fill="FFFFFF" w:val="clear"/>
            <w:vAlign w:val="center"/>
          </w:tcPr>
          <w:p>
            <w:pPr>
              <w:pStyle w:val="TableContents"/>
              <w:spacing w:before="0" w:after="283"/>
              <w:ind w:left="0" w:right="0" w:hanging="0"/>
              <w:rPr/>
            </w:pPr>
            <w:r>
              <w:rPr/>
              <w:t> </w:t>
            </w:r>
          </w:p>
        </w:tc>
        <w:tc>
          <w:tcPr>
            <w:tcW w:w="1072"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28,871,857</w:t>
            </w:r>
          </w:p>
        </w:tc>
        <w:tc>
          <w:tcPr>
            <w:tcW w:w="90" w:type="dxa"/>
            <w:tcBorders/>
            <w:shd w:fill="FFFFFF" w:val="clear"/>
            <w:vAlign w:val="center"/>
          </w:tcPr>
          <w:p>
            <w:pPr>
              <w:pStyle w:val="TableContents"/>
              <w:spacing w:before="0" w:after="283"/>
              <w:rPr/>
            </w:pPr>
            <w:r>
              <w:rPr/>
              <w:t> </w:t>
            </w:r>
          </w:p>
        </w:tc>
        <w:tc>
          <w:tcPr>
            <w:tcW w:w="67" w:type="dxa"/>
            <w:tcBorders/>
            <w:shd w:fill="FFFFFF" w:val="clear"/>
            <w:vAlign w:val="center"/>
          </w:tcPr>
          <w:p>
            <w:pPr>
              <w:pStyle w:val="TableContents"/>
              <w:spacing w:before="0" w:after="283"/>
              <w:rPr/>
            </w:pPr>
            <w:r>
              <w:rPr/>
              <w:t> </w:t>
            </w:r>
          </w:p>
        </w:tc>
        <w:tc>
          <w:tcPr>
            <w:tcW w:w="141" w:type="dxa"/>
            <w:tcBorders/>
            <w:shd w:fill="FFFFFF" w:val="clear"/>
            <w:vAlign w:val="center"/>
          </w:tcPr>
          <w:p>
            <w:pPr>
              <w:pStyle w:val="TableContents"/>
              <w:spacing w:before="0" w:after="283"/>
              <w:ind w:left="0" w:right="0" w:hanging="0"/>
              <w:rPr/>
            </w:pPr>
            <w:r>
              <w:rPr/>
              <w:t> </w:t>
            </w:r>
          </w:p>
        </w:tc>
        <w:tc>
          <w:tcPr>
            <w:tcW w:w="1072"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27,463,321</w:t>
            </w:r>
          </w:p>
        </w:tc>
        <w:tc>
          <w:tcPr>
            <w:tcW w:w="80" w:type="dxa"/>
            <w:tcBorders/>
            <w:shd w:fill="FFFFFF" w:val="clear"/>
            <w:vAlign w:val="center"/>
          </w:tcPr>
          <w:p>
            <w:pPr>
              <w:pStyle w:val="TableContents"/>
              <w:spacing w:before="0" w:after="283"/>
              <w:rPr/>
            </w:pPr>
            <w:r>
              <w:rPr/>
              <w:t> </w:t>
            </w:r>
          </w:p>
        </w:tc>
      </w:tr>
      <w:tr>
        <w:trPr/>
        <w:tc>
          <w:tcPr>
            <w:tcW w:w="489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Diluted</w:t>
            </w:r>
          </w:p>
        </w:tc>
        <w:tc>
          <w:tcPr>
            <w:tcW w:w="60" w:type="dxa"/>
            <w:tcBorders/>
            <w:shd w:fill="CCEEFF" w:val="clear"/>
            <w:vAlign w:val="center"/>
          </w:tcPr>
          <w:p>
            <w:pPr>
              <w:pStyle w:val="TableContents"/>
              <w:spacing w:before="0" w:after="283"/>
              <w:rPr/>
            </w:pPr>
            <w:r>
              <w:rPr/>
              <w:t> </w:t>
            </w:r>
          </w:p>
        </w:tc>
        <w:tc>
          <w:tcPr>
            <w:tcW w:w="141" w:type="dxa"/>
            <w:tcBorders/>
            <w:shd w:fill="CCEEFF" w:val="clear"/>
            <w:vAlign w:val="center"/>
          </w:tcPr>
          <w:p>
            <w:pPr>
              <w:pStyle w:val="TableContents"/>
              <w:spacing w:before="0" w:after="283"/>
              <w:ind w:left="0" w:right="0" w:hanging="0"/>
              <w:rPr/>
            </w:pPr>
            <w:r>
              <w:rPr/>
              <w:t> </w:t>
            </w:r>
          </w:p>
        </w:tc>
        <w:tc>
          <w:tcPr>
            <w:tcW w:w="1072"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28,871,857</w:t>
            </w:r>
          </w:p>
        </w:tc>
        <w:tc>
          <w:tcPr>
            <w:tcW w:w="90" w:type="dxa"/>
            <w:tcBorders/>
            <w:shd w:fill="CCEEFF" w:val="clear"/>
            <w:vAlign w:val="center"/>
          </w:tcPr>
          <w:p>
            <w:pPr>
              <w:pStyle w:val="TableContents"/>
              <w:spacing w:before="0" w:after="283"/>
              <w:rPr/>
            </w:pPr>
            <w:r>
              <w:rPr/>
              <w:t> </w:t>
            </w:r>
          </w:p>
        </w:tc>
        <w:tc>
          <w:tcPr>
            <w:tcW w:w="67" w:type="dxa"/>
            <w:tcBorders/>
            <w:shd w:fill="CCEEFF" w:val="clear"/>
            <w:vAlign w:val="center"/>
          </w:tcPr>
          <w:p>
            <w:pPr>
              <w:pStyle w:val="TableContents"/>
              <w:spacing w:before="0" w:after="283"/>
              <w:rPr/>
            </w:pPr>
            <w:r>
              <w:rPr/>
              <w:t> </w:t>
            </w:r>
          </w:p>
        </w:tc>
        <w:tc>
          <w:tcPr>
            <w:tcW w:w="141" w:type="dxa"/>
            <w:tcBorders/>
            <w:shd w:fill="CCEEFF" w:val="clear"/>
            <w:vAlign w:val="center"/>
          </w:tcPr>
          <w:p>
            <w:pPr>
              <w:pStyle w:val="TableContents"/>
              <w:spacing w:before="0" w:after="283"/>
              <w:ind w:left="0" w:right="0" w:hanging="0"/>
              <w:rPr/>
            </w:pPr>
            <w:r>
              <w:rPr/>
              <w:t> </w:t>
            </w:r>
          </w:p>
        </w:tc>
        <w:tc>
          <w:tcPr>
            <w:tcW w:w="1072"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27,463,321</w:t>
            </w:r>
          </w:p>
        </w:tc>
        <w:tc>
          <w:tcPr>
            <w:tcW w:w="80" w:type="dxa"/>
            <w:tcBorders/>
            <w:shd w:fill="CCEEFF"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spacing w:before="0" w:after="0"/>
        <w:ind w:left="0" w:right="0" w:hanging="0"/>
        <w:jc w:val="center"/>
        <w:rPr>
          <w:rFonts w:ascii="Times New Roman;Times;serif" w:hAnsi="Times New Roman;Times;serif"/>
          <w:i/>
          <w:sz w:val="20"/>
        </w:rPr>
      </w:pPr>
      <w:r>
        <w:rPr>
          <w:rFonts w:ascii="Times New Roman;Times;serif" w:hAnsi="Times New Roman;Times;serif"/>
          <w:i/>
          <w:sz w:val="20"/>
        </w:rPr>
        <w:t>The accompanying notes are an integral part of these condensed consolidated financial statements.</w:t>
      </w:r>
    </w:p>
    <w:p>
      <w:pPr>
        <w:pStyle w:val="TextBody"/>
        <w:spacing w:before="0" w:after="0"/>
        <w:ind w:left="0" w:right="0" w:hanging="0"/>
        <w:jc w:val="left"/>
        <w:rPr/>
      </w:pPr>
      <w:r>
        <w:rPr/>
        <w:t>​</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rPr/>
      </w:pPr>
      <w:r>
        <w:rPr/>
        <w:t xml:space="preserve">  </w:t>
      </w:r>
    </w:p>
    <w:p>
      <w:pPr>
        <w:pStyle w:val="TextBody"/>
        <w:spacing w:before="0" w:after="0"/>
        <w:ind w:left="0" w:right="0" w:hanging="0"/>
        <w:jc w:val="center"/>
        <w:rPr>
          <w:rFonts w:ascii="Times New Roman;Times;serif" w:hAnsi="Times New Roman;Times;serif"/>
          <w:b/>
          <w:sz w:val="20"/>
        </w:rPr>
      </w:pPr>
      <w:bookmarkStart w:id="7" w:name="compincome"/>
      <w:bookmarkEnd w:id="7"/>
      <w:r>
        <w:rPr>
          <w:rFonts w:ascii="Times New Roman;Times;serif" w:hAnsi="Times New Roman;Times;serif"/>
          <w:b/>
          <w:sz w:val="20"/>
        </w:rPr>
        <w:t>Applied Optoelectronics, Inc. and Subsidiaries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COMPREHENSIVE INCOME (LOSS)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w:t>
      </w:r>
    </w:p>
    <w:p>
      <w:pPr>
        <w:pStyle w:val="TextBody"/>
        <w:spacing w:before="0" w:after="0"/>
        <w:ind w:left="0" w:right="0" w:hanging="0"/>
        <w:jc w:val="center"/>
        <w:rPr/>
      </w:pPr>
      <w:r>
        <w:rPr/>
        <w:t>​</w:t>
      </w:r>
    </w:p>
    <w:tbl>
      <w:tblPr>
        <w:tblW w:w="7168" w:type="dxa"/>
        <w:jc w:val="left"/>
        <w:tblInd w:w="0" w:type="dxa"/>
        <w:tblCellMar>
          <w:top w:w="0" w:type="dxa"/>
          <w:left w:w="0" w:type="dxa"/>
          <w:bottom w:w="0" w:type="dxa"/>
          <w:right w:w="0" w:type="dxa"/>
        </w:tblCellMar>
      </w:tblPr>
      <w:tblGrid>
        <w:gridCol w:w="4445"/>
        <w:gridCol w:w="60"/>
        <w:gridCol w:w="191"/>
        <w:gridCol w:w="994"/>
        <w:gridCol w:w="122"/>
        <w:gridCol w:w="91"/>
        <w:gridCol w:w="191"/>
        <w:gridCol w:w="994"/>
        <w:gridCol w:w="80"/>
      </w:tblGrid>
      <w:tr>
        <w:trPr/>
        <w:tc>
          <w:tcPr>
            <w:tcW w:w="4445" w:type="dxa"/>
            <w:tcBorders/>
            <w:shd w:fill="FFFFFF" w:val="clear"/>
            <w:vAlign w:val="center"/>
          </w:tcPr>
          <w:p>
            <w:pPr>
              <w:pStyle w:val="TableContents"/>
              <w:spacing w:before="0" w:after="0"/>
              <w:rPr>
                <w:caps w:val="false"/>
                <w:smallCaps w:val="false"/>
              </w:rPr>
            </w:pPr>
            <w:r>
              <w:rPr>
                <w:caps w:val="false"/>
                <w:smallCaps w:val="false"/>
              </w:rPr>
              <w:t>​</w:t>
            </w:r>
          </w:p>
        </w:tc>
        <w:tc>
          <w:tcPr>
            <w:tcW w:w="60" w:type="dxa"/>
            <w:tcBorders/>
            <w:shd w:fill="FFFFFF" w:val="clear"/>
            <w:vAlign w:val="center"/>
          </w:tcPr>
          <w:p>
            <w:pPr>
              <w:pStyle w:val="TableContents"/>
              <w:spacing w:before="0" w:after="283"/>
              <w:ind w:left="0" w:right="0" w:hanging="0"/>
              <w:rPr/>
            </w:pPr>
            <w:r>
              <w:rPr/>
              <w:t> </w:t>
            </w:r>
          </w:p>
        </w:tc>
        <w:tc>
          <w:tcPr>
            <w:tcW w:w="2583"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Three months ended March 31,</w:t>
            </w:r>
          </w:p>
        </w:tc>
        <w:tc>
          <w:tcPr>
            <w:tcW w:w="80" w:type="dxa"/>
            <w:tcBorders/>
            <w:shd w:fill="FFFFFF" w:val="clear"/>
            <w:vAlign w:val="center"/>
          </w:tcPr>
          <w:p>
            <w:pPr>
              <w:pStyle w:val="TableContents"/>
              <w:spacing w:before="0" w:after="283"/>
              <w:rPr/>
            </w:pPr>
            <w:r>
              <w:rPr/>
              <w:t> </w:t>
            </w:r>
          </w:p>
        </w:tc>
      </w:tr>
      <w:tr>
        <w:trPr/>
        <w:tc>
          <w:tcPr>
            <w:tcW w:w="4445" w:type="dxa"/>
            <w:tcBorders/>
            <w:shd w:fill="FFFFFF" w:val="clear"/>
            <w:vAlign w:val="center"/>
          </w:tcPr>
          <w:p>
            <w:pPr>
              <w:pStyle w:val="TableContents"/>
              <w:spacing w:before="0" w:after="0"/>
              <w:rPr>
                <w:caps w:val="false"/>
                <w:smallCaps w:val="false"/>
              </w:rPr>
            </w:pPr>
            <w:r>
              <w:rPr>
                <w:caps w:val="false"/>
                <w:smallCaps w:val="false"/>
              </w:rPr>
              <w:t>​</w:t>
            </w:r>
          </w:p>
        </w:tc>
        <w:tc>
          <w:tcPr>
            <w:tcW w:w="60" w:type="dxa"/>
            <w:tcBorders/>
            <w:shd w:fill="FFFFFF" w:val="clear"/>
            <w:vAlign w:val="center"/>
          </w:tcPr>
          <w:p>
            <w:pPr>
              <w:pStyle w:val="TableContents"/>
              <w:spacing w:before="0" w:after="283"/>
              <w:ind w:left="0" w:right="0" w:hanging="0"/>
              <w:rPr/>
            </w:pPr>
            <w:r>
              <w:rPr/>
              <w:t> </w:t>
            </w:r>
          </w:p>
        </w:tc>
        <w:tc>
          <w:tcPr>
            <w:tcW w:w="118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2023</w:t>
            </w:r>
          </w:p>
        </w:tc>
        <w:tc>
          <w:tcPr>
            <w:tcW w:w="122" w:type="dxa"/>
            <w:tcBorders/>
            <w:shd w:fill="FFFFFF" w:val="clear"/>
            <w:vAlign w:val="center"/>
          </w:tcPr>
          <w:p>
            <w:pPr>
              <w:pStyle w:val="TableContents"/>
              <w:spacing w:before="0" w:after="283"/>
              <w:rPr/>
            </w:pPr>
            <w:r>
              <w:rPr/>
              <w:t> </w:t>
            </w:r>
          </w:p>
        </w:tc>
        <w:tc>
          <w:tcPr>
            <w:tcW w:w="91" w:type="dxa"/>
            <w:tcBorders/>
            <w:shd w:fill="FFFFFF" w:val="clear"/>
            <w:vAlign w:val="center"/>
          </w:tcPr>
          <w:p>
            <w:pPr>
              <w:pStyle w:val="TableContents"/>
              <w:spacing w:before="0" w:after="283"/>
              <w:ind w:left="0" w:right="0" w:hanging="0"/>
              <w:rPr/>
            </w:pPr>
            <w:r>
              <w:rPr/>
              <w:t> </w:t>
            </w:r>
          </w:p>
        </w:tc>
        <w:tc>
          <w:tcPr>
            <w:tcW w:w="118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2022</w:t>
            </w:r>
          </w:p>
        </w:tc>
        <w:tc>
          <w:tcPr>
            <w:tcW w:w="80" w:type="dxa"/>
            <w:tcBorders/>
            <w:shd w:fill="FFFFFF" w:val="clear"/>
            <w:vAlign w:val="center"/>
          </w:tcPr>
          <w:p>
            <w:pPr>
              <w:pStyle w:val="TableContents"/>
              <w:spacing w:before="0" w:after="283"/>
              <w:rPr/>
            </w:pPr>
            <w:r>
              <w:rPr/>
              <w:t> </w:t>
            </w:r>
          </w:p>
        </w:tc>
      </w:tr>
      <w:tr>
        <w:trPr/>
        <w:tc>
          <w:tcPr>
            <w:tcW w:w="444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CCEEFF" w:val="clear"/>
            <w:vAlign w:val="center"/>
          </w:tcPr>
          <w:p>
            <w:pPr>
              <w:pStyle w:val="TableContents"/>
              <w:spacing w:before="0" w:after="283"/>
              <w:ind w:left="0" w:right="0" w:hanging="0"/>
              <w:rPr/>
            </w:pPr>
            <w:r>
              <w:rPr/>
              <w:t> </w:t>
            </w:r>
          </w:p>
        </w:tc>
        <w:tc>
          <w:tcPr>
            <w:tcW w:w="191"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94"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(16,292</w:t>
            </w:r>
          </w:p>
        </w:tc>
        <w:tc>
          <w:tcPr>
            <w:tcW w:w="122"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91" w:type="dxa"/>
            <w:tcBorders/>
            <w:shd w:fill="CCEEFF" w:val="clear"/>
            <w:vAlign w:val="center"/>
          </w:tcPr>
          <w:p>
            <w:pPr>
              <w:pStyle w:val="TableContents"/>
              <w:spacing w:before="0" w:after="283"/>
              <w:ind w:left="0" w:right="0" w:hanging="0"/>
              <w:rPr/>
            </w:pPr>
            <w:r>
              <w:rPr/>
              <w:t> </w:t>
            </w:r>
          </w:p>
        </w:tc>
        <w:tc>
          <w:tcPr>
            <w:tcW w:w="191"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94"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(16,062</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4445"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Gain (Loss) on foreign currency translation adjustment</w:t>
            </w:r>
          </w:p>
        </w:tc>
        <w:tc>
          <w:tcPr>
            <w:tcW w:w="60" w:type="dxa"/>
            <w:tcBorders/>
            <w:shd w:fill="FFFFFF" w:val="clear"/>
            <w:vAlign w:val="center"/>
          </w:tcPr>
          <w:p>
            <w:pPr>
              <w:pStyle w:val="TableContents"/>
              <w:spacing w:before="0" w:after="283"/>
              <w:rPr/>
            </w:pPr>
            <w:r>
              <w:rPr/>
              <w:t> </w:t>
            </w:r>
          </w:p>
        </w:tc>
        <w:tc>
          <w:tcPr>
            <w:tcW w:w="191"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994"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1,640</w:t>
            </w:r>
          </w:p>
        </w:tc>
        <w:tc>
          <w:tcPr>
            <w:tcW w:w="122" w:type="dxa"/>
            <w:tcBorders/>
            <w:shd w:fill="FFFFFF" w:val="clear"/>
            <w:vAlign w:val="center"/>
          </w:tcPr>
          <w:p>
            <w:pPr>
              <w:pStyle w:val="TableContents"/>
              <w:spacing w:before="0" w:after="283"/>
              <w:rPr/>
            </w:pPr>
            <w:r>
              <w:rPr/>
              <w:t> </w:t>
            </w:r>
          </w:p>
        </w:tc>
        <w:tc>
          <w:tcPr>
            <w:tcW w:w="91" w:type="dxa"/>
            <w:tcBorders/>
            <w:shd w:fill="FFFFFF" w:val="clear"/>
            <w:vAlign w:val="center"/>
          </w:tcPr>
          <w:p>
            <w:pPr>
              <w:pStyle w:val="TableContents"/>
              <w:spacing w:before="0" w:after="283"/>
              <w:rPr/>
            </w:pPr>
            <w:r>
              <w:rPr/>
              <w:t> </w:t>
            </w:r>
          </w:p>
        </w:tc>
        <w:tc>
          <w:tcPr>
            <w:tcW w:w="191"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994"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(1,262</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444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Comprehensive loss</w:t>
            </w:r>
          </w:p>
        </w:tc>
        <w:tc>
          <w:tcPr>
            <w:tcW w:w="60" w:type="dxa"/>
            <w:tcBorders/>
            <w:shd w:fill="CCEEFF" w:val="clear"/>
            <w:vAlign w:val="center"/>
          </w:tcPr>
          <w:p>
            <w:pPr>
              <w:pStyle w:val="TableContents"/>
              <w:spacing w:before="0" w:after="283"/>
              <w:ind w:left="0" w:right="0" w:hanging="0"/>
              <w:rPr/>
            </w:pPr>
            <w:r>
              <w:rPr/>
              <w:t> </w:t>
            </w:r>
          </w:p>
        </w:tc>
        <w:tc>
          <w:tcPr>
            <w:tcW w:w="191"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94"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(14,652</w:t>
            </w:r>
          </w:p>
        </w:tc>
        <w:tc>
          <w:tcPr>
            <w:tcW w:w="122"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91" w:type="dxa"/>
            <w:tcBorders/>
            <w:shd w:fill="CCEEFF" w:val="clear"/>
            <w:vAlign w:val="center"/>
          </w:tcPr>
          <w:p>
            <w:pPr>
              <w:pStyle w:val="TableContents"/>
              <w:spacing w:before="0" w:after="283"/>
              <w:ind w:left="0" w:right="0" w:hanging="0"/>
              <w:rPr/>
            </w:pPr>
            <w:r>
              <w:rPr/>
              <w:t> </w:t>
            </w:r>
          </w:p>
        </w:tc>
        <w:tc>
          <w:tcPr>
            <w:tcW w:w="191"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94"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(17,324</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bl>
    <w:p>
      <w:pPr>
        <w:pStyle w:val="TextBody"/>
        <w:spacing w:before="0" w:after="0"/>
        <w:ind w:left="0" w:right="0" w:hanging="0"/>
        <w:jc w:val="left"/>
        <w:rPr/>
      </w:pPr>
      <w:r>
        <w:rPr/>
        <w:t>​</w:t>
      </w:r>
    </w:p>
    <w:p>
      <w:pPr>
        <w:pStyle w:val="TextBody"/>
        <w:spacing w:before="0" w:after="0"/>
        <w:ind w:left="0" w:right="0" w:hanging="0"/>
        <w:jc w:val="center"/>
        <w:rPr>
          <w:rFonts w:ascii="Times New Roman;Times;serif" w:hAnsi="Times New Roman;Times;serif"/>
          <w:i/>
          <w:sz w:val="20"/>
        </w:rPr>
      </w:pPr>
      <w:r>
        <w:rPr>
          <w:rFonts w:ascii="Times New Roman;Times;serif" w:hAnsi="Times New Roman;Times;serif"/>
          <w:i/>
          <w:sz w:val="20"/>
        </w:rPr>
        <w:t>The accompanying notes are an integral part of these condensed consolidated financial statements.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5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rPr/>
      </w:pPr>
      <w:r>
        <w:rPr/>
        <w:t xml:space="preserve">  </w:t>
      </w:r>
    </w:p>
    <w:p>
      <w:pPr>
        <w:pStyle w:val="TextBody"/>
        <w:spacing w:before="0" w:after="0"/>
        <w:ind w:left="0" w:right="0" w:hanging="0"/>
        <w:jc w:val="center"/>
        <w:rPr>
          <w:rFonts w:ascii="Times New Roman;Times;serif" w:hAnsi="Times New Roman;Times;serif"/>
          <w:b/>
          <w:sz w:val="20"/>
        </w:rPr>
      </w:pPr>
      <w:bookmarkStart w:id="8" w:name="eq"/>
      <w:bookmarkEnd w:id="8"/>
      <w:r>
        <w:rPr>
          <w:rFonts w:ascii="Times New Roman;Times;serif" w:hAnsi="Times New Roman;Times;serif"/>
          <w:b/>
          <w:sz w:val="20"/>
        </w:rPr>
        <w:t>Applied Optoelectronics, Inc. and Subsidiaries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CONDENSED CONSOLIDATED STATEMENTS OF STOCKHOLDERS’ EQUITY </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 March 31, 2023 and 2022</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w:t>
      </w:r>
    </w:p>
    <w:p>
      <w:pPr>
        <w:pStyle w:val="TextBody"/>
        <w:spacing w:before="0" w:after="0"/>
        <w:ind w:left="0" w:right="0" w:hanging="0"/>
        <w:jc w:val="left"/>
        <w:rPr/>
      </w:pPr>
      <w:r>
        <w:rPr/>
        <w:t>​</w:t>
      </w:r>
    </w:p>
    <w:tbl>
      <w:tblPr>
        <w:tblW w:w="10205" w:type="dxa"/>
        <w:jc w:val="left"/>
        <w:tblInd w:w="0" w:type="dxa"/>
        <w:tblCellMar>
          <w:top w:w="0" w:type="dxa"/>
          <w:left w:w="0" w:type="dxa"/>
          <w:bottom w:w="0" w:type="dxa"/>
          <w:right w:w="0" w:type="dxa"/>
        </w:tblCellMar>
      </w:tblPr>
      <w:tblGrid>
        <w:gridCol w:w="3464"/>
        <w:gridCol w:w="128"/>
        <w:gridCol w:w="554"/>
        <w:gridCol w:w="186"/>
        <w:gridCol w:w="440"/>
        <w:gridCol w:w="72"/>
        <w:gridCol w:w="610"/>
        <w:gridCol w:w="184"/>
        <w:gridCol w:w="436"/>
        <w:gridCol w:w="120"/>
        <w:gridCol w:w="665"/>
        <w:gridCol w:w="80"/>
        <w:gridCol w:w="228"/>
        <w:gridCol w:w="887"/>
        <w:gridCol w:w="139"/>
        <w:gridCol w:w="841"/>
        <w:gridCol w:w="80"/>
        <w:gridCol w:w="153"/>
        <w:gridCol w:w="854"/>
        <w:gridCol w:w="84"/>
      </w:tblGrid>
      <w:tr>
        <w:trPr/>
        <w:tc>
          <w:tcPr>
            <w:tcW w:w="3464" w:type="dxa"/>
            <w:tcBorders/>
            <w:shd w:fill="FFFFFF" w:val="clear"/>
            <w:vAlign w:val="center"/>
          </w:tcPr>
          <w:p>
            <w:pPr>
              <w:pStyle w:val="TableContents"/>
              <w:spacing w:before="0" w:after="283"/>
              <w:ind w:left="0" w:right="0" w:hanging="0"/>
              <w:rPr/>
            </w:pPr>
            <w:r>
              <w:rPr/>
              <w:t> </w:t>
            </w:r>
          </w:p>
        </w:tc>
        <w:tc>
          <w:tcPr>
            <w:tcW w:w="682" w:type="dxa"/>
            <w:gridSpan w:val="2"/>
            <w:tcBorders/>
            <w:shd w:fill="FFFFFF" w:val="clear"/>
            <w:vAlign w:val="center"/>
          </w:tcPr>
          <w:p>
            <w:pPr>
              <w:pStyle w:val="TableContents"/>
              <w:spacing w:before="0" w:after="0"/>
              <w:ind w:left="0" w:right="0" w:hanging="0"/>
              <w:rPr>
                <w:caps w:val="false"/>
                <w:smallCaps w:val="false"/>
              </w:rPr>
            </w:pPr>
            <w:r>
              <w:rPr>
                <w:caps w:val="false"/>
                <w:smallCaps w:val="false"/>
              </w:rPr>
              <w:t>​</w:t>
            </w:r>
          </w:p>
        </w:tc>
        <w:tc>
          <w:tcPr>
            <w:tcW w:w="626" w:type="dxa"/>
            <w:gridSpan w:val="2"/>
            <w:tcBorders/>
            <w:shd w:fill="FFFFFF" w:val="clear"/>
            <w:vAlign w:val="center"/>
          </w:tcPr>
          <w:p>
            <w:pPr>
              <w:pStyle w:val="TableContents"/>
              <w:spacing w:before="0" w:after="0"/>
              <w:ind w:left="0" w:right="0" w:hanging="0"/>
              <w:rPr>
                <w:caps w:val="false"/>
                <w:smallCaps w:val="false"/>
              </w:rPr>
            </w:pPr>
            <w:r>
              <w:rPr>
                <w:caps w:val="false"/>
                <w:smallCaps w:val="false"/>
              </w:rPr>
              <w:t>​</w:t>
            </w:r>
          </w:p>
        </w:tc>
        <w:tc>
          <w:tcPr>
            <w:tcW w:w="682" w:type="dxa"/>
            <w:gridSpan w:val="2"/>
            <w:tcBorders/>
            <w:shd w:fill="FFFFFF" w:val="clear"/>
            <w:vAlign w:val="center"/>
          </w:tcPr>
          <w:p>
            <w:pPr>
              <w:pStyle w:val="TableContents"/>
              <w:spacing w:before="0" w:after="0"/>
              <w:ind w:left="0" w:right="0" w:hanging="0"/>
              <w:rPr>
                <w:caps w:val="false"/>
                <w:smallCaps w:val="false"/>
              </w:rPr>
            </w:pPr>
            <w:r>
              <w:rPr>
                <w:caps w:val="false"/>
                <w:smallCaps w:val="false"/>
              </w:rPr>
              <w:t>​</w:t>
            </w:r>
          </w:p>
        </w:tc>
        <w:tc>
          <w:tcPr>
            <w:tcW w:w="620" w:type="dxa"/>
            <w:gridSpan w:val="2"/>
            <w:tcBorders/>
            <w:shd w:fill="FFFFFF" w:val="clear"/>
            <w:vAlign w:val="center"/>
          </w:tcPr>
          <w:p>
            <w:pPr>
              <w:pStyle w:val="TableContents"/>
              <w:spacing w:before="0" w:after="0"/>
              <w:ind w:left="0" w:right="0" w:hanging="0"/>
              <w:rPr>
                <w:caps w:val="false"/>
                <w:smallCaps w:val="false"/>
              </w:rPr>
            </w:pPr>
            <w:r>
              <w:rPr>
                <w:caps w:val="false"/>
                <w:smallCaps w:val="false"/>
              </w:rPr>
              <w:t>​</w:t>
            </w:r>
          </w:p>
        </w:tc>
        <w:tc>
          <w:tcPr>
            <w:tcW w:w="785" w:type="dxa"/>
            <w:gridSpan w:val="2"/>
            <w:tcBorders/>
            <w:shd w:fill="FFFFFF" w:val="clear"/>
            <w:vAlign w:val="center"/>
          </w:tcPr>
          <w:p>
            <w:pPr>
              <w:pStyle w:val="TableContents"/>
              <w:spacing w:before="0" w:after="0"/>
              <w:ind w:left="0" w:right="0" w:hanging="0"/>
              <w:rPr>
                <w:caps w:val="false"/>
                <w:smallCaps w:val="false"/>
              </w:rPr>
            </w:pPr>
            <w:r>
              <w:rPr>
                <w:caps w:val="false"/>
                <w:smallCaps w:val="false"/>
              </w:rPr>
              <w:t>​</w:t>
            </w:r>
          </w:p>
        </w:tc>
        <w:tc>
          <w:tcPr>
            <w:tcW w:w="80" w:type="dxa"/>
            <w:tcBorders/>
            <w:shd w:fill="FFFFFF" w:val="clear"/>
            <w:vAlign w:val="center"/>
          </w:tcPr>
          <w:p>
            <w:pPr>
              <w:pStyle w:val="TableContents"/>
              <w:spacing w:before="0" w:after="283"/>
              <w:ind w:left="0" w:right="0" w:hanging="0"/>
              <w:rPr/>
            </w:pPr>
            <w:r>
              <w:rPr/>
              <w:t> </w:t>
            </w:r>
          </w:p>
        </w:tc>
        <w:tc>
          <w:tcPr>
            <w:tcW w:w="1115"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caps w:val="false"/>
                <w:smallCaps w:val="false"/>
                <w:sz w:val="18"/>
              </w:rPr>
              <w:t>Accumulated</w:t>
            </w:r>
          </w:p>
        </w:tc>
        <w:tc>
          <w:tcPr>
            <w:tcW w:w="980" w:type="dxa"/>
            <w:gridSpan w:val="2"/>
            <w:tcBorders/>
            <w:shd w:fill="FFFFFF" w:val="clear"/>
            <w:vAlign w:val="center"/>
          </w:tcPr>
          <w:p>
            <w:pPr>
              <w:pStyle w:val="TableContents"/>
              <w:spacing w:before="0" w:after="0"/>
              <w:ind w:left="0" w:right="0" w:hanging="0"/>
              <w:rPr>
                <w:caps w:val="false"/>
                <w:smallCaps w:val="false"/>
              </w:rPr>
            </w:pPr>
            <w:r>
              <w:rPr>
                <w:caps w:val="false"/>
                <w:smallCaps w:val="false"/>
              </w:rPr>
              <w:t>​</w:t>
            </w:r>
          </w:p>
        </w:tc>
        <w:tc>
          <w:tcPr>
            <w:tcW w:w="80" w:type="dxa"/>
            <w:tcBorders/>
            <w:shd w:fill="FFFFFF" w:val="clear"/>
            <w:vAlign w:val="center"/>
          </w:tcPr>
          <w:p>
            <w:pPr>
              <w:pStyle w:val="TableContents"/>
              <w:spacing w:before="0" w:after="283"/>
              <w:ind w:left="0" w:right="0" w:hanging="0"/>
              <w:rPr/>
            </w:pPr>
            <w:r>
              <w:rPr/>
              <w:t> </w:t>
            </w:r>
          </w:p>
        </w:tc>
        <w:tc>
          <w:tcPr>
            <w:tcW w:w="1007" w:type="dxa"/>
            <w:gridSpan w:val="2"/>
            <w:tcBorders/>
            <w:shd w:fill="FFFFFF" w:val="clear"/>
            <w:vAlign w:val="center"/>
          </w:tcPr>
          <w:p>
            <w:pPr>
              <w:pStyle w:val="TableContents"/>
              <w:spacing w:before="0" w:after="0"/>
              <w:ind w:left="0" w:right="0" w:hanging="0"/>
              <w:rPr>
                <w:caps w:val="false"/>
                <w:smallCaps w:val="false"/>
              </w:rPr>
            </w:pPr>
            <w:r>
              <w:rPr>
                <w:caps w:val="false"/>
                <w:smallCaps w:val="false"/>
              </w:rPr>
              <w:t>​</w:t>
            </w:r>
          </w:p>
        </w:tc>
        <w:tc>
          <w:tcPr>
            <w:tcW w:w="84" w:type="dxa"/>
            <w:tcBorders/>
            <w:shd w:fill="FFFFFF" w:val="clear"/>
            <w:vAlign w:val="center"/>
          </w:tcPr>
          <w:p>
            <w:pPr>
              <w:pStyle w:val="TableContents"/>
              <w:spacing w:before="0" w:after="283"/>
              <w:rPr/>
            </w:pPr>
            <w:r>
              <w:rPr/>
              <w:t> </w:t>
            </w:r>
          </w:p>
        </w:tc>
      </w:tr>
      <w:tr>
        <w:trPr/>
        <w:tc>
          <w:tcPr>
            <w:tcW w:w="3464" w:type="dxa"/>
            <w:tcBorders/>
            <w:shd w:fill="FFFFFF" w:val="clear"/>
            <w:vAlign w:val="center"/>
          </w:tcPr>
          <w:p>
            <w:pPr>
              <w:pStyle w:val="TableContents"/>
              <w:spacing w:before="0" w:after="0"/>
              <w:ind w:left="0" w:right="0" w:hanging="0"/>
              <w:rPr>
                <w:caps w:val="false"/>
                <w:smallCaps w:val="false"/>
              </w:rPr>
            </w:pPr>
            <w:r>
              <w:rPr>
                <w:caps w:val="false"/>
                <w:smallCaps w:val="false"/>
              </w:rPr>
              <w:t>​</w:t>
            </w:r>
          </w:p>
        </w:tc>
        <w:tc>
          <w:tcPr>
            <w:tcW w:w="1308" w:type="dxa"/>
            <w:gridSpan w:val="4"/>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caps w:val="false"/>
                <w:smallCaps w:val="false"/>
                <w:sz w:val="18"/>
              </w:rPr>
              <w:t>Preferred Stock</w:t>
            </w:r>
          </w:p>
        </w:tc>
        <w:tc>
          <w:tcPr>
            <w:tcW w:w="1302" w:type="dxa"/>
            <w:gridSpan w:val="4"/>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caps w:val="false"/>
                <w:smallCaps w:val="false"/>
                <w:sz w:val="18"/>
              </w:rPr>
              <w:t>Common Stock</w:t>
            </w:r>
          </w:p>
        </w:tc>
        <w:tc>
          <w:tcPr>
            <w:tcW w:w="785"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caps w:val="false"/>
                <w:smallCaps w:val="false"/>
                <w:sz w:val="18"/>
              </w:rPr>
              <w:t>Additional</w:t>
            </w:r>
          </w:p>
        </w:tc>
        <w:tc>
          <w:tcPr>
            <w:tcW w:w="80" w:type="dxa"/>
            <w:tcBorders/>
            <w:shd w:fill="FFFFFF" w:val="clear"/>
            <w:vAlign w:val="center"/>
          </w:tcPr>
          <w:p>
            <w:pPr>
              <w:pStyle w:val="TableContents"/>
              <w:spacing w:before="0" w:after="283"/>
              <w:ind w:left="0" w:right="0" w:hanging="0"/>
              <w:rPr/>
            </w:pPr>
            <w:r>
              <w:rPr/>
              <w:t> </w:t>
            </w:r>
          </w:p>
        </w:tc>
        <w:tc>
          <w:tcPr>
            <w:tcW w:w="1115"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caps w:val="false"/>
                <w:smallCaps w:val="false"/>
                <w:sz w:val="18"/>
              </w:rPr>
              <w:t>other</w:t>
            </w:r>
          </w:p>
        </w:tc>
        <w:tc>
          <w:tcPr>
            <w:tcW w:w="980" w:type="dxa"/>
            <w:gridSpan w:val="2"/>
            <w:tcBorders/>
            <w:shd w:fill="FFFFFF" w:val="clear"/>
            <w:vAlign w:val="center"/>
          </w:tcPr>
          <w:p>
            <w:pPr>
              <w:pStyle w:val="TableContents"/>
              <w:spacing w:before="0" w:after="0"/>
              <w:ind w:left="0" w:right="0" w:hanging="0"/>
              <w:rPr>
                <w:caps w:val="false"/>
                <w:smallCaps w:val="false"/>
              </w:rPr>
            </w:pPr>
            <w:r>
              <w:rPr>
                <w:caps w:val="false"/>
                <w:smallCaps w:val="false"/>
              </w:rPr>
              <w:t>​</w:t>
            </w:r>
          </w:p>
        </w:tc>
        <w:tc>
          <w:tcPr>
            <w:tcW w:w="80" w:type="dxa"/>
            <w:tcBorders/>
            <w:shd w:fill="FFFFFF" w:val="clear"/>
            <w:vAlign w:val="center"/>
          </w:tcPr>
          <w:p>
            <w:pPr>
              <w:pStyle w:val="TableContents"/>
              <w:spacing w:before="0" w:after="283"/>
              <w:ind w:left="0" w:right="0" w:hanging="0"/>
              <w:rPr/>
            </w:pPr>
            <w:r>
              <w:rPr/>
              <w:t> </w:t>
            </w:r>
          </w:p>
        </w:tc>
        <w:tc>
          <w:tcPr>
            <w:tcW w:w="1007" w:type="dxa"/>
            <w:gridSpan w:val="2"/>
            <w:tcBorders/>
            <w:shd w:fill="FFFFFF" w:val="clear"/>
            <w:vAlign w:val="center"/>
          </w:tcPr>
          <w:p>
            <w:pPr>
              <w:pStyle w:val="TableContents"/>
              <w:spacing w:before="0" w:after="0"/>
              <w:ind w:left="0" w:right="0" w:hanging="0"/>
              <w:rPr>
                <w:caps w:val="false"/>
                <w:smallCaps w:val="false"/>
              </w:rPr>
            </w:pPr>
            <w:r>
              <w:rPr>
                <w:caps w:val="false"/>
                <w:smallCaps w:val="false"/>
              </w:rPr>
              <w:t>​</w:t>
            </w:r>
          </w:p>
        </w:tc>
        <w:tc>
          <w:tcPr>
            <w:tcW w:w="84" w:type="dxa"/>
            <w:tcBorders/>
            <w:shd w:fill="FFFFFF" w:val="clear"/>
            <w:vAlign w:val="center"/>
          </w:tcPr>
          <w:p>
            <w:pPr>
              <w:pStyle w:val="TableContents"/>
              <w:spacing w:before="0" w:after="283"/>
              <w:rPr/>
            </w:pPr>
            <w:r>
              <w:rPr/>
              <w:t> </w:t>
            </w:r>
          </w:p>
        </w:tc>
      </w:tr>
      <w:tr>
        <w:trPr/>
        <w:tc>
          <w:tcPr>
            <w:tcW w:w="3464" w:type="dxa"/>
            <w:tcBorders/>
            <w:shd w:fill="FFFFFF" w:val="clear"/>
            <w:vAlign w:val="center"/>
          </w:tcPr>
          <w:p>
            <w:pPr>
              <w:pStyle w:val="TableContents"/>
              <w:spacing w:before="0" w:after="0"/>
              <w:ind w:left="0" w:right="0" w:hanging="0"/>
              <w:rPr>
                <w:caps w:val="false"/>
                <w:smallCaps w:val="false"/>
              </w:rPr>
            </w:pPr>
            <w:r>
              <w:rPr>
                <w:caps w:val="false"/>
                <w:smallCaps w:val="false"/>
              </w:rPr>
              <w:t>​</w:t>
            </w:r>
          </w:p>
        </w:tc>
        <w:tc>
          <w:tcPr>
            <w:tcW w:w="682"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caps w:val="false"/>
                <w:smallCaps w:val="false"/>
                <w:sz w:val="18"/>
              </w:rPr>
              <w:t>Number</w:t>
            </w:r>
          </w:p>
        </w:tc>
        <w:tc>
          <w:tcPr>
            <w:tcW w:w="626" w:type="dxa"/>
            <w:gridSpan w:val="2"/>
            <w:tcBorders/>
            <w:shd w:fill="FFFFFF" w:val="clear"/>
            <w:vAlign w:val="center"/>
          </w:tcPr>
          <w:p>
            <w:pPr>
              <w:pStyle w:val="TableContents"/>
              <w:spacing w:before="0" w:after="0"/>
              <w:ind w:left="0" w:right="0" w:hanging="0"/>
              <w:rPr>
                <w:caps w:val="false"/>
                <w:smallCaps w:val="false"/>
              </w:rPr>
            </w:pPr>
            <w:r>
              <w:rPr>
                <w:caps w:val="false"/>
                <w:smallCaps w:val="false"/>
              </w:rPr>
              <w:t>​</w:t>
            </w:r>
          </w:p>
        </w:tc>
        <w:tc>
          <w:tcPr>
            <w:tcW w:w="682"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caps w:val="false"/>
                <w:smallCaps w:val="false"/>
                <w:sz w:val="18"/>
              </w:rPr>
              <w:t>Number</w:t>
            </w:r>
          </w:p>
        </w:tc>
        <w:tc>
          <w:tcPr>
            <w:tcW w:w="620" w:type="dxa"/>
            <w:gridSpan w:val="2"/>
            <w:tcBorders/>
            <w:shd w:fill="FFFFFF" w:val="clear"/>
            <w:vAlign w:val="center"/>
          </w:tcPr>
          <w:p>
            <w:pPr>
              <w:pStyle w:val="TableContents"/>
              <w:spacing w:before="0" w:after="0"/>
              <w:ind w:left="0" w:right="0" w:hanging="0"/>
              <w:rPr>
                <w:caps w:val="false"/>
                <w:smallCaps w:val="false"/>
              </w:rPr>
            </w:pPr>
            <w:r>
              <w:rPr>
                <w:caps w:val="false"/>
                <w:smallCaps w:val="false"/>
              </w:rPr>
              <w:t>​</w:t>
            </w:r>
          </w:p>
        </w:tc>
        <w:tc>
          <w:tcPr>
            <w:tcW w:w="785"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caps w:val="false"/>
                <w:smallCaps w:val="false"/>
                <w:sz w:val="18"/>
              </w:rPr>
              <w:t>paid-in</w:t>
            </w:r>
          </w:p>
        </w:tc>
        <w:tc>
          <w:tcPr>
            <w:tcW w:w="80" w:type="dxa"/>
            <w:tcBorders/>
            <w:shd w:fill="FFFFFF" w:val="clear"/>
            <w:vAlign w:val="center"/>
          </w:tcPr>
          <w:p>
            <w:pPr>
              <w:pStyle w:val="TableContents"/>
              <w:spacing w:before="0" w:after="283"/>
              <w:ind w:left="0" w:right="0" w:hanging="0"/>
              <w:rPr/>
            </w:pPr>
            <w:r>
              <w:rPr/>
              <w:t> </w:t>
            </w:r>
          </w:p>
        </w:tc>
        <w:tc>
          <w:tcPr>
            <w:tcW w:w="1115"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caps w:val="false"/>
                <w:smallCaps w:val="false"/>
                <w:sz w:val="18"/>
              </w:rPr>
              <w:t>comprehensive</w:t>
            </w:r>
          </w:p>
        </w:tc>
        <w:tc>
          <w:tcPr>
            <w:tcW w:w="980"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caps w:val="false"/>
                <w:smallCaps w:val="false"/>
                <w:sz w:val="18"/>
              </w:rPr>
              <w:t>Accumulated</w:t>
            </w:r>
          </w:p>
        </w:tc>
        <w:tc>
          <w:tcPr>
            <w:tcW w:w="80" w:type="dxa"/>
            <w:tcBorders/>
            <w:shd w:fill="FFFFFF" w:val="clear"/>
            <w:vAlign w:val="center"/>
          </w:tcPr>
          <w:p>
            <w:pPr>
              <w:pStyle w:val="TableContents"/>
              <w:spacing w:before="0" w:after="283"/>
              <w:ind w:left="0" w:right="0" w:hanging="0"/>
              <w:rPr/>
            </w:pPr>
            <w:r>
              <w:rPr/>
              <w:t> </w:t>
            </w:r>
          </w:p>
        </w:tc>
        <w:tc>
          <w:tcPr>
            <w:tcW w:w="1007"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caps w:val="false"/>
                <w:smallCaps w:val="false"/>
                <w:sz w:val="18"/>
              </w:rPr>
              <w:t>Stockholders'</w:t>
            </w:r>
          </w:p>
        </w:tc>
        <w:tc>
          <w:tcPr>
            <w:tcW w:w="84" w:type="dxa"/>
            <w:tcBorders/>
            <w:shd w:fill="FFFFFF" w:val="clear"/>
            <w:vAlign w:val="center"/>
          </w:tcPr>
          <w:p>
            <w:pPr>
              <w:pStyle w:val="TableContents"/>
              <w:spacing w:before="0" w:after="283"/>
              <w:rPr/>
            </w:pPr>
            <w:r>
              <w:rPr/>
              <w:t> </w:t>
            </w:r>
          </w:p>
        </w:tc>
      </w:tr>
      <w:tr>
        <w:trPr/>
        <w:tc>
          <w:tcPr>
            <w:tcW w:w="3464" w:type="dxa"/>
            <w:tcBorders/>
            <w:shd w:fill="FFFFFF" w:val="clear"/>
            <w:vAlign w:val="center"/>
          </w:tcPr>
          <w:p>
            <w:pPr>
              <w:pStyle w:val="TableContents"/>
              <w:spacing w:before="0" w:after="0"/>
              <w:ind w:left="0" w:right="0" w:hanging="0"/>
              <w:rPr>
                <w:caps w:val="false"/>
                <w:smallCaps w:val="false"/>
              </w:rPr>
            </w:pPr>
            <w:r>
              <w:rPr>
                <w:caps w:val="false"/>
                <w:smallCaps w:val="false"/>
              </w:rPr>
              <w:t>​</w:t>
            </w:r>
          </w:p>
        </w:tc>
        <w:tc>
          <w:tcPr>
            <w:tcW w:w="682"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caps w:val="false"/>
                <w:smallCaps w:val="false"/>
                <w:sz w:val="18"/>
              </w:rPr>
              <w:t>of shares</w:t>
            </w:r>
          </w:p>
        </w:tc>
        <w:tc>
          <w:tcPr>
            <w:tcW w:w="626"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caps w:val="false"/>
                <w:smallCaps w:val="false"/>
                <w:sz w:val="18"/>
              </w:rPr>
              <w:t>Amount</w:t>
            </w:r>
          </w:p>
        </w:tc>
        <w:tc>
          <w:tcPr>
            <w:tcW w:w="682"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caps w:val="false"/>
                <w:smallCaps w:val="false"/>
                <w:sz w:val="18"/>
              </w:rPr>
              <w:t>of shares</w:t>
            </w:r>
          </w:p>
        </w:tc>
        <w:tc>
          <w:tcPr>
            <w:tcW w:w="62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caps w:val="false"/>
                <w:smallCaps w:val="false"/>
                <w:sz w:val="18"/>
              </w:rPr>
              <w:t>Amount</w:t>
            </w:r>
          </w:p>
        </w:tc>
        <w:tc>
          <w:tcPr>
            <w:tcW w:w="78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caps w:val="false"/>
                <w:smallCaps w:val="false"/>
                <w:sz w:val="18"/>
              </w:rPr>
              <w:t>capital</w:t>
            </w:r>
          </w:p>
        </w:tc>
        <w:tc>
          <w:tcPr>
            <w:tcW w:w="80" w:type="dxa"/>
            <w:tcBorders/>
            <w:shd w:fill="FFFFFF" w:val="clear"/>
            <w:vAlign w:val="center"/>
          </w:tcPr>
          <w:p>
            <w:pPr>
              <w:pStyle w:val="TableContents"/>
              <w:spacing w:before="0" w:after="283"/>
              <w:ind w:left="0" w:right="0" w:hanging="0"/>
              <w:rPr/>
            </w:pPr>
            <w:r>
              <w:rPr/>
              <w:t> </w:t>
            </w:r>
          </w:p>
        </w:tc>
        <w:tc>
          <w:tcPr>
            <w:tcW w:w="111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caps w:val="false"/>
                <w:smallCaps w:val="false"/>
                <w:sz w:val="18"/>
              </w:rPr>
              <w:t>gain (loss)</w:t>
            </w:r>
          </w:p>
        </w:tc>
        <w:tc>
          <w:tcPr>
            <w:tcW w:w="98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caps w:val="false"/>
                <w:smallCaps w:val="false"/>
                <w:sz w:val="18"/>
              </w:rPr>
              <w:t>deficit</w:t>
            </w:r>
          </w:p>
        </w:tc>
        <w:tc>
          <w:tcPr>
            <w:tcW w:w="80" w:type="dxa"/>
            <w:tcBorders/>
            <w:shd w:fill="FFFFFF" w:val="clear"/>
            <w:vAlign w:val="center"/>
          </w:tcPr>
          <w:p>
            <w:pPr>
              <w:pStyle w:val="TableContents"/>
              <w:spacing w:before="0" w:after="283"/>
              <w:ind w:left="0" w:right="0" w:hanging="0"/>
              <w:rPr/>
            </w:pPr>
            <w:r>
              <w:rPr/>
              <w:t> </w:t>
            </w:r>
          </w:p>
        </w:tc>
        <w:tc>
          <w:tcPr>
            <w:tcW w:w="1007"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caps w:val="false"/>
                <w:smallCaps w:val="false"/>
                <w:sz w:val="18"/>
              </w:rPr>
              <w:t>equity</w:t>
            </w:r>
          </w:p>
        </w:tc>
        <w:tc>
          <w:tcPr>
            <w:tcW w:w="84" w:type="dxa"/>
            <w:tcBorders/>
            <w:shd w:fill="FFFFFF" w:val="clear"/>
            <w:vAlign w:val="center"/>
          </w:tcPr>
          <w:p>
            <w:pPr>
              <w:pStyle w:val="TableContents"/>
              <w:spacing w:before="0" w:after="283"/>
              <w:rPr/>
            </w:pPr>
            <w:r>
              <w:rPr/>
              <w:t> </w:t>
            </w:r>
          </w:p>
        </w:tc>
      </w:tr>
      <w:tr>
        <w:trPr/>
        <w:tc>
          <w:tcPr>
            <w:tcW w:w="3464" w:type="dxa"/>
            <w:tcBorders/>
            <w:shd w:fill="CCEEFF" w:val="clear"/>
            <w:vAlign w:val="center"/>
          </w:tcPr>
          <w:p>
            <w:pPr>
              <w:pStyle w:val="TableContents"/>
              <w:spacing w:before="0" w:after="0"/>
              <w:rPr>
                <w:rFonts w:ascii="Times New Roman;Times;serif" w:hAnsi="Times New Roman;Times;serif"/>
                <w:caps w:val="false"/>
                <w:smallCaps w:val="false"/>
                <w:sz w:val="18"/>
              </w:rPr>
            </w:pPr>
            <w:r>
              <w:rPr>
                <w:rFonts w:ascii="Times New Roman;Times;serif" w:hAnsi="Times New Roman;Times;serif"/>
                <w:caps w:val="false"/>
                <w:smallCaps w:val="false"/>
                <w:sz w:val="18"/>
              </w:rPr>
              <w:t>December 31, 2022</w:t>
            </w:r>
          </w:p>
        </w:tc>
        <w:tc>
          <w:tcPr>
            <w:tcW w:w="128" w:type="dxa"/>
            <w:tcBorders/>
            <w:shd w:fill="CCEEFF" w:val="clear"/>
            <w:vAlign w:val="center"/>
          </w:tcPr>
          <w:p>
            <w:pPr>
              <w:pStyle w:val="TableContents"/>
              <w:spacing w:before="0" w:after="283"/>
              <w:ind w:left="0" w:right="0" w:hanging="0"/>
              <w:rPr/>
            </w:pPr>
            <w:r>
              <w:rPr/>
              <w:t> </w:t>
            </w:r>
          </w:p>
        </w:tc>
        <w:tc>
          <w:tcPr>
            <w:tcW w:w="554" w:type="dxa"/>
            <w:tcBorders/>
            <w:shd w:fill="CCEEFF" w:val="clear"/>
            <w:vAlign w:val="center"/>
          </w:tcPr>
          <w:p>
            <w:pPr>
              <w:pStyle w:val="TableContents"/>
              <w:spacing w:before="0" w:after="283"/>
              <w:ind w:left="0" w:right="0" w:hanging="0"/>
              <w:jc w:val="right"/>
              <w:rPr/>
            </w:pPr>
            <w:r>
              <w:rPr/>
              <w:t>—</w:t>
            </w:r>
          </w:p>
        </w:tc>
        <w:tc>
          <w:tcPr>
            <w:tcW w:w="186" w:type="dxa"/>
            <w:tcBorders/>
            <w:shd w:fill="CCEEFF" w:val="clear"/>
            <w:vAlign w:val="center"/>
          </w:tcPr>
          <w:p>
            <w:pPr>
              <w:pStyle w:val="TableContents"/>
              <w:spacing w:before="0" w:after="283"/>
              <w:ind w:left="0" w:right="0" w:hanging="0"/>
              <w:rPr>
                <w:rFonts w:ascii="Times New Roman;Times;serif" w:hAnsi="Times New Roman;Times;serif"/>
                <w:sz w:val="18"/>
              </w:rPr>
            </w:pPr>
            <w:r>
              <w:rPr>
                <w:rFonts w:ascii="Times New Roman;Times;serif" w:hAnsi="Times New Roman;Times;serif"/>
                <w:sz w:val="18"/>
              </w:rPr>
              <w:t>$</w:t>
            </w:r>
          </w:p>
        </w:tc>
        <w:tc>
          <w:tcPr>
            <w:tcW w:w="440" w:type="dxa"/>
            <w:tcBorders/>
            <w:shd w:fill="CCEEFF" w:val="clear"/>
            <w:vAlign w:val="center"/>
          </w:tcPr>
          <w:p>
            <w:pPr>
              <w:pStyle w:val="TableContents"/>
              <w:spacing w:before="0" w:after="283"/>
              <w:jc w:val="right"/>
              <w:rPr/>
            </w:pPr>
            <w:r>
              <w:rPr/>
              <w:t>—</w:t>
            </w:r>
          </w:p>
        </w:tc>
        <w:tc>
          <w:tcPr>
            <w:tcW w:w="72" w:type="dxa"/>
            <w:tcBorders/>
            <w:shd w:fill="CCEEFF" w:val="clear"/>
            <w:vAlign w:val="center"/>
          </w:tcPr>
          <w:p>
            <w:pPr>
              <w:pStyle w:val="TableContents"/>
              <w:spacing w:before="0" w:after="283"/>
              <w:ind w:left="0" w:right="0" w:hanging="0"/>
              <w:rPr/>
            </w:pPr>
            <w:r>
              <w:rPr/>
              <w:t> </w:t>
            </w:r>
          </w:p>
        </w:tc>
        <w:tc>
          <w:tcPr>
            <w:tcW w:w="610" w:type="dxa"/>
            <w:tcBorders/>
            <w:shd w:fill="CCEEFF" w:val="cle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28,622</w:t>
            </w:r>
          </w:p>
        </w:tc>
        <w:tc>
          <w:tcPr>
            <w:tcW w:w="184" w:type="dxa"/>
            <w:tcBorders/>
            <w:shd w:fill="CCEEFF" w:val="clear"/>
            <w:vAlign w:val="center"/>
          </w:tcPr>
          <w:p>
            <w:pPr>
              <w:pStyle w:val="TableContents"/>
              <w:spacing w:before="0" w:after="283"/>
              <w:ind w:left="0" w:right="0" w:hanging="0"/>
              <w:rPr>
                <w:rFonts w:ascii="Times New Roman;Times;serif" w:hAnsi="Times New Roman;Times;serif"/>
                <w:sz w:val="18"/>
              </w:rPr>
            </w:pPr>
            <w:r>
              <w:rPr>
                <w:rFonts w:ascii="Times New Roman;Times;serif" w:hAnsi="Times New Roman;Times;serif"/>
                <w:sz w:val="18"/>
              </w:rPr>
              <w:t>$</w:t>
            </w:r>
          </w:p>
        </w:tc>
        <w:tc>
          <w:tcPr>
            <w:tcW w:w="436" w:type="dxa"/>
            <w:tcBorders/>
            <w:shd w:fill="CCEEFF" w:val="cle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29</w:t>
            </w:r>
          </w:p>
        </w:tc>
        <w:tc>
          <w:tcPr>
            <w:tcW w:w="120" w:type="dxa"/>
            <w:tcBorders/>
            <w:shd w:fill="CCEEFF" w:val="clear"/>
            <w:vAlign w:val="center"/>
          </w:tcPr>
          <w:p>
            <w:pPr>
              <w:pStyle w:val="TableContents"/>
              <w:spacing w:before="0" w:after="283"/>
              <w:ind w:left="0" w:right="0" w:hanging="0"/>
              <w:rPr>
                <w:rFonts w:ascii="Times New Roman;Times;serif" w:hAnsi="Times New Roman;Times;serif"/>
                <w:sz w:val="18"/>
              </w:rPr>
            </w:pPr>
            <w:r>
              <w:rPr>
                <w:rFonts w:ascii="Times New Roman;Times;serif" w:hAnsi="Times New Roman;Times;serif"/>
                <w:sz w:val="18"/>
              </w:rPr>
              <w:t>$</w:t>
            </w:r>
          </w:p>
        </w:tc>
        <w:tc>
          <w:tcPr>
            <w:tcW w:w="665" w:type="dxa"/>
            <w:tcBorders/>
            <w:shd w:fill="CCEEFF" w:val="cle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391,526</w:t>
            </w:r>
          </w:p>
        </w:tc>
        <w:tc>
          <w:tcPr>
            <w:tcW w:w="80" w:type="dxa"/>
            <w:tcBorders/>
            <w:shd w:fill="CCEEFF" w:val="clear"/>
            <w:vAlign w:val="center"/>
          </w:tcPr>
          <w:p>
            <w:pPr>
              <w:pStyle w:val="TableContents"/>
              <w:spacing w:before="0" w:after="283"/>
              <w:ind w:left="0" w:right="0" w:hanging="0"/>
              <w:rPr/>
            </w:pPr>
            <w:r>
              <w:rPr/>
              <w:t> </w:t>
            </w:r>
          </w:p>
        </w:tc>
        <w:tc>
          <w:tcPr>
            <w:tcW w:w="228" w:type="dxa"/>
            <w:tcBorders/>
            <w:shd w:fill="CCEEFF" w:val="clear"/>
            <w:vAlign w:val="center"/>
          </w:tcPr>
          <w:p>
            <w:pPr>
              <w:pStyle w:val="TableContents"/>
              <w:spacing w:before="0" w:after="283"/>
              <w:ind w:left="0" w:right="0" w:hanging="0"/>
              <w:rPr>
                <w:rFonts w:ascii="Times New Roman;Times;serif" w:hAnsi="Times New Roman;Times;serif"/>
                <w:sz w:val="18"/>
              </w:rPr>
            </w:pPr>
            <w:r>
              <w:rPr>
                <w:rFonts w:ascii="Times New Roman;Times;serif" w:hAnsi="Times New Roman;Times;serif"/>
                <w:sz w:val="18"/>
              </w:rPr>
              <w:t>$</w:t>
            </w:r>
          </w:p>
        </w:tc>
        <w:tc>
          <w:tcPr>
            <w:tcW w:w="887" w:type="dxa"/>
            <w:tcBorders/>
            <w:shd w:fill="CCEEFF" w:val="cle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2,183</w:t>
            </w:r>
          </w:p>
        </w:tc>
        <w:tc>
          <w:tcPr>
            <w:tcW w:w="139" w:type="dxa"/>
            <w:tcBorders/>
            <w:shd w:fill="CCEEFF" w:val="clear"/>
            <w:vAlign w:val="center"/>
          </w:tcPr>
          <w:p>
            <w:pPr>
              <w:pStyle w:val="TableContents"/>
              <w:spacing w:before="0" w:after="283"/>
              <w:ind w:left="0" w:right="0" w:hanging="0"/>
              <w:rPr>
                <w:rFonts w:ascii="Times New Roman;Times;serif" w:hAnsi="Times New Roman;Times;serif"/>
                <w:sz w:val="18"/>
              </w:rPr>
            </w:pPr>
            <w:r>
              <w:rPr>
                <w:rFonts w:ascii="Times New Roman;Times;serif" w:hAnsi="Times New Roman;Times;serif"/>
                <w:sz w:val="18"/>
              </w:rPr>
              <w:t>$</w:t>
            </w:r>
          </w:p>
        </w:tc>
        <w:tc>
          <w:tcPr>
            <w:tcW w:w="841" w:type="dxa"/>
            <w:tcBorders/>
            <w:shd w:fill="CCEEFF" w:val="cle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(209,068</w:t>
            </w:r>
          </w:p>
        </w:tc>
        <w:tc>
          <w:tcPr>
            <w:tcW w:w="80" w:type="dxa"/>
            <w:tcBorders/>
            <w:shd w:fill="CCEEFF" w:val="clear"/>
            <w:vAlign w:val="center"/>
          </w:tcPr>
          <w:p>
            <w:pPr>
              <w:pStyle w:val="TableContents"/>
              <w:spacing w:before="0" w:after="283"/>
              <w:ind w:left="0" w:right="0" w:hanging="0"/>
              <w:rPr>
                <w:rFonts w:ascii="Times New Roman;Times;serif" w:hAnsi="Times New Roman;Times;serif"/>
                <w:sz w:val="18"/>
              </w:rPr>
            </w:pPr>
            <w:r>
              <w:rPr>
                <w:rFonts w:ascii="Times New Roman;Times;serif" w:hAnsi="Times New Roman;Times;serif"/>
                <w:sz w:val="18"/>
              </w:rPr>
              <w:t>)</w:t>
            </w:r>
          </w:p>
        </w:tc>
        <w:tc>
          <w:tcPr>
            <w:tcW w:w="153" w:type="dxa"/>
            <w:tcBorders/>
            <w:shd w:fill="CCEEFF" w:val="clear"/>
            <w:vAlign w:val="center"/>
          </w:tcPr>
          <w:p>
            <w:pPr>
              <w:pStyle w:val="TableContents"/>
              <w:spacing w:before="0" w:after="283"/>
              <w:ind w:left="0" w:right="0" w:hanging="0"/>
              <w:rPr>
                <w:rFonts w:ascii="Times New Roman;Times;serif" w:hAnsi="Times New Roman;Times;serif"/>
                <w:sz w:val="18"/>
              </w:rPr>
            </w:pPr>
            <w:r>
              <w:rPr>
                <w:rFonts w:ascii="Times New Roman;Times;serif" w:hAnsi="Times New Roman;Times;serif"/>
                <w:sz w:val="18"/>
              </w:rPr>
              <w:t>$</w:t>
            </w:r>
          </w:p>
        </w:tc>
        <w:tc>
          <w:tcPr>
            <w:tcW w:w="854" w:type="dxa"/>
            <w:tcBorders/>
            <w:shd w:fill="CCEEFF" w:val="cle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184,670</w:t>
            </w:r>
          </w:p>
        </w:tc>
        <w:tc>
          <w:tcPr>
            <w:tcW w:w="84" w:type="dxa"/>
            <w:tcBorders/>
            <w:shd w:fill="CCEEFF" w:val="clear"/>
            <w:vAlign w:val="center"/>
          </w:tcPr>
          <w:p>
            <w:pPr>
              <w:pStyle w:val="TableContents"/>
              <w:spacing w:before="0" w:after="283"/>
              <w:rPr/>
            </w:pPr>
            <w:r>
              <w:rPr/>
              <w:t> </w:t>
            </w:r>
          </w:p>
        </w:tc>
      </w:tr>
      <w:tr>
        <w:trPr/>
        <w:tc>
          <w:tcPr>
            <w:tcW w:w="3464" w:type="dxa"/>
            <w:tcBorders/>
            <w:shd w:fill="FFFFFF" w:val="clear"/>
            <w:vAlign w:val="center"/>
          </w:tcPr>
          <w:p>
            <w:pPr>
              <w:pStyle w:val="TableContents"/>
              <w:spacing w:before="0" w:after="0"/>
              <w:rPr>
                <w:rFonts w:ascii="Times New Roman;Times;serif" w:hAnsi="Times New Roman;Times;serif"/>
                <w:caps w:val="false"/>
                <w:smallCaps w:val="false"/>
                <w:sz w:val="18"/>
              </w:rPr>
            </w:pPr>
            <w:r>
              <w:rPr>
                <w:rFonts w:ascii="Times New Roman;Times;serif" w:hAnsi="Times New Roman;Times;serif"/>
                <w:caps w:val="false"/>
                <w:smallCaps w:val="false"/>
                <w:sz w:val="18"/>
              </w:rPr>
              <w:t>Issuance of restricted stock, net of shares withheld for employee tax</w:t>
            </w:r>
          </w:p>
        </w:tc>
        <w:tc>
          <w:tcPr>
            <w:tcW w:w="128" w:type="dxa"/>
            <w:tcBorders/>
            <w:shd w:fill="FFFFFF" w:val="clear"/>
            <w:vAlign w:val="center"/>
          </w:tcPr>
          <w:p>
            <w:pPr>
              <w:pStyle w:val="TableContents"/>
              <w:spacing w:before="0" w:after="283"/>
              <w:ind w:left="0" w:right="0" w:hanging="0"/>
              <w:rPr/>
            </w:pPr>
            <w:r>
              <w:rPr/>
              <w:t> </w:t>
            </w:r>
          </w:p>
        </w:tc>
        <w:tc>
          <w:tcPr>
            <w:tcW w:w="554" w:type="dxa"/>
            <w:tcBorders/>
            <w:shd w:fill="FFFFFF" w:val="clear"/>
            <w:vAlign w:val="center"/>
          </w:tcPr>
          <w:p>
            <w:pPr>
              <w:pStyle w:val="TableContents"/>
              <w:spacing w:before="0" w:after="283"/>
              <w:jc w:val="right"/>
              <w:rPr/>
            </w:pPr>
            <w:r>
              <w:rPr/>
              <w:t>—</w:t>
            </w:r>
          </w:p>
        </w:tc>
        <w:tc>
          <w:tcPr>
            <w:tcW w:w="186" w:type="dxa"/>
            <w:tcBorders/>
            <w:shd w:fill="FFFFFF" w:val="clear"/>
            <w:vAlign w:val="center"/>
          </w:tcPr>
          <w:p>
            <w:pPr>
              <w:pStyle w:val="TableContents"/>
              <w:spacing w:before="0" w:after="283"/>
              <w:ind w:left="0" w:right="0" w:hanging="0"/>
              <w:rPr/>
            </w:pPr>
            <w:r>
              <w:rPr/>
              <w:t> </w:t>
            </w:r>
          </w:p>
        </w:tc>
        <w:tc>
          <w:tcPr>
            <w:tcW w:w="440" w:type="dxa"/>
            <w:tcBorders/>
            <w:shd w:fill="FFFFFF" w:val="clear"/>
            <w:vAlign w:val="center"/>
          </w:tcPr>
          <w:p>
            <w:pPr>
              <w:pStyle w:val="TableContents"/>
              <w:spacing w:before="0" w:after="283"/>
              <w:jc w:val="right"/>
              <w:rPr/>
            </w:pPr>
            <w:r>
              <w:rPr/>
              <w:t>—</w:t>
            </w:r>
          </w:p>
        </w:tc>
        <w:tc>
          <w:tcPr>
            <w:tcW w:w="72" w:type="dxa"/>
            <w:tcBorders/>
            <w:shd w:fill="FFFFFF" w:val="clear"/>
            <w:vAlign w:val="center"/>
          </w:tcPr>
          <w:p>
            <w:pPr>
              <w:pStyle w:val="TableContents"/>
              <w:spacing w:before="0" w:after="283"/>
              <w:ind w:left="0" w:right="0" w:hanging="0"/>
              <w:rPr/>
            </w:pPr>
            <w:r>
              <w:rPr/>
              <w:t> </w:t>
            </w:r>
          </w:p>
        </w:tc>
        <w:tc>
          <w:tcPr>
            <w:tcW w:w="610" w:type="dxa"/>
            <w:tcBorders/>
            <w:shd w:fill="FFFFFF" w:val="clear"/>
            <w:vAlign w:val="center"/>
          </w:tcPr>
          <w:p>
            <w:pPr>
              <w:pStyle w:val="TableContents"/>
              <w:spacing w:before="0" w:after="283"/>
              <w:jc w:val="right"/>
              <w:rPr>
                <w:rFonts w:ascii="Times New Roman;Times;serif" w:hAnsi="Times New Roman;Times;serif"/>
                <w:sz w:val="18"/>
              </w:rPr>
            </w:pPr>
            <w:r>
              <w:rPr>
                <w:rFonts w:ascii="Times New Roman;Times;serif" w:hAnsi="Times New Roman;Times;serif"/>
                <w:sz w:val="18"/>
              </w:rPr>
              <w:t>292</w:t>
            </w:r>
          </w:p>
        </w:tc>
        <w:tc>
          <w:tcPr>
            <w:tcW w:w="184" w:type="dxa"/>
            <w:tcBorders/>
            <w:shd w:fill="FFFFFF" w:val="clear"/>
            <w:vAlign w:val="center"/>
          </w:tcPr>
          <w:p>
            <w:pPr>
              <w:pStyle w:val="TableContents"/>
              <w:spacing w:before="0" w:after="283"/>
              <w:ind w:left="0" w:right="0" w:hanging="0"/>
              <w:rPr/>
            </w:pPr>
            <w:r>
              <w:rPr/>
              <w:t> </w:t>
            </w:r>
          </w:p>
        </w:tc>
        <w:tc>
          <w:tcPr>
            <w:tcW w:w="436" w:type="dxa"/>
            <w:tcBorders/>
            <w:shd w:fill="FFFFFF" w:val="clear"/>
            <w:vAlign w:val="center"/>
          </w:tcPr>
          <w:p>
            <w:pPr>
              <w:pStyle w:val="TableContents"/>
              <w:spacing w:before="0" w:after="283"/>
              <w:jc w:val="right"/>
              <w:rPr/>
            </w:pPr>
            <w:r>
              <w:rPr/>
              <w:t>—</w:t>
            </w:r>
          </w:p>
        </w:tc>
        <w:tc>
          <w:tcPr>
            <w:tcW w:w="120" w:type="dxa"/>
            <w:tcBorders/>
            <w:shd w:fill="FFFFFF" w:val="clear"/>
            <w:vAlign w:val="center"/>
          </w:tcPr>
          <w:p>
            <w:pPr>
              <w:pStyle w:val="TableContents"/>
              <w:spacing w:before="0" w:after="283"/>
              <w:ind w:left="0" w:right="0" w:hanging="0"/>
              <w:rPr/>
            </w:pPr>
            <w:r>
              <w:rPr/>
              <w:t> </w:t>
            </w:r>
          </w:p>
        </w:tc>
        <w:tc>
          <w:tcPr>
            <w:tcW w:w="665" w:type="dxa"/>
            <w:tcBorders/>
            <w:shd w:fill="FFFFFF" w:val="cle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(76</w:t>
            </w:r>
          </w:p>
        </w:tc>
        <w:tc>
          <w:tcPr>
            <w:tcW w:w="80" w:type="dxa"/>
            <w:tcBorders/>
            <w:shd w:fill="FFFFFF"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w:t>
            </w:r>
          </w:p>
        </w:tc>
        <w:tc>
          <w:tcPr>
            <w:tcW w:w="228" w:type="dxa"/>
            <w:tcBorders/>
            <w:shd w:fill="FFFFFF" w:val="clear"/>
            <w:vAlign w:val="center"/>
          </w:tcPr>
          <w:p>
            <w:pPr>
              <w:pStyle w:val="TableContents"/>
              <w:spacing w:before="0" w:after="283"/>
              <w:ind w:left="0" w:right="0" w:hanging="0"/>
              <w:rPr/>
            </w:pPr>
            <w:r>
              <w:rPr/>
              <w:t> </w:t>
            </w:r>
          </w:p>
        </w:tc>
        <w:tc>
          <w:tcPr>
            <w:tcW w:w="887" w:type="dxa"/>
            <w:tcBorders/>
            <w:shd w:fill="FFFFFF" w:val="clear"/>
            <w:vAlign w:val="center"/>
          </w:tcPr>
          <w:p>
            <w:pPr>
              <w:pStyle w:val="TableContents"/>
              <w:spacing w:before="0" w:after="283"/>
              <w:jc w:val="right"/>
              <w:rPr/>
            </w:pPr>
            <w:r>
              <w:rPr/>
              <w:t>—</w:t>
            </w:r>
          </w:p>
        </w:tc>
        <w:tc>
          <w:tcPr>
            <w:tcW w:w="139" w:type="dxa"/>
            <w:tcBorders/>
            <w:shd w:fill="FFFFFF" w:val="clear"/>
            <w:vAlign w:val="center"/>
          </w:tcPr>
          <w:p>
            <w:pPr>
              <w:pStyle w:val="TableContents"/>
              <w:spacing w:before="0" w:after="283"/>
              <w:ind w:left="0" w:right="0" w:hanging="0"/>
              <w:rPr/>
            </w:pPr>
            <w:r>
              <w:rPr/>
              <w:t> </w:t>
            </w:r>
          </w:p>
        </w:tc>
        <w:tc>
          <w:tcPr>
            <w:tcW w:w="841" w:type="dxa"/>
            <w:tcBorders/>
            <w:shd w:fill="FFFFFF" w:val="clear"/>
            <w:vAlign w:val="center"/>
          </w:tcPr>
          <w:p>
            <w:pPr>
              <w:pStyle w:val="TableContents"/>
              <w:spacing w:before="0" w:after="283"/>
              <w:ind w:left="0" w:right="0" w:hanging="0"/>
              <w:jc w:val="right"/>
              <w:rPr/>
            </w:pPr>
            <w:r>
              <w:rPr/>
              <w:t>—</w:t>
            </w:r>
          </w:p>
        </w:tc>
        <w:tc>
          <w:tcPr>
            <w:tcW w:w="80" w:type="dxa"/>
            <w:tcBorders/>
            <w:shd w:fill="FFFFFF" w:val="clear"/>
            <w:vAlign w:val="center"/>
          </w:tcPr>
          <w:p>
            <w:pPr>
              <w:pStyle w:val="TableContents"/>
              <w:spacing w:before="0" w:after="283"/>
              <w:rPr/>
            </w:pPr>
            <w:r>
              <w:rPr/>
              <w:t> </w:t>
            </w:r>
          </w:p>
        </w:tc>
        <w:tc>
          <w:tcPr>
            <w:tcW w:w="153" w:type="dxa"/>
            <w:tcBorders/>
            <w:shd w:fill="FFFFFF" w:val="clear"/>
            <w:vAlign w:val="center"/>
          </w:tcPr>
          <w:p>
            <w:pPr>
              <w:pStyle w:val="TableContents"/>
              <w:spacing w:before="0" w:after="283"/>
              <w:ind w:left="0" w:right="0" w:hanging="0"/>
              <w:rPr/>
            </w:pPr>
            <w:r>
              <w:rPr/>
              <w:t> </w:t>
            </w:r>
          </w:p>
        </w:tc>
        <w:tc>
          <w:tcPr>
            <w:tcW w:w="854" w:type="dxa"/>
            <w:tcBorders/>
            <w:shd w:fill="FFFFFF" w:val="cle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(76</w:t>
            </w:r>
          </w:p>
        </w:tc>
        <w:tc>
          <w:tcPr>
            <w:tcW w:w="84" w:type="dxa"/>
            <w:tcBorders/>
            <w:shd w:fill="FFFFFF"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w:t>
            </w:r>
          </w:p>
        </w:tc>
      </w:tr>
      <w:tr>
        <w:trPr/>
        <w:tc>
          <w:tcPr>
            <w:tcW w:w="3464" w:type="dxa"/>
            <w:tcBorders/>
            <w:shd w:fill="CCEEFF" w:val="clear"/>
            <w:vAlign w:val="center"/>
          </w:tcPr>
          <w:p>
            <w:pPr>
              <w:pStyle w:val="TableContents"/>
              <w:spacing w:before="0" w:after="0"/>
              <w:rPr>
                <w:rFonts w:ascii="Times New Roman;Times;serif" w:hAnsi="Times New Roman;Times;serif"/>
                <w:caps w:val="false"/>
                <w:smallCaps w:val="false"/>
                <w:sz w:val="18"/>
              </w:rPr>
            </w:pPr>
            <w:r>
              <w:rPr>
                <w:rFonts w:ascii="Times New Roman;Times;serif" w:hAnsi="Times New Roman;Times;serif"/>
                <w:caps w:val="false"/>
                <w:smallCaps w:val="false"/>
                <w:sz w:val="18"/>
              </w:rPr>
              <w:t>Share-based compensation</w:t>
            </w:r>
          </w:p>
        </w:tc>
        <w:tc>
          <w:tcPr>
            <w:tcW w:w="128" w:type="dxa"/>
            <w:tcBorders/>
            <w:shd w:fill="CCEEFF" w:val="clear"/>
            <w:vAlign w:val="center"/>
          </w:tcPr>
          <w:p>
            <w:pPr>
              <w:pStyle w:val="TableContents"/>
              <w:spacing w:before="0" w:after="283"/>
              <w:ind w:left="0" w:right="0" w:hanging="0"/>
              <w:rPr/>
            </w:pPr>
            <w:r>
              <w:rPr/>
              <w:t> </w:t>
            </w:r>
          </w:p>
        </w:tc>
        <w:tc>
          <w:tcPr>
            <w:tcW w:w="554" w:type="dxa"/>
            <w:tcBorders/>
            <w:shd w:fill="CCEEFF" w:val="clear"/>
            <w:vAlign w:val="center"/>
          </w:tcPr>
          <w:p>
            <w:pPr>
              <w:pStyle w:val="TableContents"/>
              <w:spacing w:before="0" w:after="283"/>
              <w:jc w:val="right"/>
              <w:rPr/>
            </w:pPr>
            <w:r>
              <w:rPr>
                <w:rStyle w:val="Emphasis"/>
              </w:rPr>
              <w:t>—</w:t>
            </w:r>
          </w:p>
        </w:tc>
        <w:tc>
          <w:tcPr>
            <w:tcW w:w="186" w:type="dxa"/>
            <w:tcBorders/>
            <w:shd w:fill="CCEEFF" w:val="clear"/>
            <w:vAlign w:val="center"/>
          </w:tcPr>
          <w:p>
            <w:pPr>
              <w:pStyle w:val="TableContents"/>
              <w:spacing w:before="0" w:after="283"/>
              <w:ind w:left="0" w:right="0" w:hanging="0"/>
              <w:rPr/>
            </w:pPr>
            <w:r>
              <w:rPr/>
              <w:t> </w:t>
            </w:r>
          </w:p>
        </w:tc>
        <w:tc>
          <w:tcPr>
            <w:tcW w:w="440" w:type="dxa"/>
            <w:tcBorders/>
            <w:shd w:fill="CCEEFF" w:val="clear"/>
            <w:vAlign w:val="center"/>
          </w:tcPr>
          <w:p>
            <w:pPr>
              <w:pStyle w:val="TableContents"/>
              <w:spacing w:before="0" w:after="283"/>
              <w:jc w:val="right"/>
              <w:rPr/>
            </w:pPr>
            <w:r>
              <w:rPr/>
              <w:t>—</w:t>
            </w:r>
          </w:p>
        </w:tc>
        <w:tc>
          <w:tcPr>
            <w:tcW w:w="72" w:type="dxa"/>
            <w:tcBorders/>
            <w:shd w:fill="CCEEFF" w:val="clear"/>
            <w:vAlign w:val="center"/>
          </w:tcPr>
          <w:p>
            <w:pPr>
              <w:pStyle w:val="TableContents"/>
              <w:spacing w:before="0" w:after="283"/>
              <w:ind w:left="0" w:right="0" w:hanging="0"/>
              <w:rPr/>
            </w:pPr>
            <w:r>
              <w:rPr/>
              <w:t> </w:t>
            </w:r>
          </w:p>
        </w:tc>
        <w:tc>
          <w:tcPr>
            <w:tcW w:w="610" w:type="dxa"/>
            <w:tcBorders/>
            <w:shd w:fill="CCEEFF" w:val="clear"/>
            <w:vAlign w:val="center"/>
          </w:tcPr>
          <w:p>
            <w:pPr>
              <w:pStyle w:val="TableContents"/>
              <w:spacing w:before="0" w:after="283"/>
              <w:jc w:val="right"/>
              <w:rPr/>
            </w:pPr>
            <w:r>
              <w:rPr>
                <w:rStyle w:val="Emphasis"/>
              </w:rPr>
              <w:t>—</w:t>
            </w:r>
          </w:p>
        </w:tc>
        <w:tc>
          <w:tcPr>
            <w:tcW w:w="184" w:type="dxa"/>
            <w:tcBorders/>
            <w:shd w:fill="CCEEFF" w:val="clear"/>
            <w:vAlign w:val="center"/>
          </w:tcPr>
          <w:p>
            <w:pPr>
              <w:pStyle w:val="TableContents"/>
              <w:spacing w:before="0" w:after="283"/>
              <w:ind w:left="0" w:right="0" w:hanging="0"/>
              <w:rPr/>
            </w:pPr>
            <w:r>
              <w:rPr/>
              <w:t> </w:t>
            </w:r>
          </w:p>
        </w:tc>
        <w:tc>
          <w:tcPr>
            <w:tcW w:w="436" w:type="dxa"/>
            <w:tcBorders/>
            <w:shd w:fill="CCEEFF" w:val="clear"/>
            <w:vAlign w:val="center"/>
          </w:tcPr>
          <w:p>
            <w:pPr>
              <w:pStyle w:val="TableContents"/>
              <w:spacing w:before="0" w:after="283"/>
              <w:jc w:val="right"/>
              <w:rPr/>
            </w:pPr>
            <w:r>
              <w:rPr/>
              <w:t>—</w:t>
            </w:r>
          </w:p>
        </w:tc>
        <w:tc>
          <w:tcPr>
            <w:tcW w:w="120" w:type="dxa"/>
            <w:tcBorders/>
            <w:shd w:fill="CCEEFF" w:val="clear"/>
            <w:vAlign w:val="center"/>
          </w:tcPr>
          <w:p>
            <w:pPr>
              <w:pStyle w:val="TableContents"/>
              <w:spacing w:before="0" w:after="283"/>
              <w:ind w:left="0" w:right="0" w:hanging="0"/>
              <w:rPr/>
            </w:pPr>
            <w:r>
              <w:rPr/>
              <w:t> </w:t>
            </w:r>
          </w:p>
        </w:tc>
        <w:tc>
          <w:tcPr>
            <w:tcW w:w="665" w:type="dxa"/>
            <w:tcBorders/>
            <w:shd w:fill="CCEEFF" w:val="cle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2,290</w:t>
            </w:r>
          </w:p>
        </w:tc>
        <w:tc>
          <w:tcPr>
            <w:tcW w:w="80" w:type="dxa"/>
            <w:tcBorders/>
            <w:shd w:fill="CCEEFF" w:val="clear"/>
            <w:vAlign w:val="center"/>
          </w:tcPr>
          <w:p>
            <w:pPr>
              <w:pStyle w:val="TableContents"/>
              <w:spacing w:before="0" w:after="283"/>
              <w:rPr/>
            </w:pPr>
            <w:r>
              <w:rPr/>
              <w:t> </w:t>
            </w:r>
          </w:p>
        </w:tc>
        <w:tc>
          <w:tcPr>
            <w:tcW w:w="228" w:type="dxa"/>
            <w:tcBorders/>
            <w:shd w:fill="CCEEFF" w:val="clear"/>
            <w:vAlign w:val="center"/>
          </w:tcPr>
          <w:p>
            <w:pPr>
              <w:pStyle w:val="TableContents"/>
              <w:spacing w:before="0" w:after="283"/>
              <w:ind w:left="0" w:right="0" w:hanging="0"/>
              <w:rPr/>
            </w:pPr>
            <w:r>
              <w:rPr/>
              <w:t> </w:t>
            </w:r>
          </w:p>
        </w:tc>
        <w:tc>
          <w:tcPr>
            <w:tcW w:w="887" w:type="dxa"/>
            <w:tcBorders/>
            <w:shd w:fill="CCEEFF" w:val="clear"/>
            <w:vAlign w:val="center"/>
          </w:tcPr>
          <w:p>
            <w:pPr>
              <w:pStyle w:val="TableContents"/>
              <w:spacing w:before="0" w:after="283"/>
              <w:jc w:val="right"/>
              <w:rPr/>
            </w:pPr>
            <w:r>
              <w:rPr/>
              <w:t>—</w:t>
            </w:r>
          </w:p>
        </w:tc>
        <w:tc>
          <w:tcPr>
            <w:tcW w:w="139" w:type="dxa"/>
            <w:tcBorders/>
            <w:shd w:fill="CCEEFF" w:val="clear"/>
            <w:vAlign w:val="center"/>
          </w:tcPr>
          <w:p>
            <w:pPr>
              <w:pStyle w:val="TableContents"/>
              <w:spacing w:before="0" w:after="283"/>
              <w:ind w:left="0" w:right="0" w:hanging="0"/>
              <w:rPr/>
            </w:pPr>
            <w:r>
              <w:rPr/>
              <w:t> </w:t>
            </w:r>
          </w:p>
        </w:tc>
        <w:tc>
          <w:tcPr>
            <w:tcW w:w="841" w:type="dxa"/>
            <w:tcBorders/>
            <w:shd w:fill="CCEEFF" w:val="clear"/>
            <w:vAlign w:val="center"/>
          </w:tcPr>
          <w:p>
            <w:pPr>
              <w:pStyle w:val="TableContents"/>
              <w:spacing w:before="0" w:after="283"/>
              <w:ind w:left="0" w:right="0" w:hanging="0"/>
              <w:jc w:val="right"/>
              <w:rPr/>
            </w:pPr>
            <w:r>
              <w:rPr/>
              <w:t>—</w:t>
            </w:r>
          </w:p>
        </w:tc>
        <w:tc>
          <w:tcPr>
            <w:tcW w:w="80" w:type="dxa"/>
            <w:tcBorders/>
            <w:shd w:fill="CCEEFF" w:val="clear"/>
            <w:vAlign w:val="center"/>
          </w:tcPr>
          <w:p>
            <w:pPr>
              <w:pStyle w:val="TableContents"/>
              <w:spacing w:before="0" w:after="283"/>
              <w:rPr/>
            </w:pPr>
            <w:r>
              <w:rPr/>
              <w:t> </w:t>
            </w:r>
          </w:p>
        </w:tc>
        <w:tc>
          <w:tcPr>
            <w:tcW w:w="153" w:type="dxa"/>
            <w:tcBorders/>
            <w:shd w:fill="CCEEFF" w:val="clear"/>
            <w:vAlign w:val="center"/>
          </w:tcPr>
          <w:p>
            <w:pPr>
              <w:pStyle w:val="TableContents"/>
              <w:spacing w:before="0" w:after="283"/>
              <w:ind w:left="0" w:right="0" w:hanging="0"/>
              <w:rPr/>
            </w:pPr>
            <w:r>
              <w:rPr/>
              <w:t> </w:t>
            </w:r>
          </w:p>
        </w:tc>
        <w:tc>
          <w:tcPr>
            <w:tcW w:w="854" w:type="dxa"/>
            <w:tcBorders/>
            <w:shd w:fill="CCEEFF" w:val="cle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2,290</w:t>
            </w:r>
          </w:p>
        </w:tc>
        <w:tc>
          <w:tcPr>
            <w:tcW w:w="84" w:type="dxa"/>
            <w:tcBorders/>
            <w:shd w:fill="CCEEFF" w:val="clear"/>
            <w:vAlign w:val="center"/>
          </w:tcPr>
          <w:p>
            <w:pPr>
              <w:pStyle w:val="TableContents"/>
              <w:spacing w:before="0" w:after="283"/>
              <w:rPr/>
            </w:pPr>
            <w:r>
              <w:rPr/>
              <w:t> </w:t>
            </w:r>
          </w:p>
        </w:tc>
      </w:tr>
      <w:tr>
        <w:trPr/>
        <w:tc>
          <w:tcPr>
            <w:tcW w:w="3464" w:type="dxa"/>
            <w:tcBorders/>
            <w:shd w:fill="FFFFFF" w:val="clear"/>
            <w:vAlign w:val="center"/>
          </w:tcPr>
          <w:p>
            <w:pPr>
              <w:pStyle w:val="TableContents"/>
              <w:spacing w:before="0" w:after="0"/>
              <w:rPr>
                <w:rFonts w:ascii="Times New Roman;Times;serif" w:hAnsi="Times New Roman;Times;serif"/>
                <w:sz w:val="18"/>
              </w:rPr>
            </w:pPr>
            <w:r>
              <w:rPr>
                <w:rFonts w:ascii="Times New Roman;Times;serif" w:hAnsi="Times New Roman;Times;serif"/>
                <w:sz w:val="18"/>
              </w:rPr>
              <w:t>Public offering of common stock, net</w:t>
            </w:r>
          </w:p>
        </w:tc>
        <w:tc>
          <w:tcPr>
            <w:tcW w:w="128" w:type="dxa"/>
            <w:tcBorders/>
            <w:shd w:fill="FFFFFF" w:val="clear"/>
            <w:vAlign w:val="center"/>
          </w:tcPr>
          <w:p>
            <w:pPr>
              <w:pStyle w:val="TableContents"/>
              <w:spacing w:before="0" w:after="283"/>
              <w:rPr/>
            </w:pPr>
            <w:r>
              <w:rPr/>
              <w:t> </w:t>
            </w:r>
          </w:p>
        </w:tc>
        <w:tc>
          <w:tcPr>
            <w:tcW w:w="554" w:type="dxa"/>
            <w:tcBorders/>
            <w:shd w:fill="FFFFFF" w:val="clear"/>
            <w:vAlign w:val="center"/>
          </w:tcPr>
          <w:p>
            <w:pPr>
              <w:pStyle w:val="TableContents"/>
              <w:spacing w:before="0" w:after="283"/>
              <w:jc w:val="right"/>
              <w:rPr/>
            </w:pPr>
            <w:r>
              <w:rPr/>
              <w:t>—</w:t>
            </w:r>
          </w:p>
        </w:tc>
        <w:tc>
          <w:tcPr>
            <w:tcW w:w="186" w:type="dxa"/>
            <w:tcBorders/>
            <w:shd w:fill="FFFFFF" w:val="clear"/>
            <w:vAlign w:val="center"/>
          </w:tcPr>
          <w:p>
            <w:pPr>
              <w:pStyle w:val="TableContents"/>
              <w:spacing w:before="0" w:after="283"/>
              <w:rPr/>
            </w:pPr>
            <w:r>
              <w:rPr/>
              <w:t> </w:t>
            </w:r>
          </w:p>
        </w:tc>
        <w:tc>
          <w:tcPr>
            <w:tcW w:w="440" w:type="dxa"/>
            <w:tcBorders/>
            <w:shd w:fill="FFFFFF" w:val="clear"/>
            <w:vAlign w:val="center"/>
          </w:tcPr>
          <w:p>
            <w:pPr>
              <w:pStyle w:val="TableContents"/>
              <w:spacing w:before="0" w:after="283"/>
              <w:jc w:val="right"/>
              <w:rPr/>
            </w:pPr>
            <w:r>
              <w:rPr/>
              <w:t>—</w:t>
            </w:r>
          </w:p>
        </w:tc>
        <w:tc>
          <w:tcPr>
            <w:tcW w:w="72" w:type="dxa"/>
            <w:tcBorders/>
            <w:shd w:fill="FFFFFF" w:val="clear"/>
            <w:vAlign w:val="center"/>
          </w:tcPr>
          <w:p>
            <w:pPr>
              <w:pStyle w:val="TableContents"/>
              <w:spacing w:before="0" w:after="283"/>
              <w:rPr/>
            </w:pPr>
            <w:r>
              <w:rPr/>
              <w:t> </w:t>
            </w:r>
          </w:p>
        </w:tc>
        <w:tc>
          <w:tcPr>
            <w:tcW w:w="610" w:type="dxa"/>
            <w:tcBorders/>
            <w:shd w:fill="FFFFFF" w:val="clear"/>
            <w:vAlign w:val="center"/>
          </w:tcPr>
          <w:p>
            <w:pPr>
              <w:pStyle w:val="TableContents"/>
              <w:spacing w:before="0" w:after="283"/>
              <w:jc w:val="right"/>
              <w:rPr>
                <w:rFonts w:ascii="Times New Roman;Times;serif" w:hAnsi="Times New Roman;Times;serif"/>
                <w:sz w:val="18"/>
              </w:rPr>
            </w:pPr>
            <w:r>
              <w:rPr>
                <w:rFonts w:ascii="Times New Roman;Times;serif" w:hAnsi="Times New Roman;Times;serif"/>
                <w:sz w:val="18"/>
              </w:rPr>
              <w:t>158</w:t>
            </w:r>
          </w:p>
        </w:tc>
        <w:tc>
          <w:tcPr>
            <w:tcW w:w="184" w:type="dxa"/>
            <w:tcBorders/>
            <w:shd w:fill="FFFFFF" w:val="clear"/>
            <w:vAlign w:val="center"/>
          </w:tcPr>
          <w:p>
            <w:pPr>
              <w:pStyle w:val="TableContents"/>
              <w:spacing w:before="0" w:after="283"/>
              <w:rPr/>
            </w:pPr>
            <w:r>
              <w:rPr/>
              <w:t> </w:t>
            </w:r>
          </w:p>
        </w:tc>
        <w:tc>
          <w:tcPr>
            <w:tcW w:w="436" w:type="dxa"/>
            <w:tcBorders/>
            <w:shd w:fill="FFFFFF" w:val="clear"/>
            <w:vAlign w:val="center"/>
          </w:tcPr>
          <w:p>
            <w:pPr>
              <w:pStyle w:val="TableContents"/>
              <w:spacing w:before="0" w:after="283"/>
              <w:jc w:val="right"/>
              <w:rPr/>
            </w:pPr>
            <w:r>
              <w:rPr/>
              <w:t>—</w:t>
            </w:r>
          </w:p>
        </w:tc>
        <w:tc>
          <w:tcPr>
            <w:tcW w:w="120" w:type="dxa"/>
            <w:tcBorders/>
            <w:shd w:fill="FFFFFF" w:val="clear"/>
            <w:vAlign w:val="center"/>
          </w:tcPr>
          <w:p>
            <w:pPr>
              <w:pStyle w:val="TableContents"/>
              <w:spacing w:before="0" w:after="283"/>
              <w:rPr/>
            </w:pPr>
            <w:r>
              <w:rPr/>
              <w:t> </w:t>
            </w:r>
          </w:p>
        </w:tc>
        <w:tc>
          <w:tcPr>
            <w:tcW w:w="665" w:type="dxa"/>
            <w:tcBorders/>
            <w:shd w:fill="FFFFFF" w:val="clear"/>
            <w:vAlign w:val="center"/>
          </w:tcPr>
          <w:p>
            <w:pPr>
              <w:pStyle w:val="TableContents"/>
              <w:spacing w:before="0" w:after="283"/>
              <w:jc w:val="right"/>
              <w:rPr>
                <w:rFonts w:ascii="Times New Roman;Times;serif" w:hAnsi="Times New Roman;Times;serif"/>
                <w:sz w:val="18"/>
              </w:rPr>
            </w:pPr>
            <w:r>
              <w:rPr>
                <w:rFonts w:ascii="Times New Roman;Times;serif" w:hAnsi="Times New Roman;Times;serif"/>
                <w:sz w:val="18"/>
              </w:rPr>
              <w:t>407</w:t>
            </w:r>
          </w:p>
        </w:tc>
        <w:tc>
          <w:tcPr>
            <w:tcW w:w="80" w:type="dxa"/>
            <w:tcBorders/>
            <w:shd w:fill="FFFFFF" w:val="clear"/>
            <w:vAlign w:val="center"/>
          </w:tcPr>
          <w:p>
            <w:pPr>
              <w:pStyle w:val="TableContents"/>
              <w:spacing w:before="0" w:after="283"/>
              <w:rPr/>
            </w:pPr>
            <w:r>
              <w:rPr/>
              <w:t> </w:t>
            </w:r>
          </w:p>
        </w:tc>
        <w:tc>
          <w:tcPr>
            <w:tcW w:w="228" w:type="dxa"/>
            <w:tcBorders/>
            <w:shd w:fill="FFFFFF" w:val="clear"/>
            <w:vAlign w:val="center"/>
          </w:tcPr>
          <w:p>
            <w:pPr>
              <w:pStyle w:val="TableContents"/>
              <w:spacing w:before="0" w:after="283"/>
              <w:rPr/>
            </w:pPr>
            <w:r>
              <w:rPr/>
              <w:t> </w:t>
            </w:r>
          </w:p>
        </w:tc>
        <w:tc>
          <w:tcPr>
            <w:tcW w:w="887" w:type="dxa"/>
            <w:tcBorders/>
            <w:shd w:fill="FFFFFF" w:val="clear"/>
            <w:vAlign w:val="center"/>
          </w:tcPr>
          <w:p>
            <w:pPr>
              <w:pStyle w:val="TableContents"/>
              <w:spacing w:before="0" w:after="283"/>
              <w:jc w:val="right"/>
              <w:rPr/>
            </w:pPr>
            <w:r>
              <w:rPr/>
              <w:t>—</w:t>
            </w:r>
          </w:p>
        </w:tc>
        <w:tc>
          <w:tcPr>
            <w:tcW w:w="139" w:type="dxa"/>
            <w:tcBorders/>
            <w:shd w:fill="FFFFFF" w:val="clear"/>
            <w:vAlign w:val="center"/>
          </w:tcPr>
          <w:p>
            <w:pPr>
              <w:pStyle w:val="TableContents"/>
              <w:spacing w:before="0" w:after="283"/>
              <w:rPr/>
            </w:pPr>
            <w:r>
              <w:rPr/>
              <w:t> </w:t>
            </w:r>
          </w:p>
        </w:tc>
        <w:tc>
          <w:tcPr>
            <w:tcW w:w="841" w:type="dxa"/>
            <w:tcBorders/>
            <w:shd w:fill="FFFFFF" w:val="clear"/>
            <w:vAlign w:val="center"/>
          </w:tcPr>
          <w:p>
            <w:pPr>
              <w:pStyle w:val="TableContents"/>
              <w:spacing w:before="0" w:after="283"/>
              <w:jc w:val="right"/>
              <w:rPr/>
            </w:pPr>
            <w:r>
              <w:rPr/>
              <w:t>—</w:t>
            </w:r>
          </w:p>
        </w:tc>
        <w:tc>
          <w:tcPr>
            <w:tcW w:w="80" w:type="dxa"/>
            <w:tcBorders/>
            <w:shd w:fill="FFFFFF" w:val="clear"/>
            <w:vAlign w:val="center"/>
          </w:tcPr>
          <w:p>
            <w:pPr>
              <w:pStyle w:val="TableContents"/>
              <w:spacing w:before="0" w:after="283"/>
              <w:rPr/>
            </w:pPr>
            <w:r>
              <w:rPr/>
              <w:t> </w:t>
            </w:r>
          </w:p>
        </w:tc>
        <w:tc>
          <w:tcPr>
            <w:tcW w:w="153" w:type="dxa"/>
            <w:tcBorders/>
            <w:shd w:fill="FFFFFF" w:val="clear"/>
            <w:vAlign w:val="center"/>
          </w:tcPr>
          <w:p>
            <w:pPr>
              <w:pStyle w:val="TableContents"/>
              <w:spacing w:before="0" w:after="283"/>
              <w:rPr/>
            </w:pPr>
            <w:r>
              <w:rPr/>
              <w:t> </w:t>
            </w:r>
          </w:p>
        </w:tc>
        <w:tc>
          <w:tcPr>
            <w:tcW w:w="854" w:type="dxa"/>
            <w:tcBorders/>
            <w:shd w:fill="FFFFFF" w:val="clear"/>
            <w:vAlign w:val="center"/>
          </w:tcPr>
          <w:p>
            <w:pPr>
              <w:pStyle w:val="TableContents"/>
              <w:spacing w:before="0" w:after="283"/>
              <w:jc w:val="right"/>
              <w:rPr>
                <w:rFonts w:ascii="Times New Roman;Times;serif" w:hAnsi="Times New Roman;Times;serif"/>
                <w:sz w:val="18"/>
              </w:rPr>
            </w:pPr>
            <w:r>
              <w:rPr>
                <w:rFonts w:ascii="Times New Roman;Times;serif" w:hAnsi="Times New Roman;Times;serif"/>
                <w:sz w:val="18"/>
              </w:rPr>
              <w:t>407</w:t>
            </w:r>
          </w:p>
        </w:tc>
        <w:tc>
          <w:tcPr>
            <w:tcW w:w="84" w:type="dxa"/>
            <w:tcBorders/>
            <w:shd w:fill="FFFFFF" w:val="clear"/>
            <w:vAlign w:val="center"/>
          </w:tcPr>
          <w:p>
            <w:pPr>
              <w:pStyle w:val="TableContents"/>
              <w:spacing w:before="0" w:after="283"/>
              <w:rPr/>
            </w:pPr>
            <w:r>
              <w:rPr/>
              <w:t> </w:t>
            </w:r>
          </w:p>
        </w:tc>
      </w:tr>
      <w:tr>
        <w:trPr/>
        <w:tc>
          <w:tcPr>
            <w:tcW w:w="3464" w:type="dxa"/>
            <w:tcBorders/>
            <w:shd w:fill="CCEEFF" w:val="clear"/>
            <w:vAlign w:val="center"/>
          </w:tcPr>
          <w:p>
            <w:pPr>
              <w:pStyle w:val="TableContents"/>
              <w:spacing w:before="0" w:after="0"/>
              <w:rPr>
                <w:rFonts w:ascii="Times New Roman;Times;serif" w:hAnsi="Times New Roman;Times;serif"/>
                <w:caps w:val="false"/>
                <w:smallCaps w:val="false"/>
                <w:sz w:val="18"/>
              </w:rPr>
            </w:pPr>
            <w:r>
              <w:rPr>
                <w:rFonts w:ascii="Times New Roman;Times;serif" w:hAnsi="Times New Roman;Times;serif"/>
                <w:caps w:val="false"/>
                <w:smallCaps w:val="false"/>
                <w:sz w:val="18"/>
              </w:rPr>
              <w:t>Foreign currency translation adjustment</w:t>
            </w:r>
          </w:p>
        </w:tc>
        <w:tc>
          <w:tcPr>
            <w:tcW w:w="128" w:type="dxa"/>
            <w:tcBorders/>
            <w:shd w:fill="CCEEFF" w:val="clear"/>
            <w:vAlign w:val="center"/>
          </w:tcPr>
          <w:p>
            <w:pPr>
              <w:pStyle w:val="TableContents"/>
              <w:spacing w:before="0" w:after="283"/>
              <w:ind w:left="0" w:right="0" w:hanging="0"/>
              <w:rPr/>
            </w:pPr>
            <w:r>
              <w:rPr/>
              <w:t> </w:t>
            </w:r>
          </w:p>
        </w:tc>
        <w:tc>
          <w:tcPr>
            <w:tcW w:w="554" w:type="dxa"/>
            <w:tcBorders/>
            <w:shd w:fill="CCEEFF" w:val="clear"/>
            <w:vAlign w:val="center"/>
          </w:tcPr>
          <w:p>
            <w:pPr>
              <w:pStyle w:val="TableContents"/>
              <w:spacing w:before="0" w:after="283"/>
              <w:jc w:val="right"/>
              <w:rPr/>
            </w:pPr>
            <w:r>
              <w:rPr>
                <w:rStyle w:val="Emphasis"/>
              </w:rPr>
              <w:t>—</w:t>
            </w:r>
          </w:p>
        </w:tc>
        <w:tc>
          <w:tcPr>
            <w:tcW w:w="186" w:type="dxa"/>
            <w:tcBorders/>
            <w:shd w:fill="CCEEFF" w:val="clear"/>
            <w:vAlign w:val="center"/>
          </w:tcPr>
          <w:p>
            <w:pPr>
              <w:pStyle w:val="TableContents"/>
              <w:spacing w:before="0" w:after="283"/>
              <w:ind w:left="0" w:right="0" w:hanging="0"/>
              <w:rPr/>
            </w:pPr>
            <w:r>
              <w:rPr/>
              <w:t> </w:t>
            </w:r>
          </w:p>
        </w:tc>
        <w:tc>
          <w:tcPr>
            <w:tcW w:w="440" w:type="dxa"/>
            <w:tcBorders/>
            <w:shd w:fill="CCEEFF" w:val="clear"/>
            <w:vAlign w:val="center"/>
          </w:tcPr>
          <w:p>
            <w:pPr>
              <w:pStyle w:val="TableContents"/>
              <w:spacing w:before="0" w:after="283"/>
              <w:jc w:val="right"/>
              <w:rPr/>
            </w:pPr>
            <w:r>
              <w:rPr/>
              <w:t>—</w:t>
            </w:r>
          </w:p>
        </w:tc>
        <w:tc>
          <w:tcPr>
            <w:tcW w:w="72" w:type="dxa"/>
            <w:tcBorders/>
            <w:shd w:fill="CCEEFF" w:val="clear"/>
            <w:vAlign w:val="center"/>
          </w:tcPr>
          <w:p>
            <w:pPr>
              <w:pStyle w:val="TableContents"/>
              <w:spacing w:before="0" w:after="283"/>
              <w:ind w:left="0" w:right="0" w:hanging="0"/>
              <w:rPr/>
            </w:pPr>
            <w:r>
              <w:rPr/>
              <w:t> </w:t>
            </w:r>
          </w:p>
        </w:tc>
        <w:tc>
          <w:tcPr>
            <w:tcW w:w="610" w:type="dxa"/>
            <w:tcBorders/>
            <w:shd w:fill="CCEEFF" w:val="clear"/>
            <w:vAlign w:val="center"/>
          </w:tcPr>
          <w:p>
            <w:pPr>
              <w:pStyle w:val="TableContents"/>
              <w:spacing w:before="0" w:after="283"/>
              <w:jc w:val="right"/>
              <w:rPr/>
            </w:pPr>
            <w:r>
              <w:rPr>
                <w:rStyle w:val="Emphasis"/>
              </w:rPr>
              <w:t>—</w:t>
            </w:r>
          </w:p>
        </w:tc>
        <w:tc>
          <w:tcPr>
            <w:tcW w:w="184" w:type="dxa"/>
            <w:tcBorders/>
            <w:shd w:fill="CCEEFF" w:val="clear"/>
            <w:vAlign w:val="center"/>
          </w:tcPr>
          <w:p>
            <w:pPr>
              <w:pStyle w:val="TableContents"/>
              <w:spacing w:before="0" w:after="283"/>
              <w:ind w:left="0" w:right="0" w:hanging="0"/>
              <w:rPr/>
            </w:pPr>
            <w:r>
              <w:rPr/>
              <w:t> </w:t>
            </w:r>
          </w:p>
        </w:tc>
        <w:tc>
          <w:tcPr>
            <w:tcW w:w="436" w:type="dxa"/>
            <w:tcBorders/>
            <w:shd w:fill="CCEEFF" w:val="clear"/>
            <w:vAlign w:val="center"/>
          </w:tcPr>
          <w:p>
            <w:pPr>
              <w:pStyle w:val="TableContents"/>
              <w:spacing w:before="0" w:after="283"/>
              <w:jc w:val="right"/>
              <w:rPr/>
            </w:pPr>
            <w:r>
              <w:rPr/>
              <w:t>—</w:t>
            </w:r>
          </w:p>
        </w:tc>
        <w:tc>
          <w:tcPr>
            <w:tcW w:w="120" w:type="dxa"/>
            <w:tcBorders/>
            <w:shd w:fill="CCEEFF" w:val="clear"/>
            <w:vAlign w:val="center"/>
          </w:tcPr>
          <w:p>
            <w:pPr>
              <w:pStyle w:val="TableContents"/>
              <w:spacing w:before="0" w:after="283"/>
              <w:ind w:left="0" w:right="0" w:hanging="0"/>
              <w:rPr/>
            </w:pPr>
            <w:r>
              <w:rPr/>
              <w:t> </w:t>
            </w:r>
          </w:p>
        </w:tc>
        <w:tc>
          <w:tcPr>
            <w:tcW w:w="665" w:type="dxa"/>
            <w:tcBorders/>
            <w:shd w:fill="CCEEFF" w:val="clear"/>
            <w:vAlign w:val="center"/>
          </w:tcPr>
          <w:p>
            <w:pPr>
              <w:pStyle w:val="TableContents"/>
              <w:spacing w:before="0" w:after="283"/>
              <w:ind w:left="0" w:right="0" w:hanging="0"/>
              <w:jc w:val="right"/>
              <w:rPr/>
            </w:pPr>
            <w:r>
              <w:rPr/>
              <w:t>—</w:t>
            </w:r>
          </w:p>
        </w:tc>
        <w:tc>
          <w:tcPr>
            <w:tcW w:w="80" w:type="dxa"/>
            <w:tcBorders/>
            <w:shd w:fill="CCEEFF" w:val="clear"/>
            <w:vAlign w:val="center"/>
          </w:tcPr>
          <w:p>
            <w:pPr>
              <w:pStyle w:val="TableContents"/>
              <w:spacing w:before="0" w:after="283"/>
              <w:rPr/>
            </w:pPr>
            <w:r>
              <w:rPr/>
              <w:t> </w:t>
            </w:r>
          </w:p>
        </w:tc>
        <w:tc>
          <w:tcPr>
            <w:tcW w:w="228" w:type="dxa"/>
            <w:tcBorders/>
            <w:shd w:fill="CCEEFF" w:val="clear"/>
            <w:vAlign w:val="center"/>
          </w:tcPr>
          <w:p>
            <w:pPr>
              <w:pStyle w:val="TableContents"/>
              <w:spacing w:before="0" w:after="283"/>
              <w:ind w:left="0" w:right="0" w:hanging="0"/>
              <w:rPr/>
            </w:pPr>
            <w:r>
              <w:rPr/>
              <w:t> </w:t>
            </w:r>
          </w:p>
        </w:tc>
        <w:tc>
          <w:tcPr>
            <w:tcW w:w="887" w:type="dxa"/>
            <w:tcBorders/>
            <w:shd w:fill="CCEEFF" w:val="clear"/>
            <w:vAlign w:val="center"/>
          </w:tcPr>
          <w:p>
            <w:pPr>
              <w:pStyle w:val="TableContents"/>
              <w:spacing w:before="0" w:after="283"/>
              <w:jc w:val="right"/>
              <w:rPr>
                <w:rFonts w:ascii="Times New Roman;Times;serif" w:hAnsi="Times New Roman;Times;serif"/>
                <w:sz w:val="18"/>
              </w:rPr>
            </w:pPr>
            <w:r>
              <w:rPr>
                <w:rFonts w:ascii="Times New Roman;Times;serif" w:hAnsi="Times New Roman;Times;serif"/>
                <w:sz w:val="18"/>
              </w:rPr>
              <w:t>1,640</w:t>
            </w:r>
          </w:p>
        </w:tc>
        <w:tc>
          <w:tcPr>
            <w:tcW w:w="139" w:type="dxa"/>
            <w:tcBorders/>
            <w:shd w:fill="CCEEFF" w:val="clear"/>
            <w:vAlign w:val="center"/>
          </w:tcPr>
          <w:p>
            <w:pPr>
              <w:pStyle w:val="TableContents"/>
              <w:spacing w:before="0" w:after="283"/>
              <w:ind w:left="0" w:right="0" w:hanging="0"/>
              <w:rPr/>
            </w:pPr>
            <w:r>
              <w:rPr/>
              <w:t> </w:t>
            </w:r>
          </w:p>
        </w:tc>
        <w:tc>
          <w:tcPr>
            <w:tcW w:w="841" w:type="dxa"/>
            <w:tcBorders/>
            <w:shd w:fill="CCEEFF" w:val="cle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(2</w:t>
            </w:r>
          </w:p>
        </w:tc>
        <w:tc>
          <w:tcPr>
            <w:tcW w:w="80" w:type="dxa"/>
            <w:tcBorders/>
            <w:shd w:fill="CCEEFF"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w:t>
            </w:r>
          </w:p>
        </w:tc>
        <w:tc>
          <w:tcPr>
            <w:tcW w:w="153" w:type="dxa"/>
            <w:tcBorders/>
            <w:shd w:fill="CCEEFF" w:val="clear"/>
            <w:vAlign w:val="center"/>
          </w:tcPr>
          <w:p>
            <w:pPr>
              <w:pStyle w:val="TableContents"/>
              <w:spacing w:before="0" w:after="283"/>
              <w:ind w:left="0" w:right="0" w:hanging="0"/>
              <w:rPr/>
            </w:pPr>
            <w:r>
              <w:rPr/>
              <w:t> </w:t>
            </w:r>
          </w:p>
        </w:tc>
        <w:tc>
          <w:tcPr>
            <w:tcW w:w="854" w:type="dxa"/>
            <w:tcBorders/>
            <w:shd w:fill="CCEEFF" w:val="cle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1,638</w:t>
            </w:r>
          </w:p>
        </w:tc>
        <w:tc>
          <w:tcPr>
            <w:tcW w:w="84" w:type="dxa"/>
            <w:tcBorders/>
            <w:shd w:fill="CCEEFF" w:val="clear"/>
            <w:vAlign w:val="center"/>
          </w:tcPr>
          <w:p>
            <w:pPr>
              <w:pStyle w:val="TableContents"/>
              <w:spacing w:before="0" w:after="283"/>
              <w:rPr/>
            </w:pPr>
            <w:r>
              <w:rPr/>
              <w:t> </w:t>
            </w:r>
          </w:p>
        </w:tc>
      </w:tr>
      <w:tr>
        <w:trPr/>
        <w:tc>
          <w:tcPr>
            <w:tcW w:w="3464" w:type="dxa"/>
            <w:tcBorders/>
            <w:shd w:fill="FFFFFF" w:val="clear"/>
            <w:vAlign w:val="center"/>
          </w:tcPr>
          <w:p>
            <w:pPr>
              <w:pStyle w:val="TableContents"/>
              <w:spacing w:before="0" w:after="0"/>
              <w:rPr>
                <w:rFonts w:ascii="Times New Roman;Times;serif" w:hAnsi="Times New Roman;Times;serif"/>
                <w:caps w:val="false"/>
                <w:smallCaps w:val="false"/>
                <w:sz w:val="18"/>
              </w:rPr>
            </w:pPr>
            <w:r>
              <w:rPr>
                <w:rFonts w:ascii="Times New Roman;Times;serif" w:hAnsi="Times New Roman;Times;serif"/>
                <w:caps w:val="false"/>
                <w:smallCaps w:val="false"/>
                <w:sz w:val="18"/>
              </w:rPr>
              <w:t>Net loss</w:t>
            </w:r>
          </w:p>
        </w:tc>
        <w:tc>
          <w:tcPr>
            <w:tcW w:w="128"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54" w:type="dxa"/>
            <w:tcBorders>
              <w:bottom w:val="single" w:sz="2" w:space="0" w:color="000000"/>
            </w:tcBorders>
            <w:shd w:fill="FFFFFF" w:val="clear"/>
            <w:tcMar>
              <w:bottom w:w="28" w:type="dxa"/>
            </w:tcMar>
            <w:vAlign w:val="center"/>
          </w:tcPr>
          <w:p>
            <w:pPr>
              <w:pStyle w:val="TableContents"/>
              <w:spacing w:before="0" w:after="283"/>
              <w:jc w:val="right"/>
              <w:rPr/>
            </w:pPr>
            <w:r>
              <w:rPr>
                <w:rStyle w:val="Emphasis"/>
              </w:rPr>
              <w:t>—</w:t>
            </w:r>
          </w:p>
        </w:tc>
        <w:tc>
          <w:tcPr>
            <w:tcW w:w="186"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440" w:type="dxa"/>
            <w:tcBorders>
              <w:bottom w:val="single" w:sz="2" w:space="0" w:color="000000"/>
            </w:tcBorders>
            <w:shd w:fill="FFFFFF" w:val="clear"/>
            <w:tcMar>
              <w:bottom w:w="28" w:type="dxa"/>
            </w:tcMar>
            <w:vAlign w:val="center"/>
          </w:tcPr>
          <w:p>
            <w:pPr>
              <w:pStyle w:val="TableContents"/>
              <w:spacing w:before="0" w:after="283"/>
              <w:jc w:val="right"/>
              <w:rPr/>
            </w:pPr>
            <w:r>
              <w:rPr/>
              <w:t>—</w:t>
            </w:r>
          </w:p>
        </w:tc>
        <w:tc>
          <w:tcPr>
            <w:tcW w:w="72"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10" w:type="dxa"/>
            <w:tcBorders>
              <w:bottom w:val="single" w:sz="2" w:space="0" w:color="000000"/>
            </w:tcBorders>
            <w:shd w:fill="FFFFFF" w:val="clear"/>
            <w:tcMar>
              <w:bottom w:w="28" w:type="dxa"/>
            </w:tcMar>
            <w:vAlign w:val="center"/>
          </w:tcPr>
          <w:p>
            <w:pPr>
              <w:pStyle w:val="TableContents"/>
              <w:spacing w:before="0" w:after="283"/>
              <w:jc w:val="right"/>
              <w:rPr/>
            </w:pPr>
            <w:r>
              <w:rPr>
                <w:rStyle w:val="Emphasis"/>
              </w:rPr>
              <w:t>—</w:t>
            </w:r>
          </w:p>
        </w:tc>
        <w:tc>
          <w:tcPr>
            <w:tcW w:w="184"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436" w:type="dxa"/>
            <w:tcBorders>
              <w:bottom w:val="single" w:sz="2" w:space="0" w:color="000000"/>
            </w:tcBorders>
            <w:shd w:fill="FFFFFF" w:val="clear"/>
            <w:tcMar>
              <w:bottom w:w="28" w:type="dxa"/>
            </w:tcMar>
            <w:vAlign w:val="center"/>
          </w:tcPr>
          <w:p>
            <w:pPr>
              <w:pStyle w:val="TableContents"/>
              <w:spacing w:before="0" w:after="283"/>
              <w:jc w:val="right"/>
              <w:rPr/>
            </w:pPr>
            <w:r>
              <w:rPr/>
              <w:t>—</w:t>
            </w:r>
          </w:p>
        </w:tc>
        <w:tc>
          <w:tcPr>
            <w:tcW w:w="120"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65" w:type="dxa"/>
            <w:tcBorders>
              <w:bottom w:val="single" w:sz="2" w:space="0" w:color="000000"/>
            </w:tcBorders>
            <w:shd w:fill="FFFFFF" w:val="clear"/>
            <w:tcMar>
              <w:bottom w:w="28" w:type="dxa"/>
            </w:tcMar>
            <w:vAlign w:val="center"/>
          </w:tcPr>
          <w:p>
            <w:pPr>
              <w:pStyle w:val="TableContents"/>
              <w:spacing w:before="0" w:after="283"/>
              <w:ind w:left="0" w:right="0" w:hanging="0"/>
              <w:jc w:val="right"/>
              <w:rPr/>
            </w:pPr>
            <w:r>
              <w:rPr/>
              <w:t>—</w:t>
            </w:r>
          </w:p>
        </w:tc>
        <w:tc>
          <w:tcPr>
            <w:tcW w:w="80" w:type="dxa"/>
            <w:tcBorders/>
            <w:shd w:fill="FFFFFF" w:val="clear"/>
            <w:vAlign w:val="center"/>
          </w:tcPr>
          <w:p>
            <w:pPr>
              <w:pStyle w:val="TableContents"/>
              <w:spacing w:before="0" w:after="283"/>
              <w:rPr/>
            </w:pPr>
            <w:r>
              <w:rPr/>
              <w:t> </w:t>
            </w:r>
          </w:p>
        </w:tc>
        <w:tc>
          <w:tcPr>
            <w:tcW w:w="228"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887" w:type="dxa"/>
            <w:tcBorders>
              <w:bottom w:val="single" w:sz="2" w:space="0" w:color="000000"/>
            </w:tcBorders>
            <w:shd w:fill="FFFFFF" w:val="clear"/>
            <w:tcMar>
              <w:bottom w:w="28" w:type="dxa"/>
            </w:tcMar>
            <w:vAlign w:val="center"/>
          </w:tcPr>
          <w:p>
            <w:pPr>
              <w:pStyle w:val="TableContents"/>
              <w:spacing w:before="0" w:after="283"/>
              <w:jc w:val="right"/>
              <w:rPr/>
            </w:pPr>
            <w:r>
              <w:rPr/>
              <w:t>—</w:t>
            </w:r>
          </w:p>
        </w:tc>
        <w:tc>
          <w:tcPr>
            <w:tcW w:w="139"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841"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(16,292</w:t>
            </w:r>
          </w:p>
        </w:tc>
        <w:tc>
          <w:tcPr>
            <w:tcW w:w="80" w:type="dxa"/>
            <w:tcBorders/>
            <w:shd w:fill="FFFFFF"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w:t>
            </w:r>
          </w:p>
        </w:tc>
        <w:tc>
          <w:tcPr>
            <w:tcW w:w="153"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854"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(16,292</w:t>
            </w:r>
          </w:p>
        </w:tc>
        <w:tc>
          <w:tcPr>
            <w:tcW w:w="84" w:type="dxa"/>
            <w:tcBorders/>
            <w:shd w:fill="FFFFFF"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w:t>
            </w:r>
          </w:p>
        </w:tc>
      </w:tr>
      <w:tr>
        <w:trPr/>
        <w:tc>
          <w:tcPr>
            <w:tcW w:w="3464" w:type="dxa"/>
            <w:tcBorders/>
            <w:shd w:fill="CCEEFF" w:val="clear"/>
            <w:vAlign w:val="center"/>
          </w:tcPr>
          <w:p>
            <w:pPr>
              <w:pStyle w:val="TableContents"/>
              <w:spacing w:before="0" w:after="0"/>
              <w:rPr>
                <w:rFonts w:ascii="Times New Roman;Times;serif" w:hAnsi="Times New Roman;Times;serif"/>
                <w:caps w:val="false"/>
                <w:smallCaps w:val="false"/>
                <w:sz w:val="18"/>
              </w:rPr>
            </w:pPr>
            <w:r>
              <w:rPr>
                <w:rFonts w:ascii="Times New Roman;Times;serif" w:hAnsi="Times New Roman;Times;serif"/>
                <w:caps w:val="false"/>
                <w:smallCaps w:val="false"/>
                <w:sz w:val="18"/>
              </w:rPr>
              <w:t>March 31, 2023</w:t>
            </w:r>
          </w:p>
        </w:tc>
        <w:tc>
          <w:tcPr>
            <w:tcW w:w="128" w:type="dxa"/>
            <w:tcBorders>
              <w:bottom w:val="double" w:sz="6" w:space="0" w:color="000000"/>
            </w:tcBorders>
            <w:shd w:fill="CCEEFF" w:val="clear"/>
            <w:tcMar>
              <w:bottom w:w="28" w:type="dxa"/>
            </w:tcMar>
            <w:vAlign w:val="center"/>
          </w:tcPr>
          <w:p>
            <w:pPr>
              <w:pStyle w:val="TableContents"/>
              <w:spacing w:before="0" w:after="283"/>
              <w:ind w:left="0" w:right="0" w:hanging="0"/>
              <w:rPr/>
            </w:pPr>
            <w:r>
              <w:rPr/>
              <w:t> </w:t>
            </w:r>
          </w:p>
        </w:tc>
        <w:tc>
          <w:tcPr>
            <w:tcW w:w="554" w:type="dxa"/>
            <w:tcBorders>
              <w:bottom w:val="double" w:sz="6" w:space="0" w:color="000000"/>
            </w:tcBorders>
            <w:shd w:fill="CCEEFF" w:val="clear"/>
            <w:tcMar>
              <w:bottom w:w="28" w:type="dxa"/>
            </w:tcMar>
            <w:vAlign w:val="center"/>
          </w:tcPr>
          <w:p>
            <w:pPr>
              <w:pStyle w:val="TableContents"/>
              <w:spacing w:before="0" w:after="283"/>
              <w:ind w:left="0" w:right="0" w:hanging="0"/>
              <w:jc w:val="right"/>
              <w:rPr/>
            </w:pPr>
            <w:r>
              <w:rPr/>
              <w:t>—</w:t>
            </w:r>
          </w:p>
        </w:tc>
        <w:tc>
          <w:tcPr>
            <w:tcW w:w="186"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Times;serif" w:hAnsi="Times New Roman;Times;serif"/>
                <w:sz w:val="18"/>
              </w:rPr>
            </w:pPr>
            <w:r>
              <w:rPr>
                <w:rFonts w:ascii="Times New Roman;Times;serif" w:hAnsi="Times New Roman;Times;serif"/>
                <w:sz w:val="18"/>
              </w:rPr>
              <w:t>$</w:t>
            </w:r>
          </w:p>
        </w:tc>
        <w:tc>
          <w:tcPr>
            <w:tcW w:w="440" w:type="dxa"/>
            <w:tcBorders>
              <w:bottom w:val="double" w:sz="6" w:space="0" w:color="000000"/>
            </w:tcBorders>
            <w:shd w:fill="CCEEFF" w:val="clear"/>
            <w:tcMar>
              <w:bottom w:w="28" w:type="dxa"/>
            </w:tcMar>
            <w:vAlign w:val="center"/>
          </w:tcPr>
          <w:p>
            <w:pPr>
              <w:pStyle w:val="TableContents"/>
              <w:spacing w:before="0" w:after="283"/>
              <w:jc w:val="right"/>
              <w:rPr/>
            </w:pPr>
            <w:r>
              <w:rPr/>
              <w:t>—</w:t>
            </w:r>
          </w:p>
        </w:tc>
        <w:tc>
          <w:tcPr>
            <w:tcW w:w="72" w:type="dxa"/>
            <w:tcBorders>
              <w:bottom w:val="double" w:sz="6" w:space="0" w:color="000000"/>
            </w:tcBorders>
            <w:shd w:fill="CCEEFF" w:val="clear"/>
            <w:tcMar>
              <w:bottom w:w="28" w:type="dxa"/>
            </w:tcMar>
            <w:vAlign w:val="center"/>
          </w:tcPr>
          <w:p>
            <w:pPr>
              <w:pStyle w:val="TableContents"/>
              <w:spacing w:before="0" w:after="283"/>
              <w:ind w:left="0" w:right="0" w:hanging="0"/>
              <w:rPr/>
            </w:pPr>
            <w:r>
              <w:rPr/>
              <w:t> </w:t>
            </w:r>
          </w:p>
        </w:tc>
        <w:tc>
          <w:tcPr>
            <w:tcW w:w="61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29,072</w:t>
            </w:r>
          </w:p>
        </w:tc>
        <w:tc>
          <w:tcPr>
            <w:tcW w:w="184"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Times;serif" w:hAnsi="Times New Roman;Times;serif"/>
                <w:sz w:val="18"/>
              </w:rPr>
            </w:pPr>
            <w:r>
              <w:rPr>
                <w:rFonts w:ascii="Times New Roman;Times;serif" w:hAnsi="Times New Roman;Times;serif"/>
                <w:sz w:val="18"/>
              </w:rPr>
              <w:t>$</w:t>
            </w:r>
          </w:p>
        </w:tc>
        <w:tc>
          <w:tcPr>
            <w:tcW w:w="436"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29</w:t>
            </w:r>
          </w:p>
        </w:tc>
        <w:tc>
          <w:tcPr>
            <w:tcW w:w="120"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Times;serif" w:hAnsi="Times New Roman;Times;serif"/>
                <w:sz w:val="18"/>
              </w:rPr>
            </w:pPr>
            <w:r>
              <w:rPr>
                <w:rFonts w:ascii="Times New Roman;Times;serif" w:hAnsi="Times New Roman;Times;serif"/>
                <w:sz w:val="18"/>
              </w:rPr>
              <w:t>$</w:t>
            </w:r>
          </w:p>
        </w:tc>
        <w:tc>
          <w:tcPr>
            <w:tcW w:w="665"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394,147</w:t>
            </w:r>
          </w:p>
        </w:tc>
        <w:tc>
          <w:tcPr>
            <w:tcW w:w="80" w:type="dxa"/>
            <w:tcBorders/>
            <w:shd w:fill="CCEEFF" w:val="clear"/>
            <w:vAlign w:val="center"/>
          </w:tcPr>
          <w:p>
            <w:pPr>
              <w:pStyle w:val="TableContents"/>
              <w:spacing w:before="0" w:after="283"/>
              <w:ind w:left="0" w:right="0" w:hanging="0"/>
              <w:rPr/>
            </w:pPr>
            <w:r>
              <w:rPr/>
              <w:t> </w:t>
            </w:r>
          </w:p>
        </w:tc>
        <w:tc>
          <w:tcPr>
            <w:tcW w:w="228"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Times;serif" w:hAnsi="Times New Roman;Times;serif"/>
                <w:sz w:val="18"/>
              </w:rPr>
            </w:pPr>
            <w:r>
              <w:rPr>
                <w:rFonts w:ascii="Times New Roman;Times;serif" w:hAnsi="Times New Roman;Times;serif"/>
                <w:sz w:val="18"/>
              </w:rPr>
              <w:t>$</w:t>
            </w:r>
          </w:p>
        </w:tc>
        <w:tc>
          <w:tcPr>
            <w:tcW w:w="887"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3,823</w:t>
            </w:r>
          </w:p>
        </w:tc>
        <w:tc>
          <w:tcPr>
            <w:tcW w:w="139"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Times;serif" w:hAnsi="Times New Roman;Times;serif"/>
                <w:sz w:val="18"/>
              </w:rPr>
            </w:pPr>
            <w:r>
              <w:rPr>
                <w:rFonts w:ascii="Times New Roman;Times;serif" w:hAnsi="Times New Roman;Times;serif"/>
                <w:sz w:val="18"/>
              </w:rPr>
              <w:t>$</w:t>
            </w:r>
          </w:p>
        </w:tc>
        <w:tc>
          <w:tcPr>
            <w:tcW w:w="841"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(225,362</w:t>
            </w:r>
          </w:p>
        </w:tc>
        <w:tc>
          <w:tcPr>
            <w:tcW w:w="80" w:type="dxa"/>
            <w:tcBorders/>
            <w:shd w:fill="CCEEFF" w:val="clear"/>
            <w:vAlign w:val="center"/>
          </w:tcPr>
          <w:p>
            <w:pPr>
              <w:pStyle w:val="TableContents"/>
              <w:spacing w:before="0" w:after="283"/>
              <w:ind w:left="0" w:right="0" w:hanging="0"/>
              <w:rPr>
                <w:rFonts w:ascii="Times New Roman;Times;serif" w:hAnsi="Times New Roman;Times;serif"/>
                <w:sz w:val="18"/>
              </w:rPr>
            </w:pPr>
            <w:r>
              <w:rPr>
                <w:rFonts w:ascii="Times New Roman;Times;serif" w:hAnsi="Times New Roman;Times;serif"/>
                <w:sz w:val="18"/>
              </w:rPr>
              <w:t>)</w:t>
            </w:r>
          </w:p>
        </w:tc>
        <w:tc>
          <w:tcPr>
            <w:tcW w:w="153"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Times;serif" w:hAnsi="Times New Roman;Times;serif"/>
                <w:sz w:val="18"/>
              </w:rPr>
            </w:pPr>
            <w:r>
              <w:rPr>
                <w:rFonts w:ascii="Times New Roman;Times;serif" w:hAnsi="Times New Roman;Times;serif"/>
                <w:sz w:val="18"/>
              </w:rPr>
              <w:t>$</w:t>
            </w:r>
          </w:p>
        </w:tc>
        <w:tc>
          <w:tcPr>
            <w:tcW w:w="854"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172,637</w:t>
            </w:r>
          </w:p>
        </w:tc>
        <w:tc>
          <w:tcPr>
            <w:tcW w:w="84" w:type="dxa"/>
            <w:tcBorders/>
            <w:shd w:fill="CCEEFF" w:val="clear"/>
            <w:vAlign w:val="center"/>
          </w:tcPr>
          <w:p>
            <w:pPr>
              <w:pStyle w:val="TableContents"/>
              <w:spacing w:before="0" w:after="283"/>
              <w:rPr/>
            </w:pPr>
            <w:r>
              <w:rPr/>
              <w:t> </w:t>
            </w:r>
          </w:p>
        </w:tc>
      </w:tr>
    </w:tbl>
    <w:p>
      <w:pPr>
        <w:pStyle w:val="TextBody"/>
        <w:spacing w:before="0" w:after="0"/>
        <w:ind w:left="0" w:right="0" w:hanging="0"/>
        <w:jc w:val="center"/>
        <w:rPr/>
      </w:pPr>
      <w:r>
        <w:rPr/>
        <w:t>​</w:t>
      </w:r>
    </w:p>
    <w:tbl>
      <w:tblPr>
        <w:tblW w:w="10205" w:type="dxa"/>
        <w:jc w:val="left"/>
        <w:tblInd w:w="0" w:type="dxa"/>
        <w:tblCellMar>
          <w:top w:w="0" w:type="dxa"/>
          <w:left w:w="0" w:type="dxa"/>
          <w:bottom w:w="0" w:type="dxa"/>
          <w:right w:w="0" w:type="dxa"/>
        </w:tblCellMar>
      </w:tblPr>
      <w:tblGrid>
        <w:gridCol w:w="3388"/>
        <w:gridCol w:w="127"/>
        <w:gridCol w:w="553"/>
        <w:gridCol w:w="186"/>
        <w:gridCol w:w="440"/>
        <w:gridCol w:w="72"/>
        <w:gridCol w:w="608"/>
        <w:gridCol w:w="184"/>
        <w:gridCol w:w="436"/>
        <w:gridCol w:w="120"/>
        <w:gridCol w:w="665"/>
        <w:gridCol w:w="80"/>
        <w:gridCol w:w="195"/>
        <w:gridCol w:w="920"/>
        <w:gridCol w:w="80"/>
        <w:gridCol w:w="139"/>
        <w:gridCol w:w="841"/>
        <w:gridCol w:w="80"/>
        <w:gridCol w:w="153"/>
        <w:gridCol w:w="853"/>
        <w:gridCol w:w="85"/>
      </w:tblGrid>
      <w:tr>
        <w:trPr/>
        <w:tc>
          <w:tcPr>
            <w:tcW w:w="3388" w:type="dxa"/>
            <w:tcBorders/>
            <w:shd w:fill="FFFFFF" w:val="clear"/>
            <w:vAlign w:val="center"/>
          </w:tcPr>
          <w:p>
            <w:pPr>
              <w:pStyle w:val="TableContents"/>
              <w:spacing w:before="0" w:after="283"/>
              <w:ind w:left="0" w:right="0" w:hanging="0"/>
              <w:rPr/>
            </w:pPr>
            <w:r>
              <w:rPr/>
              <w:t> </w:t>
            </w:r>
          </w:p>
        </w:tc>
        <w:tc>
          <w:tcPr>
            <w:tcW w:w="680" w:type="dxa"/>
            <w:gridSpan w:val="2"/>
            <w:tcBorders/>
            <w:shd w:fill="FFFFFF" w:val="clear"/>
            <w:vAlign w:val="center"/>
          </w:tcPr>
          <w:p>
            <w:pPr>
              <w:pStyle w:val="TableContents"/>
              <w:spacing w:before="0" w:after="0"/>
              <w:ind w:left="0" w:right="0" w:hanging="0"/>
              <w:jc w:val="center"/>
              <w:rPr/>
            </w:pPr>
            <w:r>
              <w:rPr/>
              <w:t>​</w:t>
            </w:r>
          </w:p>
        </w:tc>
        <w:tc>
          <w:tcPr>
            <w:tcW w:w="626" w:type="dxa"/>
            <w:gridSpan w:val="2"/>
            <w:tcBorders/>
            <w:shd w:fill="FFFFFF" w:val="clear"/>
            <w:vAlign w:val="center"/>
          </w:tcPr>
          <w:p>
            <w:pPr>
              <w:pStyle w:val="TableContents"/>
              <w:spacing w:before="0" w:after="0"/>
              <w:ind w:left="0" w:right="0" w:hanging="0"/>
              <w:jc w:val="center"/>
              <w:rPr/>
            </w:pPr>
            <w:r>
              <w:rPr/>
              <w:t>​</w:t>
            </w:r>
          </w:p>
        </w:tc>
        <w:tc>
          <w:tcPr>
            <w:tcW w:w="680" w:type="dxa"/>
            <w:gridSpan w:val="2"/>
            <w:tcBorders/>
            <w:shd w:fill="FFFFFF" w:val="clear"/>
            <w:vAlign w:val="center"/>
          </w:tcPr>
          <w:p>
            <w:pPr>
              <w:pStyle w:val="TableContents"/>
              <w:spacing w:before="0" w:after="0"/>
              <w:ind w:left="0" w:right="0" w:hanging="0"/>
              <w:jc w:val="center"/>
              <w:rPr/>
            </w:pPr>
            <w:r>
              <w:rPr/>
              <w:t>​</w:t>
            </w:r>
          </w:p>
        </w:tc>
        <w:tc>
          <w:tcPr>
            <w:tcW w:w="620" w:type="dxa"/>
            <w:gridSpan w:val="2"/>
            <w:tcBorders/>
            <w:shd w:fill="FFFFFF" w:val="clear"/>
            <w:vAlign w:val="center"/>
          </w:tcPr>
          <w:p>
            <w:pPr>
              <w:pStyle w:val="TableContents"/>
              <w:spacing w:before="0" w:after="0"/>
              <w:ind w:left="0" w:right="0" w:hanging="0"/>
              <w:jc w:val="center"/>
              <w:rPr/>
            </w:pPr>
            <w:r>
              <w:rPr/>
              <w:t>​</w:t>
            </w:r>
          </w:p>
        </w:tc>
        <w:tc>
          <w:tcPr>
            <w:tcW w:w="785" w:type="dxa"/>
            <w:gridSpan w:val="2"/>
            <w:tcBorders/>
            <w:shd w:fill="FFFFFF" w:val="clear"/>
            <w:vAlign w:val="center"/>
          </w:tcPr>
          <w:p>
            <w:pPr>
              <w:pStyle w:val="TableContents"/>
              <w:spacing w:before="0" w:after="0"/>
              <w:ind w:left="0" w:right="0" w:hanging="0"/>
              <w:jc w:val="center"/>
              <w:rPr/>
            </w:pPr>
            <w:r>
              <w:rPr/>
              <w:t>​</w:t>
            </w:r>
          </w:p>
        </w:tc>
        <w:tc>
          <w:tcPr>
            <w:tcW w:w="80" w:type="dxa"/>
            <w:tcBorders/>
            <w:shd w:fill="FFFFFF" w:val="clear"/>
            <w:vAlign w:val="center"/>
          </w:tcPr>
          <w:p>
            <w:pPr>
              <w:pStyle w:val="TableContents"/>
              <w:spacing w:before="0" w:after="283"/>
              <w:ind w:left="0" w:right="0" w:hanging="0"/>
              <w:rPr/>
            </w:pPr>
            <w:r>
              <w:rPr/>
              <w:t> </w:t>
            </w:r>
          </w:p>
        </w:tc>
        <w:tc>
          <w:tcPr>
            <w:tcW w:w="1115"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sz w:val="18"/>
              </w:rPr>
              <w:t>Accumulated</w:t>
            </w:r>
          </w:p>
        </w:tc>
        <w:tc>
          <w:tcPr>
            <w:tcW w:w="80" w:type="dxa"/>
            <w:tcBorders/>
            <w:shd w:fill="FFFFFF" w:val="clear"/>
            <w:vAlign w:val="center"/>
          </w:tcPr>
          <w:p>
            <w:pPr>
              <w:pStyle w:val="TableContents"/>
              <w:spacing w:before="0" w:after="283"/>
              <w:ind w:left="0" w:right="0" w:hanging="0"/>
              <w:rPr/>
            </w:pPr>
            <w:r>
              <w:rPr/>
              <w:t> </w:t>
            </w:r>
          </w:p>
        </w:tc>
        <w:tc>
          <w:tcPr>
            <w:tcW w:w="980" w:type="dxa"/>
            <w:gridSpan w:val="2"/>
            <w:tcBorders/>
            <w:shd w:fill="FFFFFF" w:val="clear"/>
            <w:vAlign w:val="center"/>
          </w:tcPr>
          <w:p>
            <w:pPr>
              <w:pStyle w:val="TableContents"/>
              <w:spacing w:before="0" w:after="0"/>
              <w:ind w:left="0" w:right="0" w:hanging="0"/>
              <w:jc w:val="center"/>
              <w:rPr/>
            </w:pPr>
            <w:r>
              <w:rPr/>
              <w:t>​</w:t>
            </w:r>
          </w:p>
        </w:tc>
        <w:tc>
          <w:tcPr>
            <w:tcW w:w="80" w:type="dxa"/>
            <w:tcBorders/>
            <w:shd w:fill="FFFFFF" w:val="clear"/>
            <w:vAlign w:val="center"/>
          </w:tcPr>
          <w:p>
            <w:pPr>
              <w:pStyle w:val="TableContents"/>
              <w:spacing w:before="0" w:after="283"/>
              <w:ind w:left="0" w:right="0" w:hanging="0"/>
              <w:rPr/>
            </w:pPr>
            <w:r>
              <w:rPr/>
              <w:t> </w:t>
            </w:r>
          </w:p>
        </w:tc>
        <w:tc>
          <w:tcPr>
            <w:tcW w:w="1006" w:type="dxa"/>
            <w:gridSpan w:val="2"/>
            <w:tcBorders/>
            <w:shd w:fill="FFFFFF" w:val="clear"/>
            <w:vAlign w:val="center"/>
          </w:tcPr>
          <w:p>
            <w:pPr>
              <w:pStyle w:val="TableContents"/>
              <w:spacing w:before="0" w:after="0"/>
              <w:ind w:left="0" w:right="0" w:hanging="0"/>
              <w:jc w:val="center"/>
              <w:rPr/>
            </w:pPr>
            <w:r>
              <w:rPr/>
              <w:t>​</w:t>
            </w:r>
          </w:p>
        </w:tc>
        <w:tc>
          <w:tcPr>
            <w:tcW w:w="85" w:type="dxa"/>
            <w:tcBorders/>
            <w:shd w:fill="FFFFFF" w:val="clear"/>
            <w:vAlign w:val="center"/>
          </w:tcPr>
          <w:p>
            <w:pPr>
              <w:pStyle w:val="TableContents"/>
              <w:spacing w:before="0" w:after="283"/>
              <w:rPr/>
            </w:pPr>
            <w:r>
              <w:rPr/>
              <w:t> </w:t>
            </w:r>
          </w:p>
        </w:tc>
      </w:tr>
      <w:tr>
        <w:trPr/>
        <w:tc>
          <w:tcPr>
            <w:tcW w:w="3388" w:type="dxa"/>
            <w:tcBorders/>
            <w:shd w:fill="FFFFFF" w:val="clear"/>
            <w:vAlign w:val="center"/>
          </w:tcPr>
          <w:p>
            <w:pPr>
              <w:pStyle w:val="TableContents"/>
              <w:spacing w:before="0" w:after="0"/>
              <w:ind w:left="0" w:right="0" w:hanging="0"/>
              <w:rPr/>
            </w:pPr>
            <w:r>
              <w:rPr/>
              <w:t>​</w:t>
            </w:r>
          </w:p>
        </w:tc>
        <w:tc>
          <w:tcPr>
            <w:tcW w:w="1306" w:type="dxa"/>
            <w:gridSpan w:val="4"/>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sz w:val="18"/>
              </w:rPr>
              <w:t>Preferred Stock</w:t>
            </w:r>
          </w:p>
        </w:tc>
        <w:tc>
          <w:tcPr>
            <w:tcW w:w="1300" w:type="dxa"/>
            <w:gridSpan w:val="4"/>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sz w:val="18"/>
              </w:rPr>
              <w:t>Common Stock</w:t>
            </w:r>
          </w:p>
        </w:tc>
        <w:tc>
          <w:tcPr>
            <w:tcW w:w="785"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sz w:val="18"/>
              </w:rPr>
              <w:t>Additional</w:t>
            </w:r>
          </w:p>
        </w:tc>
        <w:tc>
          <w:tcPr>
            <w:tcW w:w="80" w:type="dxa"/>
            <w:tcBorders/>
            <w:shd w:fill="FFFFFF" w:val="clear"/>
            <w:vAlign w:val="center"/>
          </w:tcPr>
          <w:p>
            <w:pPr>
              <w:pStyle w:val="TableContents"/>
              <w:spacing w:before="0" w:after="283"/>
              <w:ind w:left="0" w:right="0" w:hanging="0"/>
              <w:rPr/>
            </w:pPr>
            <w:r>
              <w:rPr/>
              <w:t> </w:t>
            </w:r>
          </w:p>
        </w:tc>
        <w:tc>
          <w:tcPr>
            <w:tcW w:w="1115"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sz w:val="18"/>
              </w:rPr>
              <w:t>other</w:t>
            </w:r>
          </w:p>
        </w:tc>
        <w:tc>
          <w:tcPr>
            <w:tcW w:w="80" w:type="dxa"/>
            <w:tcBorders/>
            <w:shd w:fill="FFFFFF" w:val="clear"/>
            <w:vAlign w:val="center"/>
          </w:tcPr>
          <w:p>
            <w:pPr>
              <w:pStyle w:val="TableContents"/>
              <w:spacing w:before="0" w:after="283"/>
              <w:ind w:left="0" w:right="0" w:hanging="0"/>
              <w:rPr/>
            </w:pPr>
            <w:r>
              <w:rPr/>
              <w:t> </w:t>
            </w:r>
          </w:p>
        </w:tc>
        <w:tc>
          <w:tcPr>
            <w:tcW w:w="980" w:type="dxa"/>
            <w:gridSpan w:val="2"/>
            <w:tcBorders/>
            <w:shd w:fill="FFFFFF" w:val="clear"/>
            <w:vAlign w:val="center"/>
          </w:tcPr>
          <w:p>
            <w:pPr>
              <w:pStyle w:val="TableContents"/>
              <w:spacing w:before="0" w:after="0"/>
              <w:ind w:left="0" w:right="0" w:hanging="0"/>
              <w:jc w:val="center"/>
              <w:rPr/>
            </w:pPr>
            <w:r>
              <w:rPr/>
              <w:t>​</w:t>
            </w:r>
          </w:p>
        </w:tc>
        <w:tc>
          <w:tcPr>
            <w:tcW w:w="80" w:type="dxa"/>
            <w:tcBorders/>
            <w:shd w:fill="FFFFFF" w:val="clear"/>
            <w:vAlign w:val="center"/>
          </w:tcPr>
          <w:p>
            <w:pPr>
              <w:pStyle w:val="TableContents"/>
              <w:spacing w:before="0" w:after="283"/>
              <w:ind w:left="0" w:right="0" w:hanging="0"/>
              <w:rPr/>
            </w:pPr>
            <w:r>
              <w:rPr/>
              <w:t> </w:t>
            </w:r>
          </w:p>
        </w:tc>
        <w:tc>
          <w:tcPr>
            <w:tcW w:w="1006" w:type="dxa"/>
            <w:gridSpan w:val="2"/>
            <w:tcBorders/>
            <w:shd w:fill="FFFFFF" w:val="clear"/>
            <w:vAlign w:val="center"/>
          </w:tcPr>
          <w:p>
            <w:pPr>
              <w:pStyle w:val="TableContents"/>
              <w:spacing w:before="0" w:after="0"/>
              <w:ind w:left="0" w:right="0" w:hanging="0"/>
              <w:jc w:val="center"/>
              <w:rPr/>
            </w:pPr>
            <w:r>
              <w:rPr/>
              <w:t>​</w:t>
            </w:r>
          </w:p>
        </w:tc>
        <w:tc>
          <w:tcPr>
            <w:tcW w:w="85" w:type="dxa"/>
            <w:tcBorders/>
            <w:shd w:fill="FFFFFF" w:val="clear"/>
            <w:vAlign w:val="center"/>
          </w:tcPr>
          <w:p>
            <w:pPr>
              <w:pStyle w:val="TableContents"/>
              <w:spacing w:before="0" w:after="283"/>
              <w:rPr/>
            </w:pPr>
            <w:r>
              <w:rPr/>
              <w:t> </w:t>
            </w:r>
          </w:p>
        </w:tc>
      </w:tr>
      <w:tr>
        <w:trPr/>
        <w:tc>
          <w:tcPr>
            <w:tcW w:w="3388" w:type="dxa"/>
            <w:tcBorders/>
            <w:shd w:fill="FFFFFF" w:val="clear"/>
            <w:vAlign w:val="center"/>
          </w:tcPr>
          <w:p>
            <w:pPr>
              <w:pStyle w:val="TableContents"/>
              <w:spacing w:before="0" w:after="0"/>
              <w:ind w:left="0" w:right="0" w:hanging="0"/>
              <w:rPr/>
            </w:pPr>
            <w:r>
              <w:rPr/>
              <w:t>​</w:t>
            </w:r>
          </w:p>
        </w:tc>
        <w:tc>
          <w:tcPr>
            <w:tcW w:w="680"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sz w:val="18"/>
              </w:rPr>
              <w:t>Number</w:t>
            </w:r>
          </w:p>
        </w:tc>
        <w:tc>
          <w:tcPr>
            <w:tcW w:w="626" w:type="dxa"/>
            <w:gridSpan w:val="2"/>
            <w:tcBorders/>
            <w:shd w:fill="FFFFFF" w:val="clear"/>
            <w:vAlign w:val="center"/>
          </w:tcPr>
          <w:p>
            <w:pPr>
              <w:pStyle w:val="TableContents"/>
              <w:spacing w:before="0" w:after="0"/>
              <w:ind w:left="0" w:right="0" w:hanging="0"/>
              <w:jc w:val="center"/>
              <w:rPr/>
            </w:pPr>
            <w:r>
              <w:rPr/>
              <w:t>​</w:t>
            </w:r>
          </w:p>
        </w:tc>
        <w:tc>
          <w:tcPr>
            <w:tcW w:w="680"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sz w:val="18"/>
              </w:rPr>
              <w:t>Number</w:t>
            </w:r>
          </w:p>
        </w:tc>
        <w:tc>
          <w:tcPr>
            <w:tcW w:w="620" w:type="dxa"/>
            <w:gridSpan w:val="2"/>
            <w:tcBorders/>
            <w:shd w:fill="FFFFFF" w:val="clear"/>
            <w:vAlign w:val="center"/>
          </w:tcPr>
          <w:p>
            <w:pPr>
              <w:pStyle w:val="TableContents"/>
              <w:spacing w:before="0" w:after="0"/>
              <w:ind w:left="0" w:right="0" w:hanging="0"/>
              <w:jc w:val="center"/>
              <w:rPr/>
            </w:pPr>
            <w:r>
              <w:rPr/>
              <w:t>​</w:t>
            </w:r>
          </w:p>
        </w:tc>
        <w:tc>
          <w:tcPr>
            <w:tcW w:w="785"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sz w:val="18"/>
              </w:rPr>
              <w:t>paid-in</w:t>
            </w:r>
          </w:p>
        </w:tc>
        <w:tc>
          <w:tcPr>
            <w:tcW w:w="80" w:type="dxa"/>
            <w:tcBorders/>
            <w:shd w:fill="FFFFFF" w:val="clear"/>
            <w:vAlign w:val="center"/>
          </w:tcPr>
          <w:p>
            <w:pPr>
              <w:pStyle w:val="TableContents"/>
              <w:spacing w:before="0" w:after="283"/>
              <w:ind w:left="0" w:right="0" w:hanging="0"/>
              <w:rPr/>
            </w:pPr>
            <w:r>
              <w:rPr/>
              <w:t> </w:t>
            </w:r>
          </w:p>
        </w:tc>
        <w:tc>
          <w:tcPr>
            <w:tcW w:w="1115"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sz w:val="18"/>
              </w:rPr>
              <w:t>comprehensive</w:t>
            </w:r>
          </w:p>
        </w:tc>
        <w:tc>
          <w:tcPr>
            <w:tcW w:w="80" w:type="dxa"/>
            <w:tcBorders/>
            <w:shd w:fill="FFFFFF" w:val="clear"/>
            <w:vAlign w:val="center"/>
          </w:tcPr>
          <w:p>
            <w:pPr>
              <w:pStyle w:val="TableContents"/>
              <w:spacing w:before="0" w:after="283"/>
              <w:ind w:left="0" w:right="0" w:hanging="0"/>
              <w:rPr/>
            </w:pPr>
            <w:r>
              <w:rPr/>
              <w:t> </w:t>
            </w:r>
          </w:p>
        </w:tc>
        <w:tc>
          <w:tcPr>
            <w:tcW w:w="980"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sz w:val="18"/>
              </w:rPr>
              <w:t>Accumulated</w:t>
            </w:r>
          </w:p>
        </w:tc>
        <w:tc>
          <w:tcPr>
            <w:tcW w:w="80" w:type="dxa"/>
            <w:tcBorders/>
            <w:shd w:fill="FFFFFF" w:val="clear"/>
            <w:vAlign w:val="center"/>
          </w:tcPr>
          <w:p>
            <w:pPr>
              <w:pStyle w:val="TableContents"/>
              <w:spacing w:before="0" w:after="283"/>
              <w:ind w:left="0" w:right="0" w:hanging="0"/>
              <w:rPr/>
            </w:pPr>
            <w:r>
              <w:rPr/>
              <w:t> </w:t>
            </w:r>
          </w:p>
        </w:tc>
        <w:tc>
          <w:tcPr>
            <w:tcW w:w="1006"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sz w:val="18"/>
              </w:rPr>
              <w:t>Stockholders'</w:t>
            </w:r>
          </w:p>
        </w:tc>
        <w:tc>
          <w:tcPr>
            <w:tcW w:w="85" w:type="dxa"/>
            <w:tcBorders/>
            <w:shd w:fill="FFFFFF" w:val="clear"/>
            <w:vAlign w:val="center"/>
          </w:tcPr>
          <w:p>
            <w:pPr>
              <w:pStyle w:val="TableContents"/>
              <w:spacing w:before="0" w:after="283"/>
              <w:rPr/>
            </w:pPr>
            <w:r>
              <w:rPr/>
              <w:t> </w:t>
            </w:r>
          </w:p>
        </w:tc>
      </w:tr>
      <w:tr>
        <w:trPr/>
        <w:tc>
          <w:tcPr>
            <w:tcW w:w="3388" w:type="dxa"/>
            <w:tcBorders/>
            <w:shd w:fill="FFFFFF" w:val="clear"/>
            <w:vAlign w:val="center"/>
          </w:tcPr>
          <w:p>
            <w:pPr>
              <w:pStyle w:val="TableContents"/>
              <w:spacing w:before="0" w:after="0"/>
              <w:ind w:left="0" w:right="0" w:hanging="0"/>
              <w:rPr/>
            </w:pPr>
            <w:r>
              <w:rPr/>
              <w:t>​</w:t>
            </w:r>
          </w:p>
        </w:tc>
        <w:tc>
          <w:tcPr>
            <w:tcW w:w="68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sz w:val="18"/>
              </w:rPr>
              <w:t>of shares</w:t>
            </w:r>
          </w:p>
        </w:tc>
        <w:tc>
          <w:tcPr>
            <w:tcW w:w="626"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sz w:val="18"/>
              </w:rPr>
              <w:t>Amount</w:t>
            </w:r>
          </w:p>
        </w:tc>
        <w:tc>
          <w:tcPr>
            <w:tcW w:w="68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sz w:val="18"/>
              </w:rPr>
              <w:t>of shares</w:t>
            </w:r>
          </w:p>
        </w:tc>
        <w:tc>
          <w:tcPr>
            <w:tcW w:w="62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sz w:val="18"/>
              </w:rPr>
              <w:t>Amount</w:t>
            </w:r>
          </w:p>
        </w:tc>
        <w:tc>
          <w:tcPr>
            <w:tcW w:w="78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sz w:val="18"/>
              </w:rPr>
              <w:t>capital</w:t>
            </w:r>
          </w:p>
        </w:tc>
        <w:tc>
          <w:tcPr>
            <w:tcW w:w="80" w:type="dxa"/>
            <w:tcBorders/>
            <w:shd w:fill="FFFFFF" w:val="clear"/>
            <w:vAlign w:val="center"/>
          </w:tcPr>
          <w:p>
            <w:pPr>
              <w:pStyle w:val="TableContents"/>
              <w:spacing w:before="0" w:after="283"/>
              <w:ind w:left="0" w:right="0" w:hanging="0"/>
              <w:rPr/>
            </w:pPr>
            <w:r>
              <w:rPr/>
              <w:t> </w:t>
            </w:r>
          </w:p>
        </w:tc>
        <w:tc>
          <w:tcPr>
            <w:tcW w:w="111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sz w:val="18"/>
              </w:rPr>
              <w:t>gain (loss)</w:t>
            </w:r>
          </w:p>
        </w:tc>
        <w:tc>
          <w:tcPr>
            <w:tcW w:w="80" w:type="dxa"/>
            <w:tcBorders/>
            <w:shd w:fill="FFFFFF" w:val="clear"/>
            <w:vAlign w:val="center"/>
          </w:tcPr>
          <w:p>
            <w:pPr>
              <w:pStyle w:val="TableContents"/>
              <w:spacing w:before="0" w:after="283"/>
              <w:ind w:left="0" w:right="0" w:hanging="0"/>
              <w:rPr/>
            </w:pPr>
            <w:r>
              <w:rPr/>
              <w:t> </w:t>
            </w:r>
          </w:p>
        </w:tc>
        <w:tc>
          <w:tcPr>
            <w:tcW w:w="98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sz w:val="18"/>
              </w:rPr>
              <w:t>deficit</w:t>
            </w:r>
          </w:p>
        </w:tc>
        <w:tc>
          <w:tcPr>
            <w:tcW w:w="80" w:type="dxa"/>
            <w:tcBorders/>
            <w:shd w:fill="FFFFFF" w:val="clear"/>
            <w:vAlign w:val="center"/>
          </w:tcPr>
          <w:p>
            <w:pPr>
              <w:pStyle w:val="TableContents"/>
              <w:spacing w:before="0" w:after="283"/>
              <w:ind w:left="0" w:right="0" w:hanging="0"/>
              <w:rPr/>
            </w:pPr>
            <w:r>
              <w:rPr/>
              <w:t> </w:t>
            </w:r>
          </w:p>
        </w:tc>
        <w:tc>
          <w:tcPr>
            <w:tcW w:w="1006"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sz w:val="18"/>
              </w:rPr>
              <w:t>equity</w:t>
            </w:r>
          </w:p>
        </w:tc>
        <w:tc>
          <w:tcPr>
            <w:tcW w:w="85" w:type="dxa"/>
            <w:tcBorders/>
            <w:shd w:fill="FFFFFF" w:val="clear"/>
            <w:vAlign w:val="center"/>
          </w:tcPr>
          <w:p>
            <w:pPr>
              <w:pStyle w:val="TableContents"/>
              <w:spacing w:before="0" w:after="283"/>
              <w:rPr/>
            </w:pPr>
            <w:r>
              <w:rPr/>
              <w:t> </w:t>
            </w:r>
          </w:p>
        </w:tc>
      </w:tr>
      <w:tr>
        <w:trPr/>
        <w:tc>
          <w:tcPr>
            <w:tcW w:w="3388" w:type="dxa"/>
            <w:tcBorders/>
            <w:shd w:fill="CCEEFF" w:val="clear"/>
            <w:vAlign w:val="center"/>
          </w:tcPr>
          <w:p>
            <w:pPr>
              <w:pStyle w:val="TableContents"/>
              <w:spacing w:before="0" w:after="0"/>
              <w:rPr>
                <w:rFonts w:ascii="Times New Roman;Times;serif" w:hAnsi="Times New Roman;Times;serif"/>
                <w:sz w:val="18"/>
              </w:rPr>
            </w:pPr>
            <w:r>
              <w:rPr>
                <w:rFonts w:ascii="Times New Roman;Times;serif" w:hAnsi="Times New Roman;Times;serif"/>
                <w:sz w:val="18"/>
              </w:rPr>
              <w:t>December 31, 2021</w:t>
            </w:r>
          </w:p>
        </w:tc>
        <w:tc>
          <w:tcPr>
            <w:tcW w:w="127" w:type="dxa"/>
            <w:tcBorders/>
            <w:shd w:fill="CCEEFF" w:val="clear"/>
            <w:vAlign w:val="center"/>
          </w:tcPr>
          <w:p>
            <w:pPr>
              <w:pStyle w:val="TableContents"/>
              <w:spacing w:before="0" w:after="283"/>
              <w:ind w:left="0" w:right="0" w:hanging="0"/>
              <w:rPr/>
            </w:pPr>
            <w:r>
              <w:rPr/>
              <w:t> </w:t>
            </w:r>
          </w:p>
        </w:tc>
        <w:tc>
          <w:tcPr>
            <w:tcW w:w="553" w:type="dxa"/>
            <w:tcBorders/>
            <w:shd w:fill="CCEEFF" w:val="clear"/>
            <w:vAlign w:val="center"/>
          </w:tcPr>
          <w:p>
            <w:pPr>
              <w:pStyle w:val="TableContents"/>
              <w:spacing w:before="0" w:after="283"/>
              <w:ind w:left="0" w:right="0" w:hanging="0"/>
              <w:jc w:val="right"/>
              <w:rPr/>
            </w:pPr>
            <w:r>
              <w:rPr/>
              <w:t>—</w:t>
            </w:r>
          </w:p>
        </w:tc>
        <w:tc>
          <w:tcPr>
            <w:tcW w:w="186" w:type="dxa"/>
            <w:tcBorders/>
            <w:shd w:fill="CCEEFF" w:val="clear"/>
            <w:vAlign w:val="center"/>
          </w:tcPr>
          <w:p>
            <w:pPr>
              <w:pStyle w:val="TableContents"/>
              <w:spacing w:before="0" w:after="283"/>
              <w:ind w:left="0" w:right="0" w:hanging="0"/>
              <w:rPr>
                <w:rFonts w:ascii="Times New Roman;Times;serif" w:hAnsi="Times New Roman;Times;serif"/>
                <w:sz w:val="18"/>
              </w:rPr>
            </w:pPr>
            <w:r>
              <w:rPr>
                <w:rFonts w:ascii="Times New Roman;Times;serif" w:hAnsi="Times New Roman;Times;serif"/>
                <w:sz w:val="18"/>
              </w:rPr>
              <w:t>$</w:t>
            </w:r>
          </w:p>
        </w:tc>
        <w:tc>
          <w:tcPr>
            <w:tcW w:w="440" w:type="dxa"/>
            <w:tcBorders/>
            <w:shd w:fill="CCEEFF" w:val="clear"/>
            <w:vAlign w:val="center"/>
          </w:tcPr>
          <w:p>
            <w:pPr>
              <w:pStyle w:val="TableContents"/>
              <w:spacing w:before="0" w:after="283"/>
              <w:jc w:val="right"/>
              <w:rPr/>
            </w:pPr>
            <w:r>
              <w:rPr/>
              <w:t>—</w:t>
            </w:r>
          </w:p>
        </w:tc>
        <w:tc>
          <w:tcPr>
            <w:tcW w:w="72" w:type="dxa"/>
            <w:tcBorders/>
            <w:shd w:fill="CCEEFF" w:val="clear"/>
            <w:vAlign w:val="center"/>
          </w:tcPr>
          <w:p>
            <w:pPr>
              <w:pStyle w:val="TableContents"/>
              <w:spacing w:before="0" w:after="283"/>
              <w:ind w:left="0" w:right="0" w:hanging="0"/>
              <w:rPr/>
            </w:pPr>
            <w:r>
              <w:rPr/>
              <w:t> </w:t>
            </w:r>
          </w:p>
        </w:tc>
        <w:tc>
          <w:tcPr>
            <w:tcW w:w="608" w:type="dxa"/>
            <w:tcBorders/>
            <w:shd w:fill="CCEEFF" w:val="cle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27,323</w:t>
            </w:r>
          </w:p>
        </w:tc>
        <w:tc>
          <w:tcPr>
            <w:tcW w:w="184" w:type="dxa"/>
            <w:tcBorders/>
            <w:shd w:fill="CCEEFF" w:val="clear"/>
            <w:vAlign w:val="center"/>
          </w:tcPr>
          <w:p>
            <w:pPr>
              <w:pStyle w:val="TableContents"/>
              <w:spacing w:before="0" w:after="283"/>
              <w:ind w:left="0" w:right="0" w:hanging="0"/>
              <w:rPr>
                <w:rFonts w:ascii="Times New Roman;Times;serif" w:hAnsi="Times New Roman;Times;serif"/>
                <w:sz w:val="18"/>
              </w:rPr>
            </w:pPr>
            <w:r>
              <w:rPr>
                <w:rFonts w:ascii="Times New Roman;Times;serif" w:hAnsi="Times New Roman;Times;serif"/>
                <w:sz w:val="18"/>
              </w:rPr>
              <w:t>$</w:t>
            </w:r>
          </w:p>
        </w:tc>
        <w:tc>
          <w:tcPr>
            <w:tcW w:w="436" w:type="dxa"/>
            <w:tcBorders/>
            <w:shd w:fill="CCEEFF" w:val="cle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27</w:t>
            </w:r>
          </w:p>
        </w:tc>
        <w:tc>
          <w:tcPr>
            <w:tcW w:w="120" w:type="dxa"/>
            <w:tcBorders/>
            <w:shd w:fill="CCEEFF" w:val="clear"/>
            <w:vAlign w:val="center"/>
          </w:tcPr>
          <w:p>
            <w:pPr>
              <w:pStyle w:val="TableContents"/>
              <w:spacing w:before="0" w:after="283"/>
              <w:ind w:left="0" w:right="0" w:hanging="0"/>
              <w:rPr>
                <w:rFonts w:ascii="Times New Roman;Times;serif" w:hAnsi="Times New Roman;Times;serif"/>
                <w:sz w:val="18"/>
              </w:rPr>
            </w:pPr>
            <w:r>
              <w:rPr>
                <w:rFonts w:ascii="Times New Roman;Times;serif" w:hAnsi="Times New Roman;Times;serif"/>
                <w:sz w:val="18"/>
              </w:rPr>
              <w:t>$</w:t>
            </w:r>
          </w:p>
        </w:tc>
        <w:tc>
          <w:tcPr>
            <w:tcW w:w="665" w:type="dxa"/>
            <w:tcBorders/>
            <w:shd w:fill="CCEEFF" w:val="cle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381,143</w:t>
            </w:r>
          </w:p>
        </w:tc>
        <w:tc>
          <w:tcPr>
            <w:tcW w:w="80" w:type="dxa"/>
            <w:tcBorders/>
            <w:shd w:fill="CCEEFF" w:val="clear"/>
            <w:vAlign w:val="center"/>
          </w:tcPr>
          <w:p>
            <w:pPr>
              <w:pStyle w:val="TableContents"/>
              <w:spacing w:before="0" w:after="283"/>
              <w:ind w:left="0" w:right="0" w:hanging="0"/>
              <w:rPr/>
            </w:pPr>
            <w:r>
              <w:rPr/>
              <w:t> </w:t>
            </w:r>
          </w:p>
        </w:tc>
        <w:tc>
          <w:tcPr>
            <w:tcW w:w="195" w:type="dxa"/>
            <w:tcBorders/>
            <w:shd w:fill="CCEEFF" w:val="clear"/>
            <w:vAlign w:val="center"/>
          </w:tcPr>
          <w:p>
            <w:pPr>
              <w:pStyle w:val="TableContents"/>
              <w:spacing w:before="0" w:after="283"/>
              <w:ind w:left="0" w:right="0" w:hanging="0"/>
              <w:rPr>
                <w:rFonts w:ascii="Times New Roman;Times;serif" w:hAnsi="Times New Roman;Times;serif"/>
                <w:sz w:val="18"/>
              </w:rPr>
            </w:pPr>
            <w:r>
              <w:rPr>
                <w:rFonts w:ascii="Times New Roman;Times;serif" w:hAnsi="Times New Roman;Times;serif"/>
                <w:sz w:val="18"/>
              </w:rPr>
              <w:t>$</w:t>
            </w:r>
          </w:p>
        </w:tc>
        <w:tc>
          <w:tcPr>
            <w:tcW w:w="920" w:type="dxa"/>
            <w:tcBorders/>
            <w:shd w:fill="CCEEFF" w:val="cle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16,071</w:t>
            </w:r>
          </w:p>
        </w:tc>
        <w:tc>
          <w:tcPr>
            <w:tcW w:w="80" w:type="dxa"/>
            <w:tcBorders/>
            <w:shd w:fill="CCEEFF" w:val="clear"/>
            <w:vAlign w:val="center"/>
          </w:tcPr>
          <w:p>
            <w:pPr>
              <w:pStyle w:val="TableContents"/>
              <w:spacing w:before="0" w:after="283"/>
              <w:ind w:left="0" w:right="0" w:hanging="0"/>
              <w:rPr/>
            </w:pPr>
            <w:r>
              <w:rPr/>
              <w:t> </w:t>
            </w:r>
          </w:p>
        </w:tc>
        <w:tc>
          <w:tcPr>
            <w:tcW w:w="139" w:type="dxa"/>
            <w:tcBorders/>
            <w:shd w:fill="CCEEFF" w:val="clear"/>
            <w:vAlign w:val="center"/>
          </w:tcPr>
          <w:p>
            <w:pPr>
              <w:pStyle w:val="TableContents"/>
              <w:spacing w:before="0" w:after="283"/>
              <w:ind w:left="0" w:right="0" w:hanging="0"/>
              <w:rPr>
                <w:rFonts w:ascii="Times New Roman;Times;serif" w:hAnsi="Times New Roman;Times;serif"/>
                <w:sz w:val="18"/>
              </w:rPr>
            </w:pPr>
            <w:r>
              <w:rPr>
                <w:rFonts w:ascii="Times New Roman;Times;serif" w:hAnsi="Times New Roman;Times;serif"/>
                <w:sz w:val="18"/>
              </w:rPr>
              <w:t>$</w:t>
            </w:r>
          </w:p>
        </w:tc>
        <w:tc>
          <w:tcPr>
            <w:tcW w:w="841" w:type="dxa"/>
            <w:tcBorders/>
            <w:shd w:fill="CCEEFF" w:val="cle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(142,671</w:t>
            </w:r>
          </w:p>
        </w:tc>
        <w:tc>
          <w:tcPr>
            <w:tcW w:w="80" w:type="dxa"/>
            <w:tcBorders/>
            <w:shd w:fill="CCEEFF" w:val="clear"/>
            <w:vAlign w:val="center"/>
          </w:tcPr>
          <w:p>
            <w:pPr>
              <w:pStyle w:val="TableContents"/>
              <w:spacing w:before="0" w:after="283"/>
              <w:ind w:left="0" w:right="0" w:hanging="0"/>
              <w:rPr>
                <w:rFonts w:ascii="Times New Roman;Times;serif" w:hAnsi="Times New Roman;Times;serif"/>
                <w:sz w:val="18"/>
              </w:rPr>
            </w:pPr>
            <w:r>
              <w:rPr>
                <w:rFonts w:ascii="Times New Roman;Times;serif" w:hAnsi="Times New Roman;Times;serif"/>
                <w:sz w:val="18"/>
              </w:rPr>
              <w:t>)</w:t>
            </w:r>
          </w:p>
        </w:tc>
        <w:tc>
          <w:tcPr>
            <w:tcW w:w="153" w:type="dxa"/>
            <w:tcBorders/>
            <w:shd w:fill="CCEEFF" w:val="clear"/>
            <w:vAlign w:val="center"/>
          </w:tcPr>
          <w:p>
            <w:pPr>
              <w:pStyle w:val="TableContents"/>
              <w:spacing w:before="0" w:after="283"/>
              <w:ind w:left="0" w:right="0" w:hanging="0"/>
              <w:rPr>
                <w:rFonts w:ascii="Times New Roman;Times;serif" w:hAnsi="Times New Roman;Times;serif"/>
                <w:sz w:val="18"/>
              </w:rPr>
            </w:pPr>
            <w:r>
              <w:rPr>
                <w:rFonts w:ascii="Times New Roman;Times;serif" w:hAnsi="Times New Roman;Times;serif"/>
                <w:sz w:val="18"/>
              </w:rPr>
              <w:t>$</w:t>
            </w:r>
          </w:p>
        </w:tc>
        <w:tc>
          <w:tcPr>
            <w:tcW w:w="853" w:type="dxa"/>
            <w:tcBorders/>
            <w:shd w:fill="CCEEFF" w:val="cle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254,570</w:t>
            </w:r>
          </w:p>
        </w:tc>
        <w:tc>
          <w:tcPr>
            <w:tcW w:w="85" w:type="dxa"/>
            <w:tcBorders/>
            <w:shd w:fill="CCEEFF" w:val="clear"/>
            <w:vAlign w:val="center"/>
          </w:tcPr>
          <w:p>
            <w:pPr>
              <w:pStyle w:val="TableContents"/>
              <w:spacing w:before="0" w:after="283"/>
              <w:rPr/>
            </w:pPr>
            <w:r>
              <w:rPr/>
              <w:t> </w:t>
            </w:r>
          </w:p>
        </w:tc>
      </w:tr>
      <w:tr>
        <w:trPr/>
        <w:tc>
          <w:tcPr>
            <w:tcW w:w="3388" w:type="dxa"/>
            <w:tcBorders/>
            <w:shd w:fill="FFFFFF" w:val="clear"/>
            <w:vAlign w:val="center"/>
          </w:tcPr>
          <w:p>
            <w:pPr>
              <w:pStyle w:val="TableContents"/>
              <w:spacing w:before="0" w:after="0"/>
              <w:rPr>
                <w:rFonts w:ascii="Times New Roman;Times;serif" w:hAnsi="Times New Roman;Times;serif"/>
                <w:sz w:val="18"/>
              </w:rPr>
            </w:pPr>
            <w:r>
              <w:rPr>
                <w:rFonts w:ascii="Times New Roman;Times;serif" w:hAnsi="Times New Roman;Times;serif"/>
                <w:sz w:val="18"/>
              </w:rPr>
              <w:t>Issuance of restricted stock, net of shares withheld for employee tax</w:t>
            </w:r>
          </w:p>
        </w:tc>
        <w:tc>
          <w:tcPr>
            <w:tcW w:w="127" w:type="dxa"/>
            <w:tcBorders/>
            <w:shd w:fill="FFFFFF" w:val="clear"/>
            <w:vAlign w:val="center"/>
          </w:tcPr>
          <w:p>
            <w:pPr>
              <w:pStyle w:val="TableContents"/>
              <w:spacing w:before="0" w:after="283"/>
              <w:ind w:left="0" w:right="0" w:hanging="0"/>
              <w:rPr/>
            </w:pPr>
            <w:r>
              <w:rPr/>
              <w:t> </w:t>
            </w:r>
          </w:p>
        </w:tc>
        <w:tc>
          <w:tcPr>
            <w:tcW w:w="553" w:type="dxa"/>
            <w:tcBorders/>
            <w:shd w:fill="FFFFFF" w:val="clear"/>
            <w:vAlign w:val="center"/>
          </w:tcPr>
          <w:p>
            <w:pPr>
              <w:pStyle w:val="TableContents"/>
              <w:spacing w:before="0" w:after="283"/>
              <w:jc w:val="right"/>
              <w:rPr/>
            </w:pPr>
            <w:r>
              <w:rPr/>
              <w:t>—</w:t>
            </w:r>
          </w:p>
        </w:tc>
        <w:tc>
          <w:tcPr>
            <w:tcW w:w="186" w:type="dxa"/>
            <w:tcBorders/>
            <w:shd w:fill="FFFFFF" w:val="clear"/>
            <w:vAlign w:val="center"/>
          </w:tcPr>
          <w:p>
            <w:pPr>
              <w:pStyle w:val="TableContents"/>
              <w:spacing w:before="0" w:after="283"/>
              <w:ind w:left="0" w:right="0" w:hanging="0"/>
              <w:rPr/>
            </w:pPr>
            <w:r>
              <w:rPr/>
              <w:t> </w:t>
            </w:r>
          </w:p>
        </w:tc>
        <w:tc>
          <w:tcPr>
            <w:tcW w:w="440" w:type="dxa"/>
            <w:tcBorders/>
            <w:shd w:fill="FFFFFF" w:val="clear"/>
            <w:vAlign w:val="center"/>
          </w:tcPr>
          <w:p>
            <w:pPr>
              <w:pStyle w:val="TableContents"/>
              <w:spacing w:before="0" w:after="283"/>
              <w:jc w:val="right"/>
              <w:rPr/>
            </w:pPr>
            <w:r>
              <w:rPr/>
              <w:t>—</w:t>
            </w:r>
          </w:p>
        </w:tc>
        <w:tc>
          <w:tcPr>
            <w:tcW w:w="72" w:type="dxa"/>
            <w:tcBorders/>
            <w:shd w:fill="FFFFFF" w:val="clear"/>
            <w:vAlign w:val="center"/>
          </w:tcPr>
          <w:p>
            <w:pPr>
              <w:pStyle w:val="TableContents"/>
              <w:spacing w:before="0" w:after="283"/>
              <w:ind w:left="0" w:right="0" w:hanging="0"/>
              <w:rPr/>
            </w:pPr>
            <w:r>
              <w:rPr/>
              <w:t> </w:t>
            </w:r>
          </w:p>
        </w:tc>
        <w:tc>
          <w:tcPr>
            <w:tcW w:w="608" w:type="dxa"/>
            <w:tcBorders/>
            <w:shd w:fill="FFFFFF" w:val="clear"/>
            <w:vAlign w:val="center"/>
          </w:tcPr>
          <w:p>
            <w:pPr>
              <w:pStyle w:val="TableContents"/>
              <w:spacing w:before="0" w:after="283"/>
              <w:jc w:val="right"/>
              <w:rPr>
                <w:rFonts w:ascii="Times New Roman;Times;serif" w:hAnsi="Times New Roman;Times;serif"/>
                <w:sz w:val="18"/>
              </w:rPr>
            </w:pPr>
            <w:r>
              <w:rPr>
                <w:rFonts w:ascii="Times New Roman;Times;serif" w:hAnsi="Times New Roman;Times;serif"/>
                <w:sz w:val="18"/>
              </w:rPr>
              <w:t>207</w:t>
            </w:r>
          </w:p>
        </w:tc>
        <w:tc>
          <w:tcPr>
            <w:tcW w:w="184" w:type="dxa"/>
            <w:tcBorders/>
            <w:shd w:fill="FFFFFF" w:val="clear"/>
            <w:vAlign w:val="center"/>
          </w:tcPr>
          <w:p>
            <w:pPr>
              <w:pStyle w:val="TableContents"/>
              <w:spacing w:before="0" w:after="283"/>
              <w:ind w:left="0" w:right="0" w:hanging="0"/>
              <w:rPr/>
            </w:pPr>
            <w:r>
              <w:rPr/>
              <w:t> </w:t>
            </w:r>
          </w:p>
        </w:tc>
        <w:tc>
          <w:tcPr>
            <w:tcW w:w="436" w:type="dxa"/>
            <w:tcBorders/>
            <w:shd w:fill="FFFFFF" w:val="clear"/>
            <w:vAlign w:val="center"/>
          </w:tcPr>
          <w:p>
            <w:pPr>
              <w:pStyle w:val="TableContents"/>
              <w:spacing w:before="0" w:after="283"/>
              <w:jc w:val="right"/>
              <w:rPr/>
            </w:pPr>
            <w:r>
              <w:rPr/>
              <w:t>—</w:t>
            </w:r>
          </w:p>
        </w:tc>
        <w:tc>
          <w:tcPr>
            <w:tcW w:w="120" w:type="dxa"/>
            <w:tcBorders/>
            <w:shd w:fill="FFFFFF" w:val="clear"/>
            <w:vAlign w:val="center"/>
          </w:tcPr>
          <w:p>
            <w:pPr>
              <w:pStyle w:val="TableContents"/>
              <w:spacing w:before="0" w:after="283"/>
              <w:ind w:left="0" w:right="0" w:hanging="0"/>
              <w:rPr/>
            </w:pPr>
            <w:r>
              <w:rPr/>
              <w:t> </w:t>
            </w:r>
          </w:p>
        </w:tc>
        <w:tc>
          <w:tcPr>
            <w:tcW w:w="665" w:type="dxa"/>
            <w:tcBorders/>
            <w:shd w:fill="FFFFFF" w:val="cle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(141</w:t>
            </w:r>
          </w:p>
        </w:tc>
        <w:tc>
          <w:tcPr>
            <w:tcW w:w="80" w:type="dxa"/>
            <w:tcBorders/>
            <w:shd w:fill="FFFFFF"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w:t>
            </w:r>
          </w:p>
        </w:tc>
        <w:tc>
          <w:tcPr>
            <w:tcW w:w="195" w:type="dxa"/>
            <w:tcBorders/>
            <w:shd w:fill="FFFFFF" w:val="clear"/>
            <w:vAlign w:val="center"/>
          </w:tcPr>
          <w:p>
            <w:pPr>
              <w:pStyle w:val="TableContents"/>
              <w:spacing w:before="0" w:after="283"/>
              <w:ind w:left="0" w:right="0" w:hanging="0"/>
              <w:rPr/>
            </w:pPr>
            <w:r>
              <w:rPr/>
              <w:t> </w:t>
            </w:r>
          </w:p>
        </w:tc>
        <w:tc>
          <w:tcPr>
            <w:tcW w:w="920" w:type="dxa"/>
            <w:tcBorders/>
            <w:shd w:fill="FFFFFF" w:val="clear"/>
            <w:vAlign w:val="center"/>
          </w:tcPr>
          <w:p>
            <w:pPr>
              <w:pStyle w:val="TableContents"/>
              <w:spacing w:before="0" w:after="283"/>
              <w:ind w:left="0" w:right="0" w:hanging="0"/>
              <w:jc w:val="right"/>
              <w:rPr/>
            </w:pPr>
            <w:r>
              <w:rPr/>
              <w:t>—</w:t>
            </w:r>
          </w:p>
        </w:tc>
        <w:tc>
          <w:tcPr>
            <w:tcW w:w="80" w:type="dxa"/>
            <w:tcBorders/>
            <w:shd w:fill="FFFFFF" w:val="clear"/>
            <w:vAlign w:val="center"/>
          </w:tcPr>
          <w:p>
            <w:pPr>
              <w:pStyle w:val="TableContents"/>
              <w:spacing w:before="0" w:after="283"/>
              <w:rPr/>
            </w:pPr>
            <w:r>
              <w:rPr/>
              <w:t> </w:t>
            </w:r>
          </w:p>
        </w:tc>
        <w:tc>
          <w:tcPr>
            <w:tcW w:w="139" w:type="dxa"/>
            <w:tcBorders/>
            <w:shd w:fill="FFFFFF" w:val="clear"/>
            <w:vAlign w:val="center"/>
          </w:tcPr>
          <w:p>
            <w:pPr>
              <w:pStyle w:val="TableContents"/>
              <w:spacing w:before="0" w:after="283"/>
              <w:ind w:left="0" w:right="0" w:hanging="0"/>
              <w:rPr/>
            </w:pPr>
            <w:r>
              <w:rPr/>
              <w:t> </w:t>
            </w:r>
          </w:p>
        </w:tc>
        <w:tc>
          <w:tcPr>
            <w:tcW w:w="841" w:type="dxa"/>
            <w:tcBorders/>
            <w:shd w:fill="FFFFFF" w:val="clear"/>
            <w:vAlign w:val="center"/>
          </w:tcPr>
          <w:p>
            <w:pPr>
              <w:pStyle w:val="TableContents"/>
              <w:spacing w:before="0" w:after="283"/>
              <w:ind w:left="0" w:right="0" w:hanging="0"/>
              <w:jc w:val="right"/>
              <w:rPr/>
            </w:pPr>
            <w:r>
              <w:rPr/>
              <w:t>—</w:t>
            </w:r>
          </w:p>
        </w:tc>
        <w:tc>
          <w:tcPr>
            <w:tcW w:w="80" w:type="dxa"/>
            <w:tcBorders/>
            <w:shd w:fill="FFFFFF" w:val="clear"/>
            <w:vAlign w:val="center"/>
          </w:tcPr>
          <w:p>
            <w:pPr>
              <w:pStyle w:val="TableContents"/>
              <w:spacing w:before="0" w:after="283"/>
              <w:rPr/>
            </w:pPr>
            <w:r>
              <w:rPr/>
              <w:t> </w:t>
            </w:r>
          </w:p>
        </w:tc>
        <w:tc>
          <w:tcPr>
            <w:tcW w:w="153" w:type="dxa"/>
            <w:tcBorders/>
            <w:shd w:fill="FFFFFF" w:val="clear"/>
            <w:vAlign w:val="center"/>
          </w:tcPr>
          <w:p>
            <w:pPr>
              <w:pStyle w:val="TableContents"/>
              <w:spacing w:before="0" w:after="283"/>
              <w:ind w:left="0" w:right="0" w:hanging="0"/>
              <w:rPr/>
            </w:pPr>
            <w:r>
              <w:rPr/>
              <w:t> </w:t>
            </w:r>
          </w:p>
        </w:tc>
        <w:tc>
          <w:tcPr>
            <w:tcW w:w="853" w:type="dxa"/>
            <w:tcBorders/>
            <w:shd w:fill="FFFFFF" w:val="cle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(141</w:t>
            </w:r>
          </w:p>
        </w:tc>
        <w:tc>
          <w:tcPr>
            <w:tcW w:w="85" w:type="dxa"/>
            <w:tcBorders/>
            <w:shd w:fill="FFFFFF"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w:t>
            </w:r>
          </w:p>
        </w:tc>
      </w:tr>
      <w:tr>
        <w:trPr/>
        <w:tc>
          <w:tcPr>
            <w:tcW w:w="3388" w:type="dxa"/>
            <w:tcBorders/>
            <w:shd w:fill="CCEEFF" w:val="clear"/>
            <w:vAlign w:val="center"/>
          </w:tcPr>
          <w:p>
            <w:pPr>
              <w:pStyle w:val="TableContents"/>
              <w:spacing w:before="0" w:after="0"/>
              <w:rPr>
                <w:rFonts w:ascii="Times New Roman;Times;serif" w:hAnsi="Times New Roman;Times;serif"/>
                <w:sz w:val="18"/>
              </w:rPr>
            </w:pPr>
            <w:r>
              <w:rPr>
                <w:rFonts w:ascii="Times New Roman;Times;serif" w:hAnsi="Times New Roman;Times;serif"/>
                <w:sz w:val="18"/>
              </w:rPr>
              <w:t>Share-based compensation</w:t>
            </w:r>
          </w:p>
        </w:tc>
        <w:tc>
          <w:tcPr>
            <w:tcW w:w="127" w:type="dxa"/>
            <w:tcBorders/>
            <w:shd w:fill="CCEEFF" w:val="clear"/>
            <w:vAlign w:val="center"/>
          </w:tcPr>
          <w:p>
            <w:pPr>
              <w:pStyle w:val="TableContents"/>
              <w:spacing w:before="0" w:after="283"/>
              <w:ind w:left="0" w:right="0" w:hanging="0"/>
              <w:rPr/>
            </w:pPr>
            <w:r>
              <w:rPr/>
              <w:t> </w:t>
            </w:r>
          </w:p>
        </w:tc>
        <w:tc>
          <w:tcPr>
            <w:tcW w:w="553" w:type="dxa"/>
            <w:tcBorders/>
            <w:shd w:fill="CCEEFF" w:val="clear"/>
            <w:vAlign w:val="center"/>
          </w:tcPr>
          <w:p>
            <w:pPr>
              <w:pStyle w:val="TableContents"/>
              <w:spacing w:before="0" w:after="283"/>
              <w:jc w:val="right"/>
              <w:rPr/>
            </w:pPr>
            <w:r>
              <w:rPr>
                <w:rStyle w:val="Emphasis"/>
              </w:rPr>
              <w:t>—</w:t>
            </w:r>
          </w:p>
        </w:tc>
        <w:tc>
          <w:tcPr>
            <w:tcW w:w="186" w:type="dxa"/>
            <w:tcBorders/>
            <w:shd w:fill="CCEEFF" w:val="clear"/>
            <w:vAlign w:val="center"/>
          </w:tcPr>
          <w:p>
            <w:pPr>
              <w:pStyle w:val="TableContents"/>
              <w:spacing w:before="0" w:after="283"/>
              <w:ind w:left="0" w:right="0" w:hanging="0"/>
              <w:rPr/>
            </w:pPr>
            <w:r>
              <w:rPr/>
              <w:t> </w:t>
            </w:r>
          </w:p>
        </w:tc>
        <w:tc>
          <w:tcPr>
            <w:tcW w:w="440" w:type="dxa"/>
            <w:tcBorders/>
            <w:shd w:fill="CCEEFF" w:val="clear"/>
            <w:vAlign w:val="center"/>
          </w:tcPr>
          <w:p>
            <w:pPr>
              <w:pStyle w:val="TableContents"/>
              <w:spacing w:before="0" w:after="283"/>
              <w:jc w:val="right"/>
              <w:rPr/>
            </w:pPr>
            <w:r>
              <w:rPr/>
              <w:t>—</w:t>
            </w:r>
          </w:p>
        </w:tc>
        <w:tc>
          <w:tcPr>
            <w:tcW w:w="72" w:type="dxa"/>
            <w:tcBorders/>
            <w:shd w:fill="CCEEFF" w:val="clear"/>
            <w:vAlign w:val="center"/>
          </w:tcPr>
          <w:p>
            <w:pPr>
              <w:pStyle w:val="TableContents"/>
              <w:spacing w:before="0" w:after="283"/>
              <w:ind w:left="0" w:right="0" w:hanging="0"/>
              <w:rPr/>
            </w:pPr>
            <w:r>
              <w:rPr/>
              <w:t> </w:t>
            </w:r>
          </w:p>
        </w:tc>
        <w:tc>
          <w:tcPr>
            <w:tcW w:w="608" w:type="dxa"/>
            <w:tcBorders/>
            <w:shd w:fill="CCEEFF" w:val="clear"/>
            <w:vAlign w:val="center"/>
          </w:tcPr>
          <w:p>
            <w:pPr>
              <w:pStyle w:val="TableContents"/>
              <w:spacing w:before="0" w:after="283"/>
              <w:jc w:val="right"/>
              <w:rPr/>
            </w:pPr>
            <w:r>
              <w:rPr>
                <w:rStyle w:val="Emphasis"/>
              </w:rPr>
              <w:t>—</w:t>
            </w:r>
          </w:p>
        </w:tc>
        <w:tc>
          <w:tcPr>
            <w:tcW w:w="184" w:type="dxa"/>
            <w:tcBorders/>
            <w:shd w:fill="CCEEFF" w:val="clear"/>
            <w:vAlign w:val="center"/>
          </w:tcPr>
          <w:p>
            <w:pPr>
              <w:pStyle w:val="TableContents"/>
              <w:spacing w:before="0" w:after="283"/>
              <w:ind w:left="0" w:right="0" w:hanging="0"/>
              <w:rPr/>
            </w:pPr>
            <w:r>
              <w:rPr/>
              <w:t> </w:t>
            </w:r>
          </w:p>
        </w:tc>
        <w:tc>
          <w:tcPr>
            <w:tcW w:w="436" w:type="dxa"/>
            <w:tcBorders/>
            <w:shd w:fill="CCEEFF" w:val="clear"/>
            <w:vAlign w:val="center"/>
          </w:tcPr>
          <w:p>
            <w:pPr>
              <w:pStyle w:val="TableContents"/>
              <w:spacing w:before="0" w:after="283"/>
              <w:jc w:val="right"/>
              <w:rPr/>
            </w:pPr>
            <w:r>
              <w:rPr/>
              <w:t>—</w:t>
            </w:r>
          </w:p>
        </w:tc>
        <w:tc>
          <w:tcPr>
            <w:tcW w:w="120" w:type="dxa"/>
            <w:tcBorders/>
            <w:shd w:fill="CCEEFF" w:val="clear"/>
            <w:vAlign w:val="center"/>
          </w:tcPr>
          <w:p>
            <w:pPr>
              <w:pStyle w:val="TableContents"/>
              <w:spacing w:before="0" w:after="283"/>
              <w:ind w:left="0" w:right="0" w:hanging="0"/>
              <w:rPr/>
            </w:pPr>
            <w:r>
              <w:rPr/>
              <w:t> </w:t>
            </w:r>
          </w:p>
        </w:tc>
        <w:tc>
          <w:tcPr>
            <w:tcW w:w="665" w:type="dxa"/>
            <w:tcBorders/>
            <w:shd w:fill="CCEEFF" w:val="cle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2,472</w:t>
            </w:r>
          </w:p>
        </w:tc>
        <w:tc>
          <w:tcPr>
            <w:tcW w:w="80" w:type="dxa"/>
            <w:tcBorders/>
            <w:shd w:fill="CCEEFF" w:val="clear"/>
            <w:vAlign w:val="center"/>
          </w:tcPr>
          <w:p>
            <w:pPr>
              <w:pStyle w:val="TableContents"/>
              <w:spacing w:before="0" w:after="283"/>
              <w:rPr/>
            </w:pPr>
            <w:r>
              <w:rPr/>
              <w:t> </w:t>
            </w:r>
          </w:p>
        </w:tc>
        <w:tc>
          <w:tcPr>
            <w:tcW w:w="195" w:type="dxa"/>
            <w:tcBorders/>
            <w:shd w:fill="CCEEFF" w:val="clear"/>
            <w:vAlign w:val="center"/>
          </w:tcPr>
          <w:p>
            <w:pPr>
              <w:pStyle w:val="TableContents"/>
              <w:spacing w:before="0" w:after="283"/>
              <w:ind w:left="0" w:right="0" w:hanging="0"/>
              <w:rPr/>
            </w:pPr>
            <w:r>
              <w:rPr/>
              <w:t> </w:t>
            </w:r>
          </w:p>
        </w:tc>
        <w:tc>
          <w:tcPr>
            <w:tcW w:w="920" w:type="dxa"/>
            <w:tcBorders/>
            <w:shd w:fill="CCEEFF" w:val="clear"/>
            <w:vAlign w:val="center"/>
          </w:tcPr>
          <w:p>
            <w:pPr>
              <w:pStyle w:val="TableContents"/>
              <w:spacing w:before="0" w:after="283"/>
              <w:ind w:left="0" w:right="0" w:hanging="0"/>
              <w:jc w:val="right"/>
              <w:rPr/>
            </w:pPr>
            <w:r>
              <w:rPr/>
              <w:t>—</w:t>
            </w:r>
          </w:p>
        </w:tc>
        <w:tc>
          <w:tcPr>
            <w:tcW w:w="80" w:type="dxa"/>
            <w:tcBorders/>
            <w:shd w:fill="CCEEFF" w:val="clear"/>
            <w:vAlign w:val="center"/>
          </w:tcPr>
          <w:p>
            <w:pPr>
              <w:pStyle w:val="TableContents"/>
              <w:spacing w:before="0" w:after="283"/>
              <w:rPr/>
            </w:pPr>
            <w:r>
              <w:rPr/>
              <w:t> </w:t>
            </w:r>
          </w:p>
        </w:tc>
        <w:tc>
          <w:tcPr>
            <w:tcW w:w="139" w:type="dxa"/>
            <w:tcBorders/>
            <w:shd w:fill="CCEEFF" w:val="clear"/>
            <w:vAlign w:val="center"/>
          </w:tcPr>
          <w:p>
            <w:pPr>
              <w:pStyle w:val="TableContents"/>
              <w:spacing w:before="0" w:after="283"/>
              <w:ind w:left="0" w:right="0" w:hanging="0"/>
              <w:rPr/>
            </w:pPr>
            <w:r>
              <w:rPr/>
              <w:t> </w:t>
            </w:r>
          </w:p>
        </w:tc>
        <w:tc>
          <w:tcPr>
            <w:tcW w:w="841" w:type="dxa"/>
            <w:tcBorders/>
            <w:shd w:fill="CCEEFF" w:val="clear"/>
            <w:vAlign w:val="center"/>
          </w:tcPr>
          <w:p>
            <w:pPr>
              <w:pStyle w:val="TableContents"/>
              <w:spacing w:before="0" w:after="283"/>
              <w:ind w:left="0" w:right="0" w:hanging="0"/>
              <w:jc w:val="right"/>
              <w:rPr/>
            </w:pPr>
            <w:r>
              <w:rPr/>
              <w:t>—</w:t>
            </w:r>
          </w:p>
        </w:tc>
        <w:tc>
          <w:tcPr>
            <w:tcW w:w="80" w:type="dxa"/>
            <w:tcBorders/>
            <w:shd w:fill="CCEEFF" w:val="clear"/>
            <w:vAlign w:val="center"/>
          </w:tcPr>
          <w:p>
            <w:pPr>
              <w:pStyle w:val="TableContents"/>
              <w:spacing w:before="0" w:after="283"/>
              <w:rPr/>
            </w:pPr>
            <w:r>
              <w:rPr/>
              <w:t> </w:t>
            </w:r>
          </w:p>
        </w:tc>
        <w:tc>
          <w:tcPr>
            <w:tcW w:w="153" w:type="dxa"/>
            <w:tcBorders/>
            <w:shd w:fill="CCEEFF" w:val="clear"/>
            <w:vAlign w:val="center"/>
          </w:tcPr>
          <w:p>
            <w:pPr>
              <w:pStyle w:val="TableContents"/>
              <w:spacing w:before="0" w:after="283"/>
              <w:ind w:left="0" w:right="0" w:hanging="0"/>
              <w:rPr/>
            </w:pPr>
            <w:r>
              <w:rPr/>
              <w:t> </w:t>
            </w:r>
          </w:p>
        </w:tc>
        <w:tc>
          <w:tcPr>
            <w:tcW w:w="853" w:type="dxa"/>
            <w:tcBorders/>
            <w:shd w:fill="CCEEFF" w:val="cle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2,472</w:t>
            </w:r>
          </w:p>
        </w:tc>
        <w:tc>
          <w:tcPr>
            <w:tcW w:w="85" w:type="dxa"/>
            <w:tcBorders/>
            <w:shd w:fill="CCEEFF" w:val="clear"/>
            <w:vAlign w:val="center"/>
          </w:tcPr>
          <w:p>
            <w:pPr>
              <w:pStyle w:val="TableContents"/>
              <w:spacing w:before="0" w:after="283"/>
              <w:rPr/>
            </w:pPr>
            <w:r>
              <w:rPr/>
              <w:t> </w:t>
            </w:r>
          </w:p>
        </w:tc>
      </w:tr>
      <w:tr>
        <w:trPr/>
        <w:tc>
          <w:tcPr>
            <w:tcW w:w="3388" w:type="dxa"/>
            <w:tcBorders/>
            <w:shd w:fill="FFFFFF" w:val="clear"/>
            <w:vAlign w:val="center"/>
          </w:tcPr>
          <w:p>
            <w:pPr>
              <w:pStyle w:val="TableContents"/>
              <w:spacing w:before="0" w:after="0"/>
              <w:rPr>
                <w:rFonts w:ascii="Times New Roman;Times;serif" w:hAnsi="Times New Roman;Times;serif"/>
                <w:sz w:val="18"/>
              </w:rPr>
            </w:pPr>
            <w:r>
              <w:rPr>
                <w:rFonts w:ascii="Times New Roman;Times;serif" w:hAnsi="Times New Roman;Times;serif"/>
                <w:sz w:val="18"/>
              </w:rPr>
              <w:t>Foreign currency translation adjustment</w:t>
            </w:r>
          </w:p>
        </w:tc>
        <w:tc>
          <w:tcPr>
            <w:tcW w:w="127" w:type="dxa"/>
            <w:tcBorders/>
            <w:shd w:fill="FFFFFF" w:val="clear"/>
            <w:vAlign w:val="center"/>
          </w:tcPr>
          <w:p>
            <w:pPr>
              <w:pStyle w:val="TableContents"/>
              <w:spacing w:before="0" w:after="283"/>
              <w:ind w:left="0" w:right="0" w:hanging="0"/>
              <w:rPr/>
            </w:pPr>
            <w:r>
              <w:rPr/>
              <w:t> </w:t>
            </w:r>
          </w:p>
        </w:tc>
        <w:tc>
          <w:tcPr>
            <w:tcW w:w="553" w:type="dxa"/>
            <w:tcBorders/>
            <w:shd w:fill="FFFFFF" w:val="clear"/>
            <w:vAlign w:val="center"/>
          </w:tcPr>
          <w:p>
            <w:pPr>
              <w:pStyle w:val="TableContents"/>
              <w:spacing w:before="0" w:after="283"/>
              <w:jc w:val="right"/>
              <w:rPr/>
            </w:pPr>
            <w:r>
              <w:rPr>
                <w:rStyle w:val="Emphasis"/>
              </w:rPr>
              <w:t>—</w:t>
            </w:r>
          </w:p>
        </w:tc>
        <w:tc>
          <w:tcPr>
            <w:tcW w:w="186" w:type="dxa"/>
            <w:tcBorders/>
            <w:shd w:fill="FFFFFF" w:val="clear"/>
            <w:vAlign w:val="center"/>
          </w:tcPr>
          <w:p>
            <w:pPr>
              <w:pStyle w:val="TableContents"/>
              <w:spacing w:before="0" w:after="283"/>
              <w:ind w:left="0" w:right="0" w:hanging="0"/>
              <w:rPr/>
            </w:pPr>
            <w:r>
              <w:rPr/>
              <w:t> </w:t>
            </w:r>
          </w:p>
        </w:tc>
        <w:tc>
          <w:tcPr>
            <w:tcW w:w="440" w:type="dxa"/>
            <w:tcBorders/>
            <w:shd w:fill="FFFFFF" w:val="clear"/>
            <w:vAlign w:val="center"/>
          </w:tcPr>
          <w:p>
            <w:pPr>
              <w:pStyle w:val="TableContents"/>
              <w:spacing w:before="0" w:after="283"/>
              <w:jc w:val="right"/>
              <w:rPr/>
            </w:pPr>
            <w:r>
              <w:rPr/>
              <w:t>—</w:t>
            </w:r>
          </w:p>
        </w:tc>
        <w:tc>
          <w:tcPr>
            <w:tcW w:w="72" w:type="dxa"/>
            <w:tcBorders/>
            <w:shd w:fill="FFFFFF" w:val="clear"/>
            <w:vAlign w:val="center"/>
          </w:tcPr>
          <w:p>
            <w:pPr>
              <w:pStyle w:val="TableContents"/>
              <w:spacing w:before="0" w:after="283"/>
              <w:ind w:left="0" w:right="0" w:hanging="0"/>
              <w:rPr/>
            </w:pPr>
            <w:r>
              <w:rPr/>
              <w:t> </w:t>
            </w:r>
          </w:p>
        </w:tc>
        <w:tc>
          <w:tcPr>
            <w:tcW w:w="608" w:type="dxa"/>
            <w:tcBorders/>
            <w:shd w:fill="FFFFFF" w:val="clear"/>
            <w:vAlign w:val="center"/>
          </w:tcPr>
          <w:p>
            <w:pPr>
              <w:pStyle w:val="TableContents"/>
              <w:spacing w:before="0" w:after="283"/>
              <w:jc w:val="right"/>
              <w:rPr/>
            </w:pPr>
            <w:r>
              <w:rPr>
                <w:rStyle w:val="Emphasis"/>
              </w:rPr>
              <w:t>—</w:t>
            </w:r>
          </w:p>
        </w:tc>
        <w:tc>
          <w:tcPr>
            <w:tcW w:w="184" w:type="dxa"/>
            <w:tcBorders/>
            <w:shd w:fill="FFFFFF" w:val="clear"/>
            <w:vAlign w:val="center"/>
          </w:tcPr>
          <w:p>
            <w:pPr>
              <w:pStyle w:val="TableContents"/>
              <w:spacing w:before="0" w:after="283"/>
              <w:ind w:left="0" w:right="0" w:hanging="0"/>
              <w:rPr/>
            </w:pPr>
            <w:r>
              <w:rPr/>
              <w:t> </w:t>
            </w:r>
          </w:p>
        </w:tc>
        <w:tc>
          <w:tcPr>
            <w:tcW w:w="436" w:type="dxa"/>
            <w:tcBorders/>
            <w:shd w:fill="FFFFFF" w:val="clear"/>
            <w:vAlign w:val="center"/>
          </w:tcPr>
          <w:p>
            <w:pPr>
              <w:pStyle w:val="TableContents"/>
              <w:spacing w:before="0" w:after="283"/>
              <w:jc w:val="right"/>
              <w:rPr/>
            </w:pPr>
            <w:r>
              <w:rPr/>
              <w:t>—</w:t>
            </w:r>
          </w:p>
        </w:tc>
        <w:tc>
          <w:tcPr>
            <w:tcW w:w="120" w:type="dxa"/>
            <w:tcBorders/>
            <w:shd w:fill="FFFFFF" w:val="clear"/>
            <w:vAlign w:val="center"/>
          </w:tcPr>
          <w:p>
            <w:pPr>
              <w:pStyle w:val="TableContents"/>
              <w:spacing w:before="0" w:after="283"/>
              <w:ind w:left="0" w:right="0" w:hanging="0"/>
              <w:rPr/>
            </w:pPr>
            <w:r>
              <w:rPr/>
              <w:t> </w:t>
            </w:r>
          </w:p>
        </w:tc>
        <w:tc>
          <w:tcPr>
            <w:tcW w:w="665" w:type="dxa"/>
            <w:tcBorders/>
            <w:shd w:fill="FFFFFF" w:val="clear"/>
            <w:vAlign w:val="center"/>
          </w:tcPr>
          <w:p>
            <w:pPr>
              <w:pStyle w:val="TableContents"/>
              <w:spacing w:before="0" w:after="283"/>
              <w:ind w:left="0" w:right="0" w:hanging="0"/>
              <w:jc w:val="right"/>
              <w:rPr/>
            </w:pPr>
            <w:r>
              <w:rPr/>
              <w:t>—</w:t>
            </w:r>
          </w:p>
        </w:tc>
        <w:tc>
          <w:tcPr>
            <w:tcW w:w="80" w:type="dxa"/>
            <w:tcBorders/>
            <w:shd w:fill="FFFFFF" w:val="clear"/>
            <w:vAlign w:val="center"/>
          </w:tcPr>
          <w:p>
            <w:pPr>
              <w:pStyle w:val="TableContents"/>
              <w:spacing w:before="0" w:after="283"/>
              <w:rPr/>
            </w:pPr>
            <w:r>
              <w:rPr/>
              <w:t> </w:t>
            </w:r>
          </w:p>
        </w:tc>
        <w:tc>
          <w:tcPr>
            <w:tcW w:w="195" w:type="dxa"/>
            <w:tcBorders/>
            <w:shd w:fill="FFFFFF" w:val="clear"/>
            <w:vAlign w:val="center"/>
          </w:tcPr>
          <w:p>
            <w:pPr>
              <w:pStyle w:val="TableContents"/>
              <w:spacing w:before="0" w:after="283"/>
              <w:ind w:left="0" w:right="0" w:hanging="0"/>
              <w:rPr/>
            </w:pPr>
            <w:r>
              <w:rPr/>
              <w:t> </w:t>
            </w:r>
          </w:p>
        </w:tc>
        <w:tc>
          <w:tcPr>
            <w:tcW w:w="920" w:type="dxa"/>
            <w:tcBorders/>
            <w:shd w:fill="FFFFFF" w:val="cle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(1,262</w:t>
            </w:r>
          </w:p>
        </w:tc>
        <w:tc>
          <w:tcPr>
            <w:tcW w:w="80" w:type="dxa"/>
            <w:tcBorders/>
            <w:shd w:fill="FFFFFF"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w:t>
            </w:r>
          </w:p>
        </w:tc>
        <w:tc>
          <w:tcPr>
            <w:tcW w:w="139" w:type="dxa"/>
            <w:tcBorders/>
            <w:shd w:fill="FFFFFF" w:val="clear"/>
            <w:vAlign w:val="center"/>
          </w:tcPr>
          <w:p>
            <w:pPr>
              <w:pStyle w:val="TableContents"/>
              <w:spacing w:before="0" w:after="283"/>
              <w:ind w:left="0" w:right="0" w:hanging="0"/>
              <w:rPr/>
            </w:pPr>
            <w:r>
              <w:rPr/>
              <w:t> </w:t>
            </w:r>
          </w:p>
        </w:tc>
        <w:tc>
          <w:tcPr>
            <w:tcW w:w="841" w:type="dxa"/>
            <w:tcBorders/>
            <w:shd w:fill="FFFFFF" w:val="clear"/>
            <w:vAlign w:val="center"/>
          </w:tcPr>
          <w:p>
            <w:pPr>
              <w:pStyle w:val="TableContents"/>
              <w:spacing w:before="0" w:after="283"/>
              <w:ind w:left="0" w:right="0" w:hanging="0"/>
              <w:jc w:val="right"/>
              <w:rPr/>
            </w:pPr>
            <w:r>
              <w:rPr/>
              <w:t>—</w:t>
            </w:r>
          </w:p>
        </w:tc>
        <w:tc>
          <w:tcPr>
            <w:tcW w:w="80" w:type="dxa"/>
            <w:tcBorders/>
            <w:shd w:fill="FFFFFF" w:val="clear"/>
            <w:vAlign w:val="center"/>
          </w:tcPr>
          <w:p>
            <w:pPr>
              <w:pStyle w:val="TableContents"/>
              <w:spacing w:before="0" w:after="283"/>
              <w:rPr/>
            </w:pPr>
            <w:r>
              <w:rPr/>
              <w:t> </w:t>
            </w:r>
          </w:p>
        </w:tc>
        <w:tc>
          <w:tcPr>
            <w:tcW w:w="153" w:type="dxa"/>
            <w:tcBorders/>
            <w:shd w:fill="FFFFFF" w:val="clear"/>
            <w:vAlign w:val="center"/>
          </w:tcPr>
          <w:p>
            <w:pPr>
              <w:pStyle w:val="TableContents"/>
              <w:spacing w:before="0" w:after="283"/>
              <w:ind w:left="0" w:right="0" w:hanging="0"/>
              <w:rPr/>
            </w:pPr>
            <w:r>
              <w:rPr/>
              <w:t> </w:t>
            </w:r>
          </w:p>
        </w:tc>
        <w:tc>
          <w:tcPr>
            <w:tcW w:w="853" w:type="dxa"/>
            <w:tcBorders/>
            <w:shd w:fill="FFFFFF" w:val="cle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(1,262</w:t>
            </w:r>
          </w:p>
        </w:tc>
        <w:tc>
          <w:tcPr>
            <w:tcW w:w="85" w:type="dxa"/>
            <w:tcBorders/>
            <w:shd w:fill="FFFFFF"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w:t>
            </w:r>
          </w:p>
        </w:tc>
      </w:tr>
      <w:tr>
        <w:trPr/>
        <w:tc>
          <w:tcPr>
            <w:tcW w:w="3388" w:type="dxa"/>
            <w:tcBorders/>
            <w:shd w:fill="CCEEFF" w:val="clear"/>
            <w:vAlign w:val="center"/>
          </w:tcPr>
          <w:p>
            <w:pPr>
              <w:pStyle w:val="TableContents"/>
              <w:spacing w:before="0" w:after="0"/>
              <w:rPr>
                <w:rFonts w:ascii="Times New Roman;Times;serif" w:hAnsi="Times New Roman;Times;serif"/>
                <w:sz w:val="18"/>
              </w:rPr>
            </w:pPr>
            <w:r>
              <w:rPr>
                <w:rFonts w:ascii="Times New Roman;Times;serif" w:hAnsi="Times New Roman;Times;serif"/>
                <w:sz w:val="18"/>
              </w:rPr>
              <w:t>Net loss</w:t>
            </w:r>
          </w:p>
        </w:tc>
        <w:tc>
          <w:tcPr>
            <w:tcW w:w="127"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553" w:type="dxa"/>
            <w:tcBorders>
              <w:bottom w:val="single" w:sz="2" w:space="0" w:color="000000"/>
            </w:tcBorders>
            <w:shd w:fill="CCEEFF" w:val="clear"/>
            <w:tcMar>
              <w:bottom w:w="28" w:type="dxa"/>
            </w:tcMar>
            <w:vAlign w:val="center"/>
          </w:tcPr>
          <w:p>
            <w:pPr>
              <w:pStyle w:val="TableContents"/>
              <w:spacing w:before="0" w:after="283"/>
              <w:jc w:val="right"/>
              <w:rPr/>
            </w:pPr>
            <w:r>
              <w:rPr>
                <w:rStyle w:val="Emphasis"/>
              </w:rPr>
              <w:t>—</w:t>
            </w:r>
          </w:p>
        </w:tc>
        <w:tc>
          <w:tcPr>
            <w:tcW w:w="186"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440" w:type="dxa"/>
            <w:tcBorders>
              <w:bottom w:val="single" w:sz="2" w:space="0" w:color="000000"/>
            </w:tcBorders>
            <w:shd w:fill="CCEEFF" w:val="clear"/>
            <w:tcMar>
              <w:bottom w:w="28" w:type="dxa"/>
            </w:tcMar>
            <w:vAlign w:val="center"/>
          </w:tcPr>
          <w:p>
            <w:pPr>
              <w:pStyle w:val="TableContents"/>
              <w:spacing w:before="0" w:after="283"/>
              <w:jc w:val="right"/>
              <w:rPr/>
            </w:pPr>
            <w:r>
              <w:rPr/>
              <w:t>—</w:t>
            </w:r>
          </w:p>
        </w:tc>
        <w:tc>
          <w:tcPr>
            <w:tcW w:w="72"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08" w:type="dxa"/>
            <w:tcBorders>
              <w:bottom w:val="single" w:sz="2" w:space="0" w:color="000000"/>
            </w:tcBorders>
            <w:shd w:fill="CCEEFF" w:val="clear"/>
            <w:tcMar>
              <w:bottom w:w="28" w:type="dxa"/>
            </w:tcMar>
            <w:vAlign w:val="center"/>
          </w:tcPr>
          <w:p>
            <w:pPr>
              <w:pStyle w:val="TableContents"/>
              <w:spacing w:before="0" w:after="283"/>
              <w:jc w:val="right"/>
              <w:rPr/>
            </w:pPr>
            <w:r>
              <w:rPr>
                <w:rStyle w:val="Emphasis"/>
              </w:rPr>
              <w:t>—</w:t>
            </w:r>
          </w:p>
        </w:tc>
        <w:tc>
          <w:tcPr>
            <w:tcW w:w="184"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436" w:type="dxa"/>
            <w:tcBorders>
              <w:bottom w:val="single" w:sz="2" w:space="0" w:color="000000"/>
            </w:tcBorders>
            <w:shd w:fill="CCEEFF" w:val="clear"/>
            <w:tcMar>
              <w:bottom w:w="28" w:type="dxa"/>
            </w:tcMar>
            <w:vAlign w:val="center"/>
          </w:tcPr>
          <w:p>
            <w:pPr>
              <w:pStyle w:val="TableContents"/>
              <w:spacing w:before="0" w:after="283"/>
              <w:jc w:val="right"/>
              <w:rPr/>
            </w:pPr>
            <w:r>
              <w:rPr/>
              <w:t>—</w:t>
            </w:r>
          </w:p>
        </w:tc>
        <w:tc>
          <w:tcPr>
            <w:tcW w:w="120"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65" w:type="dxa"/>
            <w:tcBorders>
              <w:bottom w:val="single" w:sz="2" w:space="0" w:color="000000"/>
            </w:tcBorders>
            <w:shd w:fill="CCEEFF" w:val="clear"/>
            <w:tcMar>
              <w:bottom w:w="28" w:type="dxa"/>
            </w:tcMar>
            <w:vAlign w:val="center"/>
          </w:tcPr>
          <w:p>
            <w:pPr>
              <w:pStyle w:val="TableContents"/>
              <w:spacing w:before="0" w:after="283"/>
              <w:ind w:left="0" w:right="0" w:hanging="0"/>
              <w:jc w:val="right"/>
              <w:rPr/>
            </w:pPr>
            <w:r>
              <w:rPr/>
              <w:t>—</w:t>
            </w:r>
          </w:p>
        </w:tc>
        <w:tc>
          <w:tcPr>
            <w:tcW w:w="80" w:type="dxa"/>
            <w:tcBorders/>
            <w:shd w:fill="CCEEFF" w:val="clear"/>
            <w:vAlign w:val="center"/>
          </w:tcPr>
          <w:p>
            <w:pPr>
              <w:pStyle w:val="TableContents"/>
              <w:spacing w:before="0" w:after="283"/>
              <w:rPr/>
            </w:pPr>
            <w:r>
              <w:rPr/>
              <w:t> </w:t>
            </w:r>
          </w:p>
        </w:tc>
        <w:tc>
          <w:tcPr>
            <w:tcW w:w="19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920" w:type="dxa"/>
            <w:tcBorders>
              <w:bottom w:val="single" w:sz="2" w:space="0" w:color="000000"/>
            </w:tcBorders>
            <w:shd w:fill="CCEEFF" w:val="clear"/>
            <w:tcMar>
              <w:bottom w:w="28" w:type="dxa"/>
            </w:tcMar>
            <w:vAlign w:val="center"/>
          </w:tcPr>
          <w:p>
            <w:pPr>
              <w:pStyle w:val="TableContents"/>
              <w:spacing w:before="0" w:after="283"/>
              <w:ind w:left="0" w:right="0" w:hanging="0"/>
              <w:jc w:val="right"/>
              <w:rPr/>
            </w:pPr>
            <w:r>
              <w:rPr/>
              <w:t>—</w:t>
            </w:r>
          </w:p>
        </w:tc>
        <w:tc>
          <w:tcPr>
            <w:tcW w:w="80" w:type="dxa"/>
            <w:tcBorders/>
            <w:shd w:fill="CCEEFF" w:val="clear"/>
            <w:vAlign w:val="center"/>
          </w:tcPr>
          <w:p>
            <w:pPr>
              <w:pStyle w:val="TableContents"/>
              <w:spacing w:before="0" w:after="283"/>
              <w:rPr/>
            </w:pPr>
            <w:r>
              <w:rPr/>
              <w:t> </w:t>
            </w:r>
          </w:p>
        </w:tc>
        <w:tc>
          <w:tcPr>
            <w:tcW w:w="139"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841"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(16,062</w:t>
            </w:r>
          </w:p>
        </w:tc>
        <w:tc>
          <w:tcPr>
            <w:tcW w:w="80" w:type="dxa"/>
            <w:tcBorders/>
            <w:shd w:fill="CCEEFF"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w:t>
            </w:r>
          </w:p>
        </w:tc>
        <w:tc>
          <w:tcPr>
            <w:tcW w:w="153"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853"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(16,062</w:t>
            </w:r>
          </w:p>
        </w:tc>
        <w:tc>
          <w:tcPr>
            <w:tcW w:w="85" w:type="dxa"/>
            <w:tcBorders/>
            <w:shd w:fill="CCEEFF"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w:t>
            </w:r>
          </w:p>
        </w:tc>
      </w:tr>
      <w:tr>
        <w:trPr/>
        <w:tc>
          <w:tcPr>
            <w:tcW w:w="3388" w:type="dxa"/>
            <w:tcBorders/>
            <w:shd w:fill="FFFFFF" w:val="clear"/>
            <w:vAlign w:val="center"/>
          </w:tcPr>
          <w:p>
            <w:pPr>
              <w:pStyle w:val="TableContents"/>
              <w:spacing w:before="0" w:after="0"/>
              <w:rPr>
                <w:rFonts w:ascii="Times New Roman;Times;serif" w:hAnsi="Times New Roman;Times;serif"/>
                <w:sz w:val="18"/>
              </w:rPr>
            </w:pPr>
            <w:r>
              <w:rPr>
                <w:rFonts w:ascii="Times New Roman;Times;serif" w:hAnsi="Times New Roman;Times;serif"/>
                <w:sz w:val="18"/>
              </w:rPr>
              <w:t>March 31, 2022</w:t>
            </w:r>
          </w:p>
        </w:tc>
        <w:tc>
          <w:tcPr>
            <w:tcW w:w="127" w:type="dxa"/>
            <w:tcBorders>
              <w:bottom w:val="double" w:sz="6" w:space="0" w:color="000000"/>
            </w:tcBorders>
            <w:shd w:fill="FFFFFF" w:val="clear"/>
            <w:tcMar>
              <w:bottom w:w="28" w:type="dxa"/>
            </w:tcMar>
            <w:vAlign w:val="center"/>
          </w:tcPr>
          <w:p>
            <w:pPr>
              <w:pStyle w:val="TableContents"/>
              <w:spacing w:before="0" w:after="283"/>
              <w:ind w:left="0" w:right="0" w:hanging="0"/>
              <w:rPr/>
            </w:pPr>
            <w:r>
              <w:rPr/>
              <w:t> </w:t>
            </w:r>
          </w:p>
        </w:tc>
        <w:tc>
          <w:tcPr>
            <w:tcW w:w="553" w:type="dxa"/>
            <w:tcBorders>
              <w:bottom w:val="double" w:sz="6" w:space="0" w:color="000000"/>
            </w:tcBorders>
            <w:shd w:fill="FFFFFF" w:val="clear"/>
            <w:tcMar>
              <w:bottom w:w="28" w:type="dxa"/>
            </w:tcMar>
            <w:vAlign w:val="center"/>
          </w:tcPr>
          <w:p>
            <w:pPr>
              <w:pStyle w:val="TableContents"/>
              <w:spacing w:before="0" w:after="283"/>
              <w:ind w:left="0" w:right="0" w:hanging="0"/>
              <w:jc w:val="right"/>
              <w:rPr/>
            </w:pPr>
            <w:r>
              <w:rPr/>
              <w:t>—</w:t>
            </w:r>
          </w:p>
        </w:tc>
        <w:tc>
          <w:tcPr>
            <w:tcW w:w="186"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Times;serif" w:hAnsi="Times New Roman;Times;serif"/>
                <w:sz w:val="18"/>
              </w:rPr>
            </w:pPr>
            <w:r>
              <w:rPr>
                <w:rFonts w:ascii="Times New Roman;Times;serif" w:hAnsi="Times New Roman;Times;serif"/>
                <w:sz w:val="18"/>
              </w:rPr>
              <w:t>$</w:t>
            </w:r>
          </w:p>
        </w:tc>
        <w:tc>
          <w:tcPr>
            <w:tcW w:w="440" w:type="dxa"/>
            <w:tcBorders>
              <w:bottom w:val="double" w:sz="6" w:space="0" w:color="000000"/>
            </w:tcBorders>
            <w:shd w:fill="FFFFFF" w:val="clear"/>
            <w:tcMar>
              <w:bottom w:w="28" w:type="dxa"/>
            </w:tcMar>
            <w:vAlign w:val="center"/>
          </w:tcPr>
          <w:p>
            <w:pPr>
              <w:pStyle w:val="TableContents"/>
              <w:spacing w:before="0" w:after="283"/>
              <w:jc w:val="right"/>
              <w:rPr/>
            </w:pPr>
            <w:r>
              <w:rPr/>
              <w:t>—</w:t>
            </w:r>
          </w:p>
        </w:tc>
        <w:tc>
          <w:tcPr>
            <w:tcW w:w="72" w:type="dxa"/>
            <w:tcBorders>
              <w:bottom w:val="double" w:sz="6" w:space="0" w:color="000000"/>
            </w:tcBorders>
            <w:shd w:fill="FFFFFF" w:val="clear"/>
            <w:tcMar>
              <w:bottom w:w="28" w:type="dxa"/>
            </w:tcMar>
            <w:vAlign w:val="center"/>
          </w:tcPr>
          <w:p>
            <w:pPr>
              <w:pStyle w:val="TableContents"/>
              <w:spacing w:before="0" w:after="283"/>
              <w:ind w:left="0" w:right="0" w:hanging="0"/>
              <w:rPr/>
            </w:pPr>
            <w:r>
              <w:rPr/>
              <w:t> </w:t>
            </w:r>
          </w:p>
        </w:tc>
        <w:tc>
          <w:tcPr>
            <w:tcW w:w="608"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27,530</w:t>
            </w:r>
          </w:p>
        </w:tc>
        <w:tc>
          <w:tcPr>
            <w:tcW w:w="184"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Times;serif" w:hAnsi="Times New Roman;Times;serif"/>
                <w:sz w:val="18"/>
              </w:rPr>
            </w:pPr>
            <w:r>
              <w:rPr>
                <w:rFonts w:ascii="Times New Roman;Times;serif" w:hAnsi="Times New Roman;Times;serif"/>
                <w:sz w:val="18"/>
              </w:rPr>
              <w:t>$</w:t>
            </w:r>
          </w:p>
        </w:tc>
        <w:tc>
          <w:tcPr>
            <w:tcW w:w="436"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27</w:t>
            </w:r>
          </w:p>
        </w:tc>
        <w:tc>
          <w:tcPr>
            <w:tcW w:w="120"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Times;serif" w:hAnsi="Times New Roman;Times;serif"/>
                <w:sz w:val="18"/>
              </w:rPr>
            </w:pPr>
            <w:r>
              <w:rPr>
                <w:rFonts w:ascii="Times New Roman;Times;serif" w:hAnsi="Times New Roman;Times;serif"/>
                <w:sz w:val="18"/>
              </w:rPr>
              <w:t>$</w:t>
            </w:r>
          </w:p>
        </w:tc>
        <w:tc>
          <w:tcPr>
            <w:tcW w:w="66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383,474</w:t>
            </w:r>
          </w:p>
        </w:tc>
        <w:tc>
          <w:tcPr>
            <w:tcW w:w="80" w:type="dxa"/>
            <w:tcBorders/>
            <w:shd w:fill="FFFFFF" w:val="clear"/>
            <w:vAlign w:val="center"/>
          </w:tcPr>
          <w:p>
            <w:pPr>
              <w:pStyle w:val="TableContents"/>
              <w:spacing w:before="0" w:after="283"/>
              <w:ind w:left="0" w:right="0" w:hanging="0"/>
              <w:rPr/>
            </w:pPr>
            <w:r>
              <w:rPr/>
              <w:t> </w:t>
            </w:r>
          </w:p>
        </w:tc>
        <w:tc>
          <w:tcPr>
            <w:tcW w:w="19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Times;serif" w:hAnsi="Times New Roman;Times;serif"/>
                <w:sz w:val="18"/>
              </w:rPr>
            </w:pPr>
            <w:r>
              <w:rPr>
                <w:rFonts w:ascii="Times New Roman;Times;serif" w:hAnsi="Times New Roman;Times;serif"/>
                <w:sz w:val="18"/>
              </w:rPr>
              <w:t>$</w:t>
            </w:r>
          </w:p>
        </w:tc>
        <w:tc>
          <w:tcPr>
            <w:tcW w:w="92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14,809</w:t>
            </w:r>
          </w:p>
        </w:tc>
        <w:tc>
          <w:tcPr>
            <w:tcW w:w="80" w:type="dxa"/>
            <w:tcBorders/>
            <w:shd w:fill="FFFFFF" w:val="clear"/>
            <w:vAlign w:val="center"/>
          </w:tcPr>
          <w:p>
            <w:pPr>
              <w:pStyle w:val="TableContents"/>
              <w:spacing w:before="0" w:after="283"/>
              <w:ind w:left="0" w:right="0" w:hanging="0"/>
              <w:rPr/>
            </w:pPr>
            <w:r>
              <w:rPr/>
              <w:t> </w:t>
            </w:r>
          </w:p>
        </w:tc>
        <w:tc>
          <w:tcPr>
            <w:tcW w:w="139"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Times;serif" w:hAnsi="Times New Roman;Times;serif"/>
                <w:sz w:val="18"/>
              </w:rPr>
            </w:pPr>
            <w:r>
              <w:rPr>
                <w:rFonts w:ascii="Times New Roman;Times;serif" w:hAnsi="Times New Roman;Times;serif"/>
                <w:sz w:val="18"/>
              </w:rPr>
              <w:t>$</w:t>
            </w:r>
          </w:p>
        </w:tc>
        <w:tc>
          <w:tcPr>
            <w:tcW w:w="841"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(158,733</w:t>
            </w:r>
          </w:p>
        </w:tc>
        <w:tc>
          <w:tcPr>
            <w:tcW w:w="80" w:type="dxa"/>
            <w:tcBorders/>
            <w:shd w:fill="FFFFFF" w:val="clear"/>
            <w:vAlign w:val="center"/>
          </w:tcPr>
          <w:p>
            <w:pPr>
              <w:pStyle w:val="TableContents"/>
              <w:spacing w:before="0" w:after="283"/>
              <w:ind w:left="0" w:right="0" w:hanging="0"/>
              <w:rPr>
                <w:rFonts w:ascii="Times New Roman;Times;serif" w:hAnsi="Times New Roman;Times;serif"/>
                <w:sz w:val="18"/>
              </w:rPr>
            </w:pPr>
            <w:r>
              <w:rPr>
                <w:rFonts w:ascii="Times New Roman;Times;serif" w:hAnsi="Times New Roman;Times;serif"/>
                <w:sz w:val="18"/>
              </w:rPr>
              <w:t>)</w:t>
            </w:r>
          </w:p>
        </w:tc>
        <w:tc>
          <w:tcPr>
            <w:tcW w:w="153"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Times;serif" w:hAnsi="Times New Roman;Times;serif"/>
                <w:sz w:val="18"/>
              </w:rPr>
            </w:pPr>
            <w:r>
              <w:rPr>
                <w:rFonts w:ascii="Times New Roman;Times;serif" w:hAnsi="Times New Roman;Times;serif"/>
                <w:sz w:val="18"/>
              </w:rPr>
              <w:t>$</w:t>
            </w:r>
          </w:p>
        </w:tc>
        <w:tc>
          <w:tcPr>
            <w:tcW w:w="853"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239,577</w:t>
            </w:r>
          </w:p>
        </w:tc>
        <w:tc>
          <w:tcPr>
            <w:tcW w:w="85" w:type="dxa"/>
            <w:tcBorders/>
            <w:shd w:fill="FFFFFF" w:val="clear"/>
            <w:vAlign w:val="center"/>
          </w:tcPr>
          <w:p>
            <w:pPr>
              <w:pStyle w:val="TableContents"/>
              <w:spacing w:before="0" w:after="283"/>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Times;serif" w:hAnsi="Times New Roman;Times;serif"/>
          <w:i/>
          <w:sz w:val="20"/>
        </w:rPr>
      </w:pPr>
      <w:r>
        <w:rPr>
          <w:rFonts w:ascii="Times New Roman;Times;serif" w:hAnsi="Times New Roman;Times;serif"/>
          <w:i/>
          <w:sz w:val="20"/>
        </w:rPr>
        <w:t>The accompanying notes are an integral part of these condensed consolidated financial statements.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6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rPr/>
      </w:pPr>
      <w:r>
        <w:rPr/>
        <w:t xml:space="preserve">  </w:t>
      </w:r>
    </w:p>
    <w:p>
      <w:pPr>
        <w:pStyle w:val="TextBody"/>
        <w:spacing w:before="0" w:after="0"/>
        <w:ind w:left="0" w:right="0" w:hanging="0"/>
        <w:jc w:val="center"/>
        <w:rPr>
          <w:rFonts w:ascii="Times New Roman;Times;serif" w:hAnsi="Times New Roman;Times;serif"/>
          <w:b/>
          <w:sz w:val="20"/>
        </w:rPr>
      </w:pPr>
      <w:bookmarkStart w:id="9" w:name="cf"/>
      <w:bookmarkEnd w:id="9"/>
      <w:r>
        <w:rPr>
          <w:rFonts w:ascii="Times New Roman;Times;serif" w:hAnsi="Times New Roman;Times;serif"/>
          <w:b/>
          <w:sz w:val="20"/>
        </w:rPr>
        <w:t>Applied Optoelectronics, Inc. and Subsidiaries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CASH FLOWS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w:t>
      </w:r>
    </w:p>
    <w:p>
      <w:pPr>
        <w:pStyle w:val="TextBody"/>
        <w:spacing w:before="0" w:after="0"/>
        <w:ind w:left="0" w:right="0" w:hanging="0"/>
        <w:jc w:val="center"/>
        <w:rPr/>
      </w:pPr>
      <w:r>
        <w:rPr/>
        <w:t>​</w:t>
      </w:r>
    </w:p>
    <w:tbl>
      <w:tblPr>
        <w:tblW w:w="10205" w:type="dxa"/>
        <w:jc w:val="left"/>
        <w:tblInd w:w="0" w:type="dxa"/>
        <w:tblCellMar>
          <w:top w:w="0" w:type="dxa"/>
          <w:left w:w="0" w:type="dxa"/>
          <w:bottom w:w="0" w:type="dxa"/>
          <w:right w:w="0" w:type="dxa"/>
        </w:tblCellMar>
      </w:tblPr>
      <w:tblGrid>
        <w:gridCol w:w="7454"/>
        <w:gridCol w:w="60"/>
        <w:gridCol w:w="192"/>
        <w:gridCol w:w="1004"/>
        <w:gridCol w:w="123"/>
        <w:gridCol w:w="91"/>
        <w:gridCol w:w="192"/>
        <w:gridCol w:w="1004"/>
        <w:gridCol w:w="85"/>
      </w:tblGrid>
      <w:tr>
        <w:trPr/>
        <w:tc>
          <w:tcPr>
            <w:tcW w:w="7454"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2606" w:type="dxa"/>
            <w:gridSpan w:val="6"/>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March 31,</w:t>
            </w:r>
          </w:p>
        </w:tc>
        <w:tc>
          <w:tcPr>
            <w:tcW w:w="85" w:type="dxa"/>
            <w:tcBorders/>
            <w:shd w:fill="auto" w:val="clear"/>
            <w:vAlign w:val="center"/>
          </w:tcPr>
          <w:p>
            <w:pPr>
              <w:pStyle w:val="TableContents"/>
              <w:spacing w:before="0" w:after="283"/>
              <w:rPr/>
            </w:pPr>
            <w:r>
              <w:rPr/>
              <w:t> </w:t>
            </w:r>
          </w:p>
        </w:tc>
      </w:tr>
      <w:tr>
        <w:trPr/>
        <w:tc>
          <w:tcPr>
            <w:tcW w:w="7454" w:type="dxa"/>
            <w:tcBorders/>
            <w:shd w:fill="auto" w:val="clear"/>
            <w:vAlign w:val="center"/>
          </w:tcPr>
          <w:p>
            <w:pPr>
              <w:pStyle w:val="TableContents"/>
              <w:spacing w:before="0" w:after="0"/>
              <w:rPr>
                <w:caps w:val="false"/>
                <w:smallCaps w:val="false"/>
              </w:rPr>
            </w:pPr>
            <w:r>
              <w:rPr>
                <w:caps w:val="false"/>
                <w:smallCaps w:val="false"/>
              </w:rPr>
              <w:t>​</w:t>
            </w:r>
          </w:p>
        </w:tc>
        <w:tc>
          <w:tcPr>
            <w:tcW w:w="60" w:type="dxa"/>
            <w:tcBorders/>
            <w:shd w:fill="auto" w:val="clear"/>
            <w:vAlign w:val="center"/>
          </w:tcPr>
          <w:p>
            <w:pPr>
              <w:pStyle w:val="TableContents"/>
              <w:spacing w:before="0" w:after="283"/>
              <w:ind w:left="0" w:right="0" w:hanging="0"/>
              <w:rPr/>
            </w:pPr>
            <w:r>
              <w:rPr/>
              <w:t> </w:t>
            </w:r>
          </w:p>
        </w:tc>
        <w:tc>
          <w:tcPr>
            <w:tcW w:w="119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23" w:type="dxa"/>
            <w:tcBorders/>
            <w:shd w:fill="auto" w:val="clear"/>
            <w:vAlign w:val="center"/>
          </w:tcPr>
          <w:p>
            <w:pPr>
              <w:pStyle w:val="TableContents"/>
              <w:spacing w:before="0" w:after="283"/>
              <w:rPr/>
            </w:pPr>
            <w:r>
              <w:rPr/>
              <w:t> </w:t>
            </w:r>
          </w:p>
        </w:tc>
        <w:tc>
          <w:tcPr>
            <w:tcW w:w="91" w:type="dxa"/>
            <w:tcBorders/>
            <w:shd w:fill="auto" w:val="clear"/>
            <w:vAlign w:val="center"/>
          </w:tcPr>
          <w:p>
            <w:pPr>
              <w:pStyle w:val="TableContents"/>
              <w:spacing w:before="0" w:after="283"/>
              <w:ind w:left="0" w:right="0" w:hanging="0"/>
              <w:rPr/>
            </w:pPr>
            <w:r>
              <w:rPr/>
              <w:t> </w:t>
            </w:r>
          </w:p>
        </w:tc>
        <w:tc>
          <w:tcPr>
            <w:tcW w:w="119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5" w:type="dxa"/>
            <w:tcBorders/>
            <w:shd w:fill="auto" w:val="clear"/>
            <w:vAlign w:val="center"/>
          </w:tcPr>
          <w:p>
            <w:pPr>
              <w:pStyle w:val="TableContents"/>
              <w:spacing w:before="0" w:after="283"/>
              <w:rPr/>
            </w:pPr>
            <w:r>
              <w:rPr/>
              <w:t> </w:t>
            </w:r>
          </w:p>
        </w:tc>
      </w:tr>
      <w:tr>
        <w:trPr/>
        <w:tc>
          <w:tcPr>
            <w:tcW w:w="7454"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Operating activities:</w:t>
            </w:r>
          </w:p>
        </w:tc>
        <w:tc>
          <w:tcPr>
            <w:tcW w:w="60" w:type="dxa"/>
            <w:tcBorders/>
            <w:shd w:fill="CCEEFF" w:val="clear"/>
            <w:vAlign w:val="center"/>
          </w:tcPr>
          <w:p>
            <w:pPr>
              <w:pStyle w:val="TableContents"/>
              <w:spacing w:before="0" w:after="283"/>
              <w:ind w:left="0" w:right="0" w:hanging="0"/>
              <w:rPr/>
            </w:pPr>
            <w:r>
              <w:rPr/>
              <w:t> </w:t>
            </w:r>
          </w:p>
        </w:tc>
        <w:tc>
          <w:tcPr>
            <w:tcW w:w="1196" w:type="dxa"/>
            <w:gridSpan w:val="2"/>
            <w:tcBorders/>
            <w:shd w:fill="CCEEFF" w:val="clear"/>
            <w:vAlign w:val="center"/>
          </w:tcPr>
          <w:p>
            <w:pPr>
              <w:pStyle w:val="TableContents"/>
              <w:spacing w:before="0" w:after="0"/>
              <w:ind w:left="0" w:right="0" w:hanging="0"/>
              <w:rPr>
                <w:caps w:val="false"/>
                <w:smallCaps w:val="false"/>
              </w:rPr>
            </w:pPr>
            <w:r>
              <w:rPr>
                <w:caps w:val="false"/>
                <w:smallCaps w:val="false"/>
              </w:rPr>
              <w:t>​</w:t>
            </w:r>
          </w:p>
        </w:tc>
        <w:tc>
          <w:tcPr>
            <w:tcW w:w="123" w:type="dxa"/>
            <w:tcBorders/>
            <w:shd w:fill="CCEEFF" w:val="clear"/>
            <w:vAlign w:val="center"/>
          </w:tcPr>
          <w:p>
            <w:pPr>
              <w:pStyle w:val="TableContents"/>
              <w:spacing w:before="0" w:after="283"/>
              <w:rPr/>
            </w:pPr>
            <w:r>
              <w:rPr/>
              <w:t> </w:t>
            </w:r>
          </w:p>
        </w:tc>
        <w:tc>
          <w:tcPr>
            <w:tcW w:w="91" w:type="dxa"/>
            <w:tcBorders/>
            <w:shd w:fill="CCEEFF" w:val="clear"/>
            <w:vAlign w:val="center"/>
          </w:tcPr>
          <w:p>
            <w:pPr>
              <w:pStyle w:val="TableContents"/>
              <w:spacing w:before="0" w:after="283"/>
              <w:ind w:left="0" w:right="0" w:hanging="0"/>
              <w:rPr/>
            </w:pPr>
            <w:r>
              <w:rPr/>
              <w:t> </w:t>
            </w:r>
          </w:p>
        </w:tc>
        <w:tc>
          <w:tcPr>
            <w:tcW w:w="1196" w:type="dxa"/>
            <w:gridSpan w:val="2"/>
            <w:tcBorders/>
            <w:shd w:fill="CCEEFF" w:val="clear"/>
            <w:vAlign w:val="center"/>
          </w:tcPr>
          <w:p>
            <w:pPr>
              <w:pStyle w:val="TableContents"/>
              <w:spacing w:before="0" w:after="0"/>
              <w:ind w:left="0" w:right="0" w:hanging="0"/>
              <w:rPr>
                <w:caps w:val="false"/>
                <w:smallCaps w:val="false"/>
              </w:rPr>
            </w:pPr>
            <w:r>
              <w:rPr>
                <w:caps w:val="false"/>
                <w:smallCaps w:val="false"/>
              </w:rPr>
              <w:t>​</w:t>
            </w:r>
          </w:p>
        </w:tc>
        <w:tc>
          <w:tcPr>
            <w:tcW w:w="85" w:type="dxa"/>
            <w:tcBorders/>
            <w:shd w:fill="CCEEFF" w:val="clear"/>
            <w:vAlign w:val="center"/>
          </w:tcPr>
          <w:p>
            <w:pPr>
              <w:pStyle w:val="TableContents"/>
              <w:spacing w:before="0" w:after="283"/>
              <w:rPr/>
            </w:pPr>
            <w:r>
              <w:rPr/>
              <w:t> </w:t>
            </w:r>
          </w:p>
        </w:tc>
      </w:tr>
      <w:tr>
        <w:trPr/>
        <w:tc>
          <w:tcPr>
            <w:tcW w:w="7454"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FFFFFF" w:val="clear"/>
            <w:vAlign w:val="center"/>
          </w:tcPr>
          <w:p>
            <w:pPr>
              <w:pStyle w:val="TableContents"/>
              <w:spacing w:before="0" w:after="283"/>
              <w:ind w:left="0" w:right="0" w:hanging="0"/>
              <w:rPr/>
            </w:pPr>
            <w:r>
              <w:rPr/>
              <w:t> </w:t>
            </w:r>
          </w:p>
        </w:tc>
        <w:tc>
          <w:tcPr>
            <w:tcW w:w="192"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004"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(16,292</w:t>
            </w:r>
          </w:p>
        </w:tc>
        <w:tc>
          <w:tcPr>
            <w:tcW w:w="123"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91" w:type="dxa"/>
            <w:tcBorders/>
            <w:shd w:fill="FFFFFF" w:val="clear"/>
            <w:vAlign w:val="center"/>
          </w:tcPr>
          <w:p>
            <w:pPr>
              <w:pStyle w:val="TableContents"/>
              <w:spacing w:before="0" w:after="283"/>
              <w:ind w:left="0" w:right="0" w:hanging="0"/>
              <w:rPr/>
            </w:pPr>
            <w:r>
              <w:rPr/>
              <w:t> </w:t>
            </w:r>
          </w:p>
        </w:tc>
        <w:tc>
          <w:tcPr>
            <w:tcW w:w="192"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004"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(16,062</w:t>
            </w:r>
          </w:p>
        </w:tc>
        <w:tc>
          <w:tcPr>
            <w:tcW w:w="8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7454"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Adjustments to reconcile net loss to net cash used in operating activities:</w:t>
            </w:r>
          </w:p>
        </w:tc>
        <w:tc>
          <w:tcPr>
            <w:tcW w:w="60" w:type="dxa"/>
            <w:tcBorders/>
            <w:shd w:fill="CCEEFF" w:val="clear"/>
            <w:vAlign w:val="center"/>
          </w:tcPr>
          <w:p>
            <w:pPr>
              <w:pStyle w:val="TableContents"/>
              <w:spacing w:before="0" w:after="283"/>
              <w:rPr/>
            </w:pPr>
            <w:r>
              <w:rPr/>
              <w:t> </w:t>
            </w:r>
          </w:p>
        </w:tc>
        <w:tc>
          <w:tcPr>
            <w:tcW w:w="192" w:type="dxa"/>
            <w:tcBorders/>
            <w:shd w:fill="CCEEFF" w:val="clear"/>
            <w:vAlign w:val="center"/>
          </w:tcPr>
          <w:p>
            <w:pPr>
              <w:pStyle w:val="TableContents"/>
              <w:spacing w:before="0" w:after="283"/>
              <w:rPr/>
            </w:pPr>
            <w:r>
              <w:rPr/>
              <w:t> </w:t>
            </w:r>
          </w:p>
        </w:tc>
        <w:tc>
          <w:tcPr>
            <w:tcW w:w="1004" w:type="dxa"/>
            <w:tcBorders/>
            <w:shd w:fill="CCEEFF" w:val="clear"/>
            <w:vAlign w:val="center"/>
          </w:tcPr>
          <w:p>
            <w:pPr>
              <w:pStyle w:val="TableContents"/>
              <w:spacing w:before="0" w:after="283"/>
              <w:rPr/>
            </w:pPr>
            <w:r>
              <w:rPr/>
              <w:t> </w:t>
            </w:r>
          </w:p>
        </w:tc>
        <w:tc>
          <w:tcPr>
            <w:tcW w:w="123" w:type="dxa"/>
            <w:tcBorders/>
            <w:shd w:fill="CCEEFF" w:val="clear"/>
            <w:vAlign w:val="center"/>
          </w:tcPr>
          <w:p>
            <w:pPr>
              <w:pStyle w:val="TableContents"/>
              <w:spacing w:before="0" w:after="283"/>
              <w:rPr/>
            </w:pPr>
            <w:r>
              <w:rPr/>
              <w:t> </w:t>
            </w:r>
          </w:p>
        </w:tc>
        <w:tc>
          <w:tcPr>
            <w:tcW w:w="91" w:type="dxa"/>
            <w:tcBorders/>
            <w:shd w:fill="CCEEFF" w:val="clear"/>
            <w:vAlign w:val="center"/>
          </w:tcPr>
          <w:p>
            <w:pPr>
              <w:pStyle w:val="TableContents"/>
              <w:spacing w:before="0" w:after="283"/>
              <w:ind w:left="0" w:right="0" w:hanging="0"/>
              <w:rPr/>
            </w:pPr>
            <w:r>
              <w:rPr/>
              <w:t> </w:t>
            </w:r>
          </w:p>
        </w:tc>
        <w:tc>
          <w:tcPr>
            <w:tcW w:w="1196" w:type="dxa"/>
            <w:gridSpan w:val="2"/>
            <w:tcBorders/>
            <w:shd w:fill="CCEEFF" w:val="clear"/>
            <w:vAlign w:val="center"/>
          </w:tcPr>
          <w:p>
            <w:pPr>
              <w:pStyle w:val="TableContents"/>
              <w:spacing w:before="0" w:after="0"/>
              <w:ind w:left="0" w:right="0" w:hanging="0"/>
              <w:rPr>
                <w:caps w:val="false"/>
                <w:smallCaps w:val="false"/>
              </w:rPr>
            </w:pPr>
            <w:r>
              <w:rPr>
                <w:caps w:val="false"/>
                <w:smallCaps w:val="false"/>
              </w:rPr>
              <w:t>​</w:t>
            </w:r>
          </w:p>
        </w:tc>
        <w:tc>
          <w:tcPr>
            <w:tcW w:w="85" w:type="dxa"/>
            <w:tcBorders/>
            <w:shd w:fill="CCEEFF" w:val="clear"/>
            <w:vAlign w:val="center"/>
          </w:tcPr>
          <w:p>
            <w:pPr>
              <w:pStyle w:val="TableContents"/>
              <w:spacing w:before="0" w:after="283"/>
              <w:rPr/>
            </w:pPr>
            <w:r>
              <w:rPr/>
              <w:t> </w:t>
            </w:r>
          </w:p>
        </w:tc>
      </w:tr>
      <w:tr>
        <w:trPr/>
        <w:tc>
          <w:tcPr>
            <w:tcW w:w="7454"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Allowance of bad debt</w:t>
            </w:r>
          </w:p>
        </w:tc>
        <w:tc>
          <w:tcPr>
            <w:tcW w:w="60" w:type="dxa"/>
            <w:tcBorders/>
            <w:shd w:fill="FFFFFF" w:val="clear"/>
            <w:vAlign w:val="center"/>
          </w:tcPr>
          <w:p>
            <w:pPr>
              <w:pStyle w:val="TableContents"/>
              <w:spacing w:before="0" w:after="283"/>
              <w:rPr/>
            </w:pPr>
            <w:r>
              <w:rPr/>
              <w:t> </w:t>
            </w:r>
          </w:p>
        </w:tc>
        <w:tc>
          <w:tcPr>
            <w:tcW w:w="192" w:type="dxa"/>
            <w:tcBorders/>
            <w:shd w:fill="FFFFFF" w:val="clear"/>
            <w:vAlign w:val="center"/>
          </w:tcPr>
          <w:p>
            <w:pPr>
              <w:pStyle w:val="TableContents"/>
              <w:spacing w:before="0" w:after="283"/>
              <w:ind w:left="0" w:right="0" w:hanging="0"/>
              <w:rPr/>
            </w:pPr>
            <w:r>
              <w:rPr/>
              <w:t> </w:t>
            </w:r>
          </w:p>
        </w:tc>
        <w:tc>
          <w:tcPr>
            <w:tcW w:w="1004"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w:t>
            </w:r>
          </w:p>
        </w:tc>
        <w:tc>
          <w:tcPr>
            <w:tcW w:w="123" w:type="dxa"/>
            <w:tcBorders/>
            <w:shd w:fill="FFFFFF" w:val="clear"/>
            <w:vAlign w:val="center"/>
          </w:tcPr>
          <w:p>
            <w:pPr>
              <w:pStyle w:val="TableContents"/>
              <w:spacing w:before="0" w:after="283"/>
              <w:rPr/>
            </w:pPr>
            <w:r>
              <w:rPr/>
              <w:t> </w:t>
            </w:r>
          </w:p>
        </w:tc>
        <w:tc>
          <w:tcPr>
            <w:tcW w:w="91" w:type="dxa"/>
            <w:tcBorders/>
            <w:shd w:fill="FFFFFF" w:val="clear"/>
            <w:vAlign w:val="center"/>
          </w:tcPr>
          <w:p>
            <w:pPr>
              <w:pStyle w:val="TableContents"/>
              <w:spacing w:before="0" w:after="283"/>
              <w:rPr/>
            </w:pPr>
            <w:r>
              <w:rPr/>
              <w:t> </w:t>
            </w:r>
          </w:p>
        </w:tc>
        <w:tc>
          <w:tcPr>
            <w:tcW w:w="192" w:type="dxa"/>
            <w:tcBorders/>
            <w:shd w:fill="FFFFFF" w:val="clear"/>
            <w:vAlign w:val="center"/>
          </w:tcPr>
          <w:p>
            <w:pPr>
              <w:pStyle w:val="TableContents"/>
              <w:spacing w:before="0" w:after="283"/>
              <w:ind w:left="0" w:right="0" w:hanging="0"/>
              <w:rPr/>
            </w:pPr>
            <w:r>
              <w:rPr/>
              <w:t> </w:t>
            </w:r>
          </w:p>
        </w:tc>
        <w:tc>
          <w:tcPr>
            <w:tcW w:w="1004"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w:t>
            </w:r>
          </w:p>
        </w:tc>
        <w:tc>
          <w:tcPr>
            <w:tcW w:w="8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7454"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Inventory reserve adjustment</w:t>
            </w:r>
          </w:p>
        </w:tc>
        <w:tc>
          <w:tcPr>
            <w:tcW w:w="60" w:type="dxa"/>
            <w:tcBorders/>
            <w:shd w:fill="CCEEFF" w:val="clear"/>
            <w:vAlign w:val="center"/>
          </w:tcPr>
          <w:p>
            <w:pPr>
              <w:pStyle w:val="TableContents"/>
              <w:spacing w:before="0" w:after="283"/>
              <w:rPr/>
            </w:pPr>
            <w:r>
              <w:rPr/>
              <w:t> </w:t>
            </w:r>
          </w:p>
        </w:tc>
        <w:tc>
          <w:tcPr>
            <w:tcW w:w="192" w:type="dxa"/>
            <w:tcBorders/>
            <w:shd w:fill="CCEEFF" w:val="clear"/>
            <w:vAlign w:val="center"/>
          </w:tcPr>
          <w:p>
            <w:pPr>
              <w:pStyle w:val="TableContents"/>
              <w:spacing w:before="0" w:after="283"/>
              <w:ind w:left="0" w:right="0" w:hanging="0"/>
              <w:rPr/>
            </w:pPr>
            <w:r>
              <w:rPr/>
              <w:t> </w:t>
            </w:r>
          </w:p>
        </w:tc>
        <w:tc>
          <w:tcPr>
            <w:tcW w:w="1004"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2,588</w:t>
            </w:r>
          </w:p>
        </w:tc>
        <w:tc>
          <w:tcPr>
            <w:tcW w:w="123" w:type="dxa"/>
            <w:tcBorders/>
            <w:shd w:fill="CCEEFF" w:val="clear"/>
            <w:vAlign w:val="center"/>
          </w:tcPr>
          <w:p>
            <w:pPr>
              <w:pStyle w:val="TableContents"/>
              <w:spacing w:before="0" w:after="283"/>
              <w:rPr/>
            </w:pPr>
            <w:r>
              <w:rPr/>
              <w:t> </w:t>
            </w:r>
          </w:p>
        </w:tc>
        <w:tc>
          <w:tcPr>
            <w:tcW w:w="91" w:type="dxa"/>
            <w:tcBorders/>
            <w:shd w:fill="CCEEFF" w:val="clear"/>
            <w:vAlign w:val="center"/>
          </w:tcPr>
          <w:p>
            <w:pPr>
              <w:pStyle w:val="TableContents"/>
              <w:spacing w:before="0" w:after="283"/>
              <w:rPr/>
            </w:pPr>
            <w:r>
              <w:rPr/>
              <w:t> </w:t>
            </w:r>
          </w:p>
        </w:tc>
        <w:tc>
          <w:tcPr>
            <w:tcW w:w="192" w:type="dxa"/>
            <w:tcBorders/>
            <w:shd w:fill="CCEEFF" w:val="clear"/>
            <w:vAlign w:val="center"/>
          </w:tcPr>
          <w:p>
            <w:pPr>
              <w:pStyle w:val="TableContents"/>
              <w:spacing w:before="0" w:after="283"/>
              <w:ind w:left="0" w:right="0" w:hanging="0"/>
              <w:rPr/>
            </w:pPr>
            <w:r>
              <w:rPr/>
              <w:t> </w:t>
            </w:r>
          </w:p>
        </w:tc>
        <w:tc>
          <w:tcPr>
            <w:tcW w:w="1004"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2,037</w:t>
            </w:r>
          </w:p>
        </w:tc>
        <w:tc>
          <w:tcPr>
            <w:tcW w:w="85" w:type="dxa"/>
            <w:tcBorders/>
            <w:shd w:fill="CCEEFF" w:val="clear"/>
            <w:vAlign w:val="center"/>
          </w:tcPr>
          <w:p>
            <w:pPr>
              <w:pStyle w:val="TableContents"/>
              <w:spacing w:before="0" w:after="283"/>
              <w:rPr/>
            </w:pPr>
            <w:r>
              <w:rPr/>
              <w:t> </w:t>
            </w:r>
          </w:p>
        </w:tc>
      </w:tr>
      <w:tr>
        <w:trPr/>
        <w:tc>
          <w:tcPr>
            <w:tcW w:w="7454"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Depreciation and amortization</w:t>
            </w:r>
          </w:p>
        </w:tc>
        <w:tc>
          <w:tcPr>
            <w:tcW w:w="60" w:type="dxa"/>
            <w:tcBorders/>
            <w:shd w:fill="FFFFFF" w:val="clear"/>
            <w:vAlign w:val="center"/>
          </w:tcPr>
          <w:p>
            <w:pPr>
              <w:pStyle w:val="TableContents"/>
              <w:spacing w:before="0" w:after="283"/>
              <w:rPr/>
            </w:pPr>
            <w:r>
              <w:rPr/>
              <w:t> </w:t>
            </w:r>
          </w:p>
        </w:tc>
        <w:tc>
          <w:tcPr>
            <w:tcW w:w="192" w:type="dxa"/>
            <w:tcBorders/>
            <w:shd w:fill="FFFFFF" w:val="clear"/>
            <w:vAlign w:val="center"/>
          </w:tcPr>
          <w:p>
            <w:pPr>
              <w:pStyle w:val="TableContents"/>
              <w:spacing w:before="0" w:after="283"/>
              <w:ind w:left="0" w:right="0" w:hanging="0"/>
              <w:rPr/>
            </w:pPr>
            <w:r>
              <w:rPr/>
              <w:t> </w:t>
            </w:r>
          </w:p>
        </w:tc>
        <w:tc>
          <w:tcPr>
            <w:tcW w:w="1004"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5,329</w:t>
            </w:r>
          </w:p>
        </w:tc>
        <w:tc>
          <w:tcPr>
            <w:tcW w:w="123" w:type="dxa"/>
            <w:tcBorders/>
            <w:shd w:fill="FFFFFF" w:val="clear"/>
            <w:vAlign w:val="center"/>
          </w:tcPr>
          <w:p>
            <w:pPr>
              <w:pStyle w:val="TableContents"/>
              <w:spacing w:before="0" w:after="283"/>
              <w:rPr/>
            </w:pPr>
            <w:r>
              <w:rPr/>
              <w:t> </w:t>
            </w:r>
          </w:p>
        </w:tc>
        <w:tc>
          <w:tcPr>
            <w:tcW w:w="91" w:type="dxa"/>
            <w:tcBorders/>
            <w:shd w:fill="FFFFFF" w:val="clear"/>
            <w:vAlign w:val="center"/>
          </w:tcPr>
          <w:p>
            <w:pPr>
              <w:pStyle w:val="TableContents"/>
              <w:spacing w:before="0" w:after="283"/>
              <w:rPr/>
            </w:pPr>
            <w:r>
              <w:rPr/>
              <w:t> </w:t>
            </w:r>
          </w:p>
        </w:tc>
        <w:tc>
          <w:tcPr>
            <w:tcW w:w="192" w:type="dxa"/>
            <w:tcBorders/>
            <w:shd w:fill="FFFFFF" w:val="clear"/>
            <w:vAlign w:val="center"/>
          </w:tcPr>
          <w:p>
            <w:pPr>
              <w:pStyle w:val="TableContents"/>
              <w:spacing w:before="0" w:after="283"/>
              <w:ind w:left="0" w:right="0" w:hanging="0"/>
              <w:rPr/>
            </w:pPr>
            <w:r>
              <w:rPr/>
              <w:t> </w:t>
            </w:r>
          </w:p>
        </w:tc>
        <w:tc>
          <w:tcPr>
            <w:tcW w:w="1004"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6,108</w:t>
            </w:r>
          </w:p>
        </w:tc>
        <w:tc>
          <w:tcPr>
            <w:tcW w:w="85" w:type="dxa"/>
            <w:tcBorders/>
            <w:shd w:fill="FFFFFF" w:val="clear"/>
            <w:vAlign w:val="center"/>
          </w:tcPr>
          <w:p>
            <w:pPr>
              <w:pStyle w:val="TableContents"/>
              <w:spacing w:before="0" w:after="283"/>
              <w:rPr/>
            </w:pPr>
            <w:r>
              <w:rPr/>
              <w:t> </w:t>
            </w:r>
          </w:p>
        </w:tc>
      </w:tr>
      <w:tr>
        <w:trPr/>
        <w:tc>
          <w:tcPr>
            <w:tcW w:w="7454"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Amortization of debt issuance costs</w:t>
            </w:r>
          </w:p>
        </w:tc>
        <w:tc>
          <w:tcPr>
            <w:tcW w:w="60" w:type="dxa"/>
            <w:tcBorders/>
            <w:shd w:fill="CCEEFF" w:val="clear"/>
            <w:vAlign w:val="center"/>
          </w:tcPr>
          <w:p>
            <w:pPr>
              <w:pStyle w:val="TableContents"/>
              <w:spacing w:before="0" w:after="283"/>
              <w:rPr/>
            </w:pPr>
            <w:r>
              <w:rPr/>
              <w:t> </w:t>
            </w:r>
          </w:p>
        </w:tc>
        <w:tc>
          <w:tcPr>
            <w:tcW w:w="192" w:type="dxa"/>
            <w:tcBorders/>
            <w:shd w:fill="CCEEFF" w:val="clear"/>
            <w:vAlign w:val="center"/>
          </w:tcPr>
          <w:p>
            <w:pPr>
              <w:pStyle w:val="TableContents"/>
              <w:spacing w:before="0" w:after="283"/>
              <w:ind w:left="0" w:right="0" w:hanging="0"/>
              <w:rPr/>
            </w:pPr>
            <w:r>
              <w:rPr/>
              <w:t> </w:t>
            </w:r>
          </w:p>
        </w:tc>
        <w:tc>
          <w:tcPr>
            <w:tcW w:w="1004"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306</w:t>
            </w:r>
          </w:p>
        </w:tc>
        <w:tc>
          <w:tcPr>
            <w:tcW w:w="123" w:type="dxa"/>
            <w:tcBorders/>
            <w:shd w:fill="CCEEFF" w:val="clear"/>
            <w:vAlign w:val="center"/>
          </w:tcPr>
          <w:p>
            <w:pPr>
              <w:pStyle w:val="TableContents"/>
              <w:spacing w:before="0" w:after="283"/>
              <w:rPr/>
            </w:pPr>
            <w:r>
              <w:rPr/>
              <w:t> </w:t>
            </w:r>
          </w:p>
        </w:tc>
        <w:tc>
          <w:tcPr>
            <w:tcW w:w="91" w:type="dxa"/>
            <w:tcBorders/>
            <w:shd w:fill="CCEEFF" w:val="clear"/>
            <w:vAlign w:val="center"/>
          </w:tcPr>
          <w:p>
            <w:pPr>
              <w:pStyle w:val="TableContents"/>
              <w:spacing w:before="0" w:after="283"/>
              <w:rPr/>
            </w:pPr>
            <w:r>
              <w:rPr/>
              <w:t> </w:t>
            </w:r>
          </w:p>
        </w:tc>
        <w:tc>
          <w:tcPr>
            <w:tcW w:w="192" w:type="dxa"/>
            <w:tcBorders/>
            <w:shd w:fill="CCEEFF" w:val="clear"/>
            <w:vAlign w:val="center"/>
          </w:tcPr>
          <w:p>
            <w:pPr>
              <w:pStyle w:val="TableContents"/>
              <w:spacing w:before="0" w:after="283"/>
              <w:ind w:left="0" w:right="0" w:hanging="0"/>
              <w:rPr/>
            </w:pPr>
            <w:r>
              <w:rPr/>
              <w:t> </w:t>
            </w:r>
          </w:p>
        </w:tc>
        <w:tc>
          <w:tcPr>
            <w:tcW w:w="1004"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211</w:t>
            </w:r>
          </w:p>
        </w:tc>
        <w:tc>
          <w:tcPr>
            <w:tcW w:w="85" w:type="dxa"/>
            <w:tcBorders/>
            <w:shd w:fill="CCEEFF" w:val="clear"/>
            <w:vAlign w:val="center"/>
          </w:tcPr>
          <w:p>
            <w:pPr>
              <w:pStyle w:val="TableContents"/>
              <w:spacing w:before="0" w:after="283"/>
              <w:rPr/>
            </w:pPr>
            <w:r>
              <w:rPr/>
              <w:t> </w:t>
            </w:r>
          </w:p>
        </w:tc>
      </w:tr>
      <w:tr>
        <w:trPr/>
        <w:tc>
          <w:tcPr>
            <w:tcW w:w="7454"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Gain (loss) on disposal of assets</w:t>
            </w:r>
          </w:p>
        </w:tc>
        <w:tc>
          <w:tcPr>
            <w:tcW w:w="60" w:type="dxa"/>
            <w:tcBorders/>
            <w:shd w:fill="FFFFFF" w:val="clear"/>
            <w:vAlign w:val="center"/>
          </w:tcPr>
          <w:p>
            <w:pPr>
              <w:pStyle w:val="TableContents"/>
              <w:spacing w:before="0" w:after="283"/>
              <w:rPr/>
            </w:pPr>
            <w:r>
              <w:rPr/>
              <w:t> </w:t>
            </w:r>
          </w:p>
        </w:tc>
        <w:tc>
          <w:tcPr>
            <w:tcW w:w="192" w:type="dxa"/>
            <w:tcBorders/>
            <w:shd w:fill="FFFFFF" w:val="clear"/>
            <w:vAlign w:val="center"/>
          </w:tcPr>
          <w:p>
            <w:pPr>
              <w:pStyle w:val="TableContents"/>
              <w:spacing w:before="0" w:after="283"/>
              <w:ind w:left="0" w:right="0" w:hanging="0"/>
              <w:rPr/>
            </w:pPr>
            <w:r>
              <w:rPr/>
              <w:t> </w:t>
            </w:r>
          </w:p>
        </w:tc>
        <w:tc>
          <w:tcPr>
            <w:tcW w:w="1004"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w:t>
            </w:r>
          </w:p>
        </w:tc>
        <w:tc>
          <w:tcPr>
            <w:tcW w:w="123" w:type="dxa"/>
            <w:tcBorders/>
            <w:shd w:fill="FFFFFF" w:val="clear"/>
            <w:vAlign w:val="center"/>
          </w:tcPr>
          <w:p>
            <w:pPr>
              <w:pStyle w:val="TableContents"/>
              <w:spacing w:before="0" w:after="283"/>
              <w:rPr/>
            </w:pPr>
            <w:r>
              <w:rPr/>
              <w:t> </w:t>
            </w:r>
          </w:p>
        </w:tc>
        <w:tc>
          <w:tcPr>
            <w:tcW w:w="91" w:type="dxa"/>
            <w:tcBorders/>
            <w:shd w:fill="FFFFFF" w:val="clear"/>
            <w:vAlign w:val="center"/>
          </w:tcPr>
          <w:p>
            <w:pPr>
              <w:pStyle w:val="TableContents"/>
              <w:spacing w:before="0" w:after="283"/>
              <w:rPr/>
            </w:pPr>
            <w:r>
              <w:rPr/>
              <w:t> </w:t>
            </w:r>
          </w:p>
        </w:tc>
        <w:tc>
          <w:tcPr>
            <w:tcW w:w="192" w:type="dxa"/>
            <w:tcBorders/>
            <w:shd w:fill="FFFFFF" w:val="clear"/>
            <w:vAlign w:val="center"/>
          </w:tcPr>
          <w:p>
            <w:pPr>
              <w:pStyle w:val="TableContents"/>
              <w:spacing w:before="0" w:after="283"/>
              <w:ind w:left="0" w:right="0" w:hanging="0"/>
              <w:rPr/>
            </w:pPr>
            <w:r>
              <w:rPr/>
              <w:t> </w:t>
            </w:r>
          </w:p>
        </w:tc>
        <w:tc>
          <w:tcPr>
            <w:tcW w:w="1004"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(39</w:t>
            </w:r>
          </w:p>
        </w:tc>
        <w:tc>
          <w:tcPr>
            <w:tcW w:w="8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7454"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Share-based compensation</w:t>
            </w:r>
          </w:p>
        </w:tc>
        <w:tc>
          <w:tcPr>
            <w:tcW w:w="60" w:type="dxa"/>
            <w:tcBorders/>
            <w:shd w:fill="CCEEFF" w:val="clear"/>
            <w:vAlign w:val="center"/>
          </w:tcPr>
          <w:p>
            <w:pPr>
              <w:pStyle w:val="TableContents"/>
              <w:spacing w:before="0" w:after="283"/>
              <w:rPr/>
            </w:pPr>
            <w:r>
              <w:rPr/>
              <w:t> </w:t>
            </w:r>
          </w:p>
        </w:tc>
        <w:tc>
          <w:tcPr>
            <w:tcW w:w="192" w:type="dxa"/>
            <w:tcBorders/>
            <w:shd w:fill="CCEEFF" w:val="clear"/>
            <w:vAlign w:val="center"/>
          </w:tcPr>
          <w:p>
            <w:pPr>
              <w:pStyle w:val="TableContents"/>
              <w:spacing w:before="0" w:after="283"/>
              <w:ind w:left="0" w:right="0" w:hanging="0"/>
              <w:rPr/>
            </w:pPr>
            <w:r>
              <w:rPr/>
              <w:t> </w:t>
            </w:r>
          </w:p>
        </w:tc>
        <w:tc>
          <w:tcPr>
            <w:tcW w:w="1004"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2,290</w:t>
            </w:r>
          </w:p>
        </w:tc>
        <w:tc>
          <w:tcPr>
            <w:tcW w:w="123" w:type="dxa"/>
            <w:tcBorders/>
            <w:shd w:fill="CCEEFF" w:val="clear"/>
            <w:vAlign w:val="center"/>
          </w:tcPr>
          <w:p>
            <w:pPr>
              <w:pStyle w:val="TableContents"/>
              <w:spacing w:before="0" w:after="283"/>
              <w:rPr/>
            </w:pPr>
            <w:r>
              <w:rPr/>
              <w:t> </w:t>
            </w:r>
          </w:p>
        </w:tc>
        <w:tc>
          <w:tcPr>
            <w:tcW w:w="91" w:type="dxa"/>
            <w:tcBorders/>
            <w:shd w:fill="CCEEFF" w:val="clear"/>
            <w:vAlign w:val="center"/>
          </w:tcPr>
          <w:p>
            <w:pPr>
              <w:pStyle w:val="TableContents"/>
              <w:spacing w:before="0" w:after="283"/>
              <w:rPr/>
            </w:pPr>
            <w:r>
              <w:rPr/>
              <w:t> </w:t>
            </w:r>
          </w:p>
        </w:tc>
        <w:tc>
          <w:tcPr>
            <w:tcW w:w="192" w:type="dxa"/>
            <w:tcBorders/>
            <w:shd w:fill="CCEEFF" w:val="clear"/>
            <w:vAlign w:val="center"/>
          </w:tcPr>
          <w:p>
            <w:pPr>
              <w:pStyle w:val="TableContents"/>
              <w:spacing w:before="0" w:after="283"/>
              <w:ind w:left="0" w:right="0" w:hanging="0"/>
              <w:rPr/>
            </w:pPr>
            <w:r>
              <w:rPr/>
              <w:t> </w:t>
            </w:r>
          </w:p>
        </w:tc>
        <w:tc>
          <w:tcPr>
            <w:tcW w:w="1004"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2,472</w:t>
            </w:r>
          </w:p>
        </w:tc>
        <w:tc>
          <w:tcPr>
            <w:tcW w:w="85" w:type="dxa"/>
            <w:tcBorders/>
            <w:shd w:fill="CCEEFF" w:val="clear"/>
            <w:vAlign w:val="center"/>
          </w:tcPr>
          <w:p>
            <w:pPr>
              <w:pStyle w:val="TableContents"/>
              <w:spacing w:before="0" w:after="283"/>
              <w:rPr/>
            </w:pPr>
            <w:r>
              <w:rPr/>
              <w:t> </w:t>
            </w:r>
          </w:p>
        </w:tc>
      </w:tr>
      <w:tr>
        <w:trPr/>
        <w:tc>
          <w:tcPr>
            <w:tcW w:w="7454"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Unrealized foreign exchange (gain) loss</w:t>
            </w:r>
          </w:p>
        </w:tc>
        <w:tc>
          <w:tcPr>
            <w:tcW w:w="60" w:type="dxa"/>
            <w:tcBorders/>
            <w:shd w:fill="FFFFFF" w:val="clear"/>
            <w:vAlign w:val="center"/>
          </w:tcPr>
          <w:p>
            <w:pPr>
              <w:pStyle w:val="TableContents"/>
              <w:spacing w:before="0" w:after="283"/>
              <w:rPr/>
            </w:pPr>
            <w:r>
              <w:rPr/>
              <w:t> </w:t>
            </w:r>
          </w:p>
        </w:tc>
        <w:tc>
          <w:tcPr>
            <w:tcW w:w="192" w:type="dxa"/>
            <w:tcBorders/>
            <w:shd w:fill="FFFFFF" w:val="clear"/>
            <w:vAlign w:val="center"/>
          </w:tcPr>
          <w:p>
            <w:pPr>
              <w:pStyle w:val="TableContents"/>
              <w:spacing w:before="0" w:after="283"/>
              <w:ind w:left="0" w:right="0" w:hanging="0"/>
              <w:rPr/>
            </w:pPr>
            <w:r>
              <w:rPr/>
              <w:t> </w:t>
            </w:r>
          </w:p>
        </w:tc>
        <w:tc>
          <w:tcPr>
            <w:tcW w:w="1004"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(1,065</w:t>
            </w:r>
          </w:p>
        </w:tc>
        <w:tc>
          <w:tcPr>
            <w:tcW w:w="123"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91" w:type="dxa"/>
            <w:tcBorders/>
            <w:shd w:fill="FFFFFF" w:val="clear"/>
            <w:vAlign w:val="center"/>
          </w:tcPr>
          <w:p>
            <w:pPr>
              <w:pStyle w:val="TableContents"/>
              <w:spacing w:before="0" w:after="283"/>
              <w:rPr/>
            </w:pPr>
            <w:r>
              <w:rPr/>
              <w:t> </w:t>
            </w:r>
          </w:p>
        </w:tc>
        <w:tc>
          <w:tcPr>
            <w:tcW w:w="192" w:type="dxa"/>
            <w:tcBorders/>
            <w:shd w:fill="FFFFFF" w:val="clear"/>
            <w:vAlign w:val="center"/>
          </w:tcPr>
          <w:p>
            <w:pPr>
              <w:pStyle w:val="TableContents"/>
              <w:spacing w:before="0" w:after="283"/>
              <w:ind w:left="0" w:right="0" w:hanging="0"/>
              <w:rPr/>
            </w:pPr>
            <w:r>
              <w:rPr/>
              <w:t> </w:t>
            </w:r>
          </w:p>
        </w:tc>
        <w:tc>
          <w:tcPr>
            <w:tcW w:w="1004"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997</w:t>
            </w:r>
          </w:p>
        </w:tc>
        <w:tc>
          <w:tcPr>
            <w:tcW w:w="85" w:type="dxa"/>
            <w:tcBorders/>
            <w:shd w:fill="FFFFFF" w:val="clear"/>
            <w:vAlign w:val="center"/>
          </w:tcPr>
          <w:p>
            <w:pPr>
              <w:pStyle w:val="TableContents"/>
              <w:spacing w:before="0" w:after="283"/>
              <w:rPr/>
            </w:pPr>
            <w:r>
              <w:rPr/>
              <w:t> </w:t>
            </w:r>
          </w:p>
        </w:tc>
      </w:tr>
      <w:tr>
        <w:trPr/>
        <w:tc>
          <w:tcPr>
            <w:tcW w:w="7454"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Changes in operating assets and liabilities:</w:t>
            </w:r>
          </w:p>
        </w:tc>
        <w:tc>
          <w:tcPr>
            <w:tcW w:w="60" w:type="dxa"/>
            <w:tcBorders/>
            <w:shd w:fill="CCEEFF" w:val="clear"/>
            <w:vAlign w:val="center"/>
          </w:tcPr>
          <w:p>
            <w:pPr>
              <w:pStyle w:val="TableContents"/>
              <w:spacing w:before="0" w:after="283"/>
              <w:rPr/>
            </w:pPr>
            <w:r>
              <w:rPr/>
              <w:t> </w:t>
            </w:r>
          </w:p>
        </w:tc>
        <w:tc>
          <w:tcPr>
            <w:tcW w:w="192" w:type="dxa"/>
            <w:tcBorders/>
            <w:shd w:fill="CCEEFF" w:val="clear"/>
            <w:vAlign w:val="center"/>
          </w:tcPr>
          <w:p>
            <w:pPr>
              <w:pStyle w:val="TableContents"/>
              <w:spacing w:before="0" w:after="283"/>
              <w:rPr/>
            </w:pPr>
            <w:r>
              <w:rPr/>
              <w:t> </w:t>
            </w:r>
          </w:p>
        </w:tc>
        <w:tc>
          <w:tcPr>
            <w:tcW w:w="1004" w:type="dxa"/>
            <w:tcBorders/>
            <w:shd w:fill="CCEEFF" w:val="clear"/>
            <w:vAlign w:val="center"/>
          </w:tcPr>
          <w:p>
            <w:pPr>
              <w:pStyle w:val="TableContents"/>
              <w:spacing w:before="0" w:after="283"/>
              <w:rPr/>
            </w:pPr>
            <w:r>
              <w:rPr/>
              <w:t> </w:t>
            </w:r>
          </w:p>
        </w:tc>
        <w:tc>
          <w:tcPr>
            <w:tcW w:w="123" w:type="dxa"/>
            <w:tcBorders/>
            <w:shd w:fill="CCEEFF" w:val="clear"/>
            <w:vAlign w:val="center"/>
          </w:tcPr>
          <w:p>
            <w:pPr>
              <w:pStyle w:val="TableContents"/>
              <w:spacing w:before="0" w:after="283"/>
              <w:rPr/>
            </w:pPr>
            <w:r>
              <w:rPr/>
              <w:t> </w:t>
            </w:r>
          </w:p>
        </w:tc>
        <w:tc>
          <w:tcPr>
            <w:tcW w:w="91" w:type="dxa"/>
            <w:tcBorders/>
            <w:shd w:fill="CCEEFF" w:val="clear"/>
            <w:vAlign w:val="center"/>
          </w:tcPr>
          <w:p>
            <w:pPr>
              <w:pStyle w:val="TableContents"/>
              <w:spacing w:before="0" w:after="283"/>
              <w:rPr/>
            </w:pPr>
            <w:r>
              <w:rPr/>
              <w:t> </w:t>
            </w:r>
          </w:p>
        </w:tc>
        <w:tc>
          <w:tcPr>
            <w:tcW w:w="192" w:type="dxa"/>
            <w:tcBorders/>
            <w:shd w:fill="CCEEFF" w:val="clear"/>
            <w:vAlign w:val="center"/>
          </w:tcPr>
          <w:p>
            <w:pPr>
              <w:pStyle w:val="TableContents"/>
              <w:spacing w:before="0" w:after="283"/>
              <w:rPr/>
            </w:pPr>
            <w:r>
              <w:rPr/>
              <w:t> </w:t>
            </w:r>
          </w:p>
        </w:tc>
        <w:tc>
          <w:tcPr>
            <w:tcW w:w="1004" w:type="dxa"/>
            <w:tcBorders/>
            <w:shd w:fill="CCEEFF" w:val="clear"/>
            <w:vAlign w:val="center"/>
          </w:tcPr>
          <w:p>
            <w:pPr>
              <w:pStyle w:val="TableContents"/>
              <w:spacing w:before="0" w:after="283"/>
              <w:rPr/>
            </w:pPr>
            <w:r>
              <w:rPr/>
              <w:t> </w:t>
            </w:r>
          </w:p>
        </w:tc>
        <w:tc>
          <w:tcPr>
            <w:tcW w:w="85" w:type="dxa"/>
            <w:tcBorders/>
            <w:shd w:fill="CCEEFF" w:val="clear"/>
            <w:vAlign w:val="center"/>
          </w:tcPr>
          <w:p>
            <w:pPr>
              <w:pStyle w:val="TableContents"/>
              <w:spacing w:before="0" w:after="283"/>
              <w:rPr/>
            </w:pPr>
            <w:r>
              <w:rPr/>
              <w:t> </w:t>
            </w:r>
          </w:p>
        </w:tc>
      </w:tr>
      <w:tr>
        <w:trPr/>
        <w:tc>
          <w:tcPr>
            <w:tcW w:w="7454"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Accounts receivable, trade</w:t>
            </w:r>
          </w:p>
        </w:tc>
        <w:tc>
          <w:tcPr>
            <w:tcW w:w="60" w:type="dxa"/>
            <w:tcBorders/>
            <w:shd w:fill="FFFFFF" w:val="clear"/>
            <w:vAlign w:val="center"/>
          </w:tcPr>
          <w:p>
            <w:pPr>
              <w:pStyle w:val="TableContents"/>
              <w:spacing w:before="0" w:after="283"/>
              <w:rPr/>
            </w:pPr>
            <w:r>
              <w:rPr/>
              <w:t> </w:t>
            </w:r>
          </w:p>
        </w:tc>
        <w:tc>
          <w:tcPr>
            <w:tcW w:w="192" w:type="dxa"/>
            <w:tcBorders/>
            <w:shd w:fill="FFFFFF" w:val="clear"/>
            <w:vAlign w:val="center"/>
          </w:tcPr>
          <w:p>
            <w:pPr>
              <w:pStyle w:val="TableContents"/>
              <w:spacing w:before="0" w:after="283"/>
              <w:ind w:left="0" w:right="0" w:hanging="0"/>
              <w:rPr/>
            </w:pPr>
            <w:r>
              <w:rPr/>
              <w:t> </w:t>
            </w:r>
          </w:p>
        </w:tc>
        <w:tc>
          <w:tcPr>
            <w:tcW w:w="1004"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4,365</w:t>
            </w:r>
          </w:p>
        </w:tc>
        <w:tc>
          <w:tcPr>
            <w:tcW w:w="123" w:type="dxa"/>
            <w:tcBorders/>
            <w:shd w:fill="FFFFFF" w:val="clear"/>
            <w:vAlign w:val="center"/>
          </w:tcPr>
          <w:p>
            <w:pPr>
              <w:pStyle w:val="TableContents"/>
              <w:spacing w:before="0" w:after="283"/>
              <w:rPr/>
            </w:pPr>
            <w:r>
              <w:rPr/>
              <w:t> </w:t>
            </w:r>
          </w:p>
        </w:tc>
        <w:tc>
          <w:tcPr>
            <w:tcW w:w="91" w:type="dxa"/>
            <w:tcBorders/>
            <w:shd w:fill="FFFFFF" w:val="clear"/>
            <w:vAlign w:val="center"/>
          </w:tcPr>
          <w:p>
            <w:pPr>
              <w:pStyle w:val="TableContents"/>
              <w:spacing w:before="0" w:after="283"/>
              <w:rPr/>
            </w:pPr>
            <w:r>
              <w:rPr/>
              <w:t> </w:t>
            </w:r>
          </w:p>
        </w:tc>
        <w:tc>
          <w:tcPr>
            <w:tcW w:w="192" w:type="dxa"/>
            <w:tcBorders/>
            <w:shd w:fill="FFFFFF" w:val="clear"/>
            <w:vAlign w:val="center"/>
          </w:tcPr>
          <w:p>
            <w:pPr>
              <w:pStyle w:val="TableContents"/>
              <w:spacing w:before="0" w:after="283"/>
              <w:ind w:left="0" w:right="0" w:hanging="0"/>
              <w:rPr/>
            </w:pPr>
            <w:r>
              <w:rPr/>
              <w:t> </w:t>
            </w:r>
          </w:p>
        </w:tc>
        <w:tc>
          <w:tcPr>
            <w:tcW w:w="1004"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(223</w:t>
            </w:r>
          </w:p>
        </w:tc>
        <w:tc>
          <w:tcPr>
            <w:tcW w:w="8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7454"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Notes receivable</w:t>
            </w:r>
          </w:p>
        </w:tc>
        <w:tc>
          <w:tcPr>
            <w:tcW w:w="60" w:type="dxa"/>
            <w:tcBorders/>
            <w:shd w:fill="CCEEFF" w:val="clear"/>
            <w:vAlign w:val="center"/>
          </w:tcPr>
          <w:p>
            <w:pPr>
              <w:pStyle w:val="TableContents"/>
              <w:spacing w:before="0" w:after="283"/>
              <w:rPr/>
            </w:pPr>
            <w:r>
              <w:rPr/>
              <w:t> </w:t>
            </w:r>
          </w:p>
        </w:tc>
        <w:tc>
          <w:tcPr>
            <w:tcW w:w="192" w:type="dxa"/>
            <w:tcBorders/>
            <w:shd w:fill="CCEEFF" w:val="clear"/>
            <w:vAlign w:val="center"/>
          </w:tcPr>
          <w:p>
            <w:pPr>
              <w:pStyle w:val="TableContents"/>
              <w:spacing w:before="0" w:after="283"/>
              <w:ind w:left="0" w:right="0" w:hanging="0"/>
              <w:rPr/>
            </w:pPr>
            <w:r>
              <w:rPr/>
              <w:t> </w:t>
            </w:r>
          </w:p>
        </w:tc>
        <w:tc>
          <w:tcPr>
            <w:tcW w:w="1004"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(742</w:t>
            </w:r>
          </w:p>
        </w:tc>
        <w:tc>
          <w:tcPr>
            <w:tcW w:w="123"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91" w:type="dxa"/>
            <w:tcBorders/>
            <w:shd w:fill="CCEEFF" w:val="clear"/>
            <w:vAlign w:val="center"/>
          </w:tcPr>
          <w:p>
            <w:pPr>
              <w:pStyle w:val="TableContents"/>
              <w:spacing w:before="0" w:after="283"/>
              <w:rPr/>
            </w:pPr>
            <w:r>
              <w:rPr/>
              <w:t> </w:t>
            </w:r>
          </w:p>
        </w:tc>
        <w:tc>
          <w:tcPr>
            <w:tcW w:w="192" w:type="dxa"/>
            <w:tcBorders/>
            <w:shd w:fill="CCEEFF" w:val="clear"/>
            <w:vAlign w:val="center"/>
          </w:tcPr>
          <w:p>
            <w:pPr>
              <w:pStyle w:val="TableContents"/>
              <w:spacing w:before="0" w:after="283"/>
              <w:ind w:left="0" w:right="0" w:hanging="0"/>
              <w:rPr/>
            </w:pPr>
            <w:r>
              <w:rPr/>
              <w:t> </w:t>
            </w:r>
          </w:p>
        </w:tc>
        <w:tc>
          <w:tcPr>
            <w:tcW w:w="1004"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6,986</w:t>
            </w:r>
          </w:p>
        </w:tc>
        <w:tc>
          <w:tcPr>
            <w:tcW w:w="85" w:type="dxa"/>
            <w:tcBorders/>
            <w:shd w:fill="CCEEFF" w:val="clear"/>
            <w:vAlign w:val="center"/>
          </w:tcPr>
          <w:p>
            <w:pPr>
              <w:pStyle w:val="TableContents"/>
              <w:spacing w:before="0" w:after="283"/>
              <w:rPr/>
            </w:pPr>
            <w:r>
              <w:rPr/>
              <w:t> </w:t>
            </w:r>
          </w:p>
        </w:tc>
      </w:tr>
      <w:tr>
        <w:trPr/>
        <w:tc>
          <w:tcPr>
            <w:tcW w:w="7454"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Prepaid income tax</w:t>
            </w:r>
          </w:p>
        </w:tc>
        <w:tc>
          <w:tcPr>
            <w:tcW w:w="60" w:type="dxa"/>
            <w:tcBorders/>
            <w:shd w:fill="FFFFFF" w:val="clear"/>
            <w:vAlign w:val="center"/>
          </w:tcPr>
          <w:p>
            <w:pPr>
              <w:pStyle w:val="TableContents"/>
              <w:spacing w:before="0" w:after="283"/>
              <w:rPr/>
            </w:pPr>
            <w:r>
              <w:rPr/>
              <w:t> </w:t>
            </w:r>
          </w:p>
        </w:tc>
        <w:tc>
          <w:tcPr>
            <w:tcW w:w="192" w:type="dxa"/>
            <w:tcBorders/>
            <w:shd w:fill="FFFFFF" w:val="clear"/>
            <w:vAlign w:val="center"/>
          </w:tcPr>
          <w:p>
            <w:pPr>
              <w:pStyle w:val="TableContents"/>
              <w:spacing w:before="0" w:after="283"/>
              <w:ind w:left="0" w:right="0" w:hanging="0"/>
              <w:rPr/>
            </w:pPr>
            <w:r>
              <w:rPr/>
              <w:t> </w:t>
            </w:r>
          </w:p>
        </w:tc>
        <w:tc>
          <w:tcPr>
            <w:tcW w:w="1004" w:type="dxa"/>
            <w:tcBorders/>
            <w:shd w:fill="FFFFFF" w:val="clear"/>
            <w:vAlign w:val="center"/>
          </w:tcPr>
          <w:p>
            <w:pPr>
              <w:pStyle w:val="TableContents"/>
              <w:spacing w:before="0" w:after="283"/>
              <w:ind w:left="0" w:right="0" w:hanging="0"/>
              <w:jc w:val="right"/>
              <w:rPr/>
            </w:pPr>
            <w:r>
              <w:rPr/>
              <w:t>—</w:t>
            </w:r>
          </w:p>
        </w:tc>
        <w:tc>
          <w:tcPr>
            <w:tcW w:w="123" w:type="dxa"/>
            <w:tcBorders/>
            <w:shd w:fill="FFFFFF" w:val="clear"/>
            <w:vAlign w:val="center"/>
          </w:tcPr>
          <w:p>
            <w:pPr>
              <w:pStyle w:val="TableContents"/>
              <w:spacing w:before="0" w:after="283"/>
              <w:rPr/>
            </w:pPr>
            <w:r>
              <w:rPr/>
              <w:t> </w:t>
            </w:r>
          </w:p>
        </w:tc>
        <w:tc>
          <w:tcPr>
            <w:tcW w:w="91" w:type="dxa"/>
            <w:tcBorders/>
            <w:shd w:fill="FFFFFF" w:val="clear"/>
            <w:vAlign w:val="center"/>
          </w:tcPr>
          <w:p>
            <w:pPr>
              <w:pStyle w:val="TableContents"/>
              <w:spacing w:before="0" w:after="283"/>
              <w:rPr/>
            </w:pPr>
            <w:r>
              <w:rPr/>
              <w:t> </w:t>
            </w:r>
          </w:p>
        </w:tc>
        <w:tc>
          <w:tcPr>
            <w:tcW w:w="192" w:type="dxa"/>
            <w:tcBorders/>
            <w:shd w:fill="FFFFFF" w:val="clear"/>
            <w:vAlign w:val="center"/>
          </w:tcPr>
          <w:p>
            <w:pPr>
              <w:pStyle w:val="TableContents"/>
              <w:spacing w:before="0" w:after="283"/>
              <w:ind w:left="0" w:right="0" w:hanging="0"/>
              <w:rPr/>
            </w:pPr>
            <w:r>
              <w:rPr/>
              <w:t> </w:t>
            </w:r>
          </w:p>
        </w:tc>
        <w:tc>
          <w:tcPr>
            <w:tcW w:w="1004"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w:t>
            </w:r>
          </w:p>
        </w:tc>
        <w:tc>
          <w:tcPr>
            <w:tcW w:w="85" w:type="dxa"/>
            <w:tcBorders/>
            <w:shd w:fill="FFFFFF" w:val="clear"/>
            <w:vAlign w:val="center"/>
          </w:tcPr>
          <w:p>
            <w:pPr>
              <w:pStyle w:val="TableContents"/>
              <w:spacing w:before="0" w:after="283"/>
              <w:rPr/>
            </w:pPr>
            <w:r>
              <w:rPr/>
              <w:t> </w:t>
            </w:r>
          </w:p>
        </w:tc>
      </w:tr>
      <w:tr>
        <w:trPr/>
        <w:tc>
          <w:tcPr>
            <w:tcW w:w="7454"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Inventories</w:t>
            </w:r>
          </w:p>
        </w:tc>
        <w:tc>
          <w:tcPr>
            <w:tcW w:w="60" w:type="dxa"/>
            <w:tcBorders/>
            <w:shd w:fill="CCEEFF" w:val="clear"/>
            <w:vAlign w:val="center"/>
          </w:tcPr>
          <w:p>
            <w:pPr>
              <w:pStyle w:val="TableContents"/>
              <w:spacing w:before="0" w:after="283"/>
              <w:rPr/>
            </w:pPr>
            <w:r>
              <w:rPr/>
              <w:t> </w:t>
            </w:r>
          </w:p>
        </w:tc>
        <w:tc>
          <w:tcPr>
            <w:tcW w:w="192" w:type="dxa"/>
            <w:tcBorders/>
            <w:shd w:fill="CCEEFF" w:val="clear"/>
            <w:vAlign w:val="center"/>
          </w:tcPr>
          <w:p>
            <w:pPr>
              <w:pStyle w:val="TableContents"/>
              <w:spacing w:before="0" w:after="283"/>
              <w:ind w:left="0" w:right="0" w:hanging="0"/>
              <w:rPr/>
            </w:pPr>
            <w:r>
              <w:rPr/>
              <w:t> </w:t>
            </w:r>
          </w:p>
        </w:tc>
        <w:tc>
          <w:tcPr>
            <w:tcW w:w="1004"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7,403</w:t>
            </w:r>
          </w:p>
        </w:tc>
        <w:tc>
          <w:tcPr>
            <w:tcW w:w="123" w:type="dxa"/>
            <w:tcBorders/>
            <w:shd w:fill="CCEEFF" w:val="clear"/>
            <w:vAlign w:val="center"/>
          </w:tcPr>
          <w:p>
            <w:pPr>
              <w:pStyle w:val="TableContents"/>
              <w:spacing w:before="0" w:after="283"/>
              <w:rPr/>
            </w:pPr>
            <w:r>
              <w:rPr/>
              <w:t> </w:t>
            </w:r>
          </w:p>
        </w:tc>
        <w:tc>
          <w:tcPr>
            <w:tcW w:w="91" w:type="dxa"/>
            <w:tcBorders/>
            <w:shd w:fill="CCEEFF" w:val="clear"/>
            <w:vAlign w:val="center"/>
          </w:tcPr>
          <w:p>
            <w:pPr>
              <w:pStyle w:val="TableContents"/>
              <w:spacing w:before="0" w:after="283"/>
              <w:rPr/>
            </w:pPr>
            <w:r>
              <w:rPr/>
              <w:t> </w:t>
            </w:r>
          </w:p>
        </w:tc>
        <w:tc>
          <w:tcPr>
            <w:tcW w:w="192" w:type="dxa"/>
            <w:tcBorders/>
            <w:shd w:fill="CCEEFF" w:val="clear"/>
            <w:vAlign w:val="center"/>
          </w:tcPr>
          <w:p>
            <w:pPr>
              <w:pStyle w:val="TableContents"/>
              <w:spacing w:before="0" w:after="283"/>
              <w:ind w:left="0" w:right="0" w:hanging="0"/>
              <w:rPr/>
            </w:pPr>
            <w:r>
              <w:rPr/>
              <w:t> </w:t>
            </w:r>
          </w:p>
        </w:tc>
        <w:tc>
          <w:tcPr>
            <w:tcW w:w="1004"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(1,978</w:t>
            </w:r>
          </w:p>
        </w:tc>
        <w:tc>
          <w:tcPr>
            <w:tcW w:w="8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7454"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Other current assets</w:t>
            </w:r>
          </w:p>
        </w:tc>
        <w:tc>
          <w:tcPr>
            <w:tcW w:w="60" w:type="dxa"/>
            <w:tcBorders/>
            <w:shd w:fill="FFFFFF" w:val="clear"/>
            <w:vAlign w:val="center"/>
          </w:tcPr>
          <w:p>
            <w:pPr>
              <w:pStyle w:val="TableContents"/>
              <w:spacing w:before="0" w:after="283"/>
              <w:rPr/>
            </w:pPr>
            <w:r>
              <w:rPr/>
              <w:t> </w:t>
            </w:r>
          </w:p>
        </w:tc>
        <w:tc>
          <w:tcPr>
            <w:tcW w:w="192" w:type="dxa"/>
            <w:tcBorders/>
            <w:shd w:fill="FFFFFF" w:val="clear"/>
            <w:vAlign w:val="center"/>
          </w:tcPr>
          <w:p>
            <w:pPr>
              <w:pStyle w:val="TableContents"/>
              <w:spacing w:before="0" w:after="283"/>
              <w:ind w:left="0" w:right="0" w:hanging="0"/>
              <w:rPr/>
            </w:pPr>
            <w:r>
              <w:rPr/>
              <w:t> </w:t>
            </w:r>
          </w:p>
        </w:tc>
        <w:tc>
          <w:tcPr>
            <w:tcW w:w="1004"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(80</w:t>
            </w:r>
          </w:p>
        </w:tc>
        <w:tc>
          <w:tcPr>
            <w:tcW w:w="123"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91" w:type="dxa"/>
            <w:tcBorders/>
            <w:shd w:fill="FFFFFF" w:val="clear"/>
            <w:vAlign w:val="center"/>
          </w:tcPr>
          <w:p>
            <w:pPr>
              <w:pStyle w:val="TableContents"/>
              <w:spacing w:before="0" w:after="283"/>
              <w:rPr/>
            </w:pPr>
            <w:r>
              <w:rPr/>
              <w:t> </w:t>
            </w:r>
          </w:p>
        </w:tc>
        <w:tc>
          <w:tcPr>
            <w:tcW w:w="192" w:type="dxa"/>
            <w:tcBorders/>
            <w:shd w:fill="FFFFFF" w:val="clear"/>
            <w:vAlign w:val="center"/>
          </w:tcPr>
          <w:p>
            <w:pPr>
              <w:pStyle w:val="TableContents"/>
              <w:spacing w:before="0" w:after="283"/>
              <w:ind w:left="0" w:right="0" w:hanging="0"/>
              <w:rPr/>
            </w:pPr>
            <w:r>
              <w:rPr/>
              <w:t> </w:t>
            </w:r>
          </w:p>
        </w:tc>
        <w:tc>
          <w:tcPr>
            <w:tcW w:w="1004"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(1,422</w:t>
            </w:r>
          </w:p>
        </w:tc>
        <w:tc>
          <w:tcPr>
            <w:tcW w:w="8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7454"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Operating right of use asset</w:t>
            </w:r>
          </w:p>
        </w:tc>
        <w:tc>
          <w:tcPr>
            <w:tcW w:w="60" w:type="dxa"/>
            <w:tcBorders/>
            <w:shd w:fill="CCEEFF" w:val="clear"/>
            <w:vAlign w:val="center"/>
          </w:tcPr>
          <w:p>
            <w:pPr>
              <w:pStyle w:val="TableContents"/>
              <w:spacing w:before="0" w:after="283"/>
              <w:rPr/>
            </w:pPr>
            <w:r>
              <w:rPr/>
              <w:t> </w:t>
            </w:r>
          </w:p>
        </w:tc>
        <w:tc>
          <w:tcPr>
            <w:tcW w:w="192" w:type="dxa"/>
            <w:tcBorders/>
            <w:shd w:fill="CCEEFF" w:val="clear"/>
            <w:vAlign w:val="center"/>
          </w:tcPr>
          <w:p>
            <w:pPr>
              <w:pStyle w:val="TableContents"/>
              <w:spacing w:before="0" w:after="283"/>
              <w:ind w:left="0" w:right="0" w:hanging="0"/>
              <w:rPr/>
            </w:pPr>
            <w:r>
              <w:rPr/>
              <w:t> </w:t>
            </w:r>
          </w:p>
        </w:tc>
        <w:tc>
          <w:tcPr>
            <w:tcW w:w="1004"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230</w:t>
            </w:r>
          </w:p>
        </w:tc>
        <w:tc>
          <w:tcPr>
            <w:tcW w:w="123" w:type="dxa"/>
            <w:tcBorders/>
            <w:shd w:fill="CCEEFF" w:val="clear"/>
            <w:vAlign w:val="center"/>
          </w:tcPr>
          <w:p>
            <w:pPr>
              <w:pStyle w:val="TableContents"/>
              <w:spacing w:before="0" w:after="283"/>
              <w:rPr/>
            </w:pPr>
            <w:r>
              <w:rPr/>
              <w:t> </w:t>
            </w:r>
          </w:p>
        </w:tc>
        <w:tc>
          <w:tcPr>
            <w:tcW w:w="91" w:type="dxa"/>
            <w:tcBorders/>
            <w:shd w:fill="CCEEFF" w:val="clear"/>
            <w:vAlign w:val="center"/>
          </w:tcPr>
          <w:p>
            <w:pPr>
              <w:pStyle w:val="TableContents"/>
              <w:spacing w:before="0" w:after="283"/>
              <w:rPr/>
            </w:pPr>
            <w:r>
              <w:rPr/>
              <w:t> </w:t>
            </w:r>
          </w:p>
        </w:tc>
        <w:tc>
          <w:tcPr>
            <w:tcW w:w="192" w:type="dxa"/>
            <w:tcBorders/>
            <w:shd w:fill="CCEEFF" w:val="clear"/>
            <w:vAlign w:val="center"/>
          </w:tcPr>
          <w:p>
            <w:pPr>
              <w:pStyle w:val="TableContents"/>
              <w:spacing w:before="0" w:after="283"/>
              <w:ind w:left="0" w:right="0" w:hanging="0"/>
              <w:rPr/>
            </w:pPr>
            <w:r>
              <w:rPr/>
              <w:t> </w:t>
            </w:r>
          </w:p>
        </w:tc>
        <w:tc>
          <w:tcPr>
            <w:tcW w:w="1004"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243</w:t>
            </w:r>
          </w:p>
        </w:tc>
        <w:tc>
          <w:tcPr>
            <w:tcW w:w="85" w:type="dxa"/>
            <w:tcBorders/>
            <w:shd w:fill="CCEEFF" w:val="clear"/>
            <w:vAlign w:val="center"/>
          </w:tcPr>
          <w:p>
            <w:pPr>
              <w:pStyle w:val="TableContents"/>
              <w:spacing w:before="0" w:after="283"/>
              <w:rPr/>
            </w:pPr>
            <w:r>
              <w:rPr/>
              <w:t> </w:t>
            </w:r>
          </w:p>
        </w:tc>
      </w:tr>
      <w:tr>
        <w:trPr/>
        <w:tc>
          <w:tcPr>
            <w:tcW w:w="7454"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Accounts payable</w:t>
            </w:r>
          </w:p>
        </w:tc>
        <w:tc>
          <w:tcPr>
            <w:tcW w:w="60" w:type="dxa"/>
            <w:tcBorders/>
            <w:shd w:fill="FFFFFF" w:val="clear"/>
            <w:vAlign w:val="center"/>
          </w:tcPr>
          <w:p>
            <w:pPr>
              <w:pStyle w:val="TableContents"/>
              <w:spacing w:before="0" w:after="283"/>
              <w:rPr/>
            </w:pPr>
            <w:r>
              <w:rPr/>
              <w:t> </w:t>
            </w:r>
          </w:p>
        </w:tc>
        <w:tc>
          <w:tcPr>
            <w:tcW w:w="192" w:type="dxa"/>
            <w:tcBorders/>
            <w:shd w:fill="FFFFFF" w:val="clear"/>
            <w:vAlign w:val="center"/>
          </w:tcPr>
          <w:p>
            <w:pPr>
              <w:pStyle w:val="TableContents"/>
              <w:spacing w:before="0" w:after="283"/>
              <w:ind w:left="0" w:right="0" w:hanging="0"/>
              <w:rPr/>
            </w:pPr>
            <w:r>
              <w:rPr/>
              <w:t> </w:t>
            </w:r>
          </w:p>
        </w:tc>
        <w:tc>
          <w:tcPr>
            <w:tcW w:w="1004"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(9,427</w:t>
            </w:r>
          </w:p>
        </w:tc>
        <w:tc>
          <w:tcPr>
            <w:tcW w:w="123"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91" w:type="dxa"/>
            <w:tcBorders/>
            <w:shd w:fill="FFFFFF" w:val="clear"/>
            <w:vAlign w:val="center"/>
          </w:tcPr>
          <w:p>
            <w:pPr>
              <w:pStyle w:val="TableContents"/>
              <w:spacing w:before="0" w:after="283"/>
              <w:rPr/>
            </w:pPr>
            <w:r>
              <w:rPr/>
              <w:t> </w:t>
            </w:r>
          </w:p>
        </w:tc>
        <w:tc>
          <w:tcPr>
            <w:tcW w:w="192" w:type="dxa"/>
            <w:tcBorders/>
            <w:shd w:fill="FFFFFF" w:val="clear"/>
            <w:vAlign w:val="center"/>
          </w:tcPr>
          <w:p>
            <w:pPr>
              <w:pStyle w:val="TableContents"/>
              <w:spacing w:before="0" w:after="283"/>
              <w:ind w:left="0" w:right="0" w:hanging="0"/>
              <w:rPr/>
            </w:pPr>
            <w:r>
              <w:rPr/>
              <w:t> </w:t>
            </w:r>
          </w:p>
        </w:tc>
        <w:tc>
          <w:tcPr>
            <w:tcW w:w="1004"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(406</w:t>
            </w:r>
          </w:p>
        </w:tc>
        <w:tc>
          <w:tcPr>
            <w:tcW w:w="8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7454"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Accrued liabilities</w:t>
            </w:r>
          </w:p>
        </w:tc>
        <w:tc>
          <w:tcPr>
            <w:tcW w:w="60" w:type="dxa"/>
            <w:tcBorders/>
            <w:shd w:fill="CCEEFF" w:val="clear"/>
            <w:vAlign w:val="center"/>
          </w:tcPr>
          <w:p>
            <w:pPr>
              <w:pStyle w:val="TableContents"/>
              <w:spacing w:before="0" w:after="283"/>
              <w:rPr/>
            </w:pPr>
            <w:r>
              <w:rPr/>
              <w:t> </w:t>
            </w:r>
          </w:p>
        </w:tc>
        <w:tc>
          <w:tcPr>
            <w:tcW w:w="192" w:type="dxa"/>
            <w:tcBorders/>
            <w:shd w:fill="CCEEFF" w:val="clear"/>
            <w:vAlign w:val="center"/>
          </w:tcPr>
          <w:p>
            <w:pPr>
              <w:pStyle w:val="TableContents"/>
              <w:spacing w:before="0" w:after="283"/>
              <w:ind w:left="0" w:right="0" w:hanging="0"/>
              <w:rPr/>
            </w:pPr>
            <w:r>
              <w:rPr/>
              <w:t> </w:t>
            </w:r>
          </w:p>
        </w:tc>
        <w:tc>
          <w:tcPr>
            <w:tcW w:w="1004"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(3,815</w:t>
            </w:r>
          </w:p>
        </w:tc>
        <w:tc>
          <w:tcPr>
            <w:tcW w:w="123"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91" w:type="dxa"/>
            <w:tcBorders/>
            <w:shd w:fill="CCEEFF" w:val="clear"/>
            <w:vAlign w:val="center"/>
          </w:tcPr>
          <w:p>
            <w:pPr>
              <w:pStyle w:val="TableContents"/>
              <w:spacing w:before="0" w:after="283"/>
              <w:rPr/>
            </w:pPr>
            <w:r>
              <w:rPr/>
              <w:t> </w:t>
            </w:r>
          </w:p>
        </w:tc>
        <w:tc>
          <w:tcPr>
            <w:tcW w:w="192" w:type="dxa"/>
            <w:tcBorders/>
            <w:shd w:fill="CCEEFF" w:val="clear"/>
            <w:vAlign w:val="center"/>
          </w:tcPr>
          <w:p>
            <w:pPr>
              <w:pStyle w:val="TableContents"/>
              <w:spacing w:before="0" w:after="283"/>
              <w:ind w:left="0" w:right="0" w:hanging="0"/>
              <w:rPr/>
            </w:pPr>
            <w:r>
              <w:rPr/>
              <w:t> </w:t>
            </w:r>
          </w:p>
        </w:tc>
        <w:tc>
          <w:tcPr>
            <w:tcW w:w="1004"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(2,271</w:t>
            </w:r>
          </w:p>
        </w:tc>
        <w:tc>
          <w:tcPr>
            <w:tcW w:w="8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7454"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Unearned revenue</w:t>
            </w:r>
          </w:p>
        </w:tc>
        <w:tc>
          <w:tcPr>
            <w:tcW w:w="60" w:type="dxa"/>
            <w:tcBorders/>
            <w:shd w:fill="FFFFFF" w:val="clear"/>
            <w:vAlign w:val="center"/>
          </w:tcPr>
          <w:p>
            <w:pPr>
              <w:pStyle w:val="TableContents"/>
              <w:spacing w:before="0" w:after="283"/>
              <w:rPr/>
            </w:pPr>
            <w:r>
              <w:rPr/>
              <w:t> </w:t>
            </w:r>
          </w:p>
        </w:tc>
        <w:tc>
          <w:tcPr>
            <w:tcW w:w="192" w:type="dxa"/>
            <w:tcBorders/>
            <w:shd w:fill="FFFFFF" w:val="clear"/>
            <w:vAlign w:val="center"/>
          </w:tcPr>
          <w:p>
            <w:pPr>
              <w:pStyle w:val="TableContents"/>
              <w:spacing w:before="0" w:after="283"/>
              <w:ind w:left="0" w:right="0" w:hanging="0"/>
              <w:rPr/>
            </w:pPr>
            <w:r>
              <w:rPr/>
              <w:t> </w:t>
            </w:r>
          </w:p>
        </w:tc>
        <w:tc>
          <w:tcPr>
            <w:tcW w:w="1004"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(237</w:t>
            </w:r>
          </w:p>
        </w:tc>
        <w:tc>
          <w:tcPr>
            <w:tcW w:w="123"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91" w:type="dxa"/>
            <w:tcBorders/>
            <w:shd w:fill="FFFFFF" w:val="clear"/>
            <w:vAlign w:val="center"/>
          </w:tcPr>
          <w:p>
            <w:pPr>
              <w:pStyle w:val="TableContents"/>
              <w:spacing w:before="0" w:after="283"/>
              <w:rPr/>
            </w:pPr>
            <w:r>
              <w:rPr/>
              <w:t> </w:t>
            </w:r>
          </w:p>
        </w:tc>
        <w:tc>
          <w:tcPr>
            <w:tcW w:w="192" w:type="dxa"/>
            <w:tcBorders/>
            <w:shd w:fill="FFFFFF" w:val="clear"/>
            <w:vAlign w:val="center"/>
          </w:tcPr>
          <w:p>
            <w:pPr>
              <w:pStyle w:val="TableContents"/>
              <w:spacing w:before="0" w:after="283"/>
              <w:ind w:left="0" w:right="0" w:hanging="0"/>
              <w:rPr/>
            </w:pPr>
            <w:r>
              <w:rPr/>
              <w:t> </w:t>
            </w:r>
          </w:p>
        </w:tc>
        <w:tc>
          <w:tcPr>
            <w:tcW w:w="1004" w:type="dxa"/>
            <w:tcBorders/>
            <w:shd w:fill="FFFFFF" w:val="clear"/>
            <w:vAlign w:val="center"/>
          </w:tcPr>
          <w:p>
            <w:pPr>
              <w:pStyle w:val="TableContents"/>
              <w:spacing w:before="0" w:after="283"/>
              <w:ind w:left="0" w:right="0" w:hanging="0"/>
              <w:jc w:val="right"/>
              <w:rPr/>
            </w:pPr>
            <w:r>
              <w:rPr/>
              <w:t>—</w:t>
            </w:r>
          </w:p>
        </w:tc>
        <w:tc>
          <w:tcPr>
            <w:tcW w:w="85" w:type="dxa"/>
            <w:tcBorders/>
            <w:shd w:fill="FFFFFF" w:val="clear"/>
            <w:vAlign w:val="center"/>
          </w:tcPr>
          <w:p>
            <w:pPr>
              <w:pStyle w:val="TableContents"/>
              <w:spacing w:before="0" w:after="283"/>
              <w:rPr/>
            </w:pPr>
            <w:r>
              <w:rPr/>
              <w:t> </w:t>
            </w:r>
          </w:p>
        </w:tc>
      </w:tr>
      <w:tr>
        <w:trPr/>
        <w:tc>
          <w:tcPr>
            <w:tcW w:w="7454"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Lease liability</w:t>
            </w:r>
          </w:p>
        </w:tc>
        <w:tc>
          <w:tcPr>
            <w:tcW w:w="60" w:type="dxa"/>
            <w:tcBorders/>
            <w:shd w:fill="CCEEFF" w:val="clear"/>
            <w:vAlign w:val="center"/>
          </w:tcPr>
          <w:p>
            <w:pPr>
              <w:pStyle w:val="TableContents"/>
              <w:spacing w:before="0" w:after="283"/>
              <w:rPr/>
            </w:pPr>
            <w:r>
              <w:rPr/>
              <w:t> </w:t>
            </w:r>
          </w:p>
        </w:tc>
        <w:tc>
          <w:tcPr>
            <w:tcW w:w="192"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1004"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(257</w:t>
            </w:r>
          </w:p>
        </w:tc>
        <w:tc>
          <w:tcPr>
            <w:tcW w:w="123"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91" w:type="dxa"/>
            <w:tcBorders/>
            <w:shd w:fill="CCEEFF" w:val="clear"/>
            <w:vAlign w:val="center"/>
          </w:tcPr>
          <w:p>
            <w:pPr>
              <w:pStyle w:val="TableContents"/>
              <w:spacing w:before="0" w:after="283"/>
              <w:rPr/>
            </w:pPr>
            <w:r>
              <w:rPr/>
              <w:t> </w:t>
            </w:r>
          </w:p>
        </w:tc>
        <w:tc>
          <w:tcPr>
            <w:tcW w:w="192"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1004"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(256</w:t>
            </w:r>
          </w:p>
        </w:tc>
        <w:tc>
          <w:tcPr>
            <w:tcW w:w="8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7454"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Net cash used in operating activities</w:t>
            </w:r>
          </w:p>
        </w:tc>
        <w:tc>
          <w:tcPr>
            <w:tcW w:w="60" w:type="dxa"/>
            <w:tcBorders/>
            <w:shd w:fill="FFFFFF" w:val="clear"/>
            <w:vAlign w:val="center"/>
          </w:tcPr>
          <w:p>
            <w:pPr>
              <w:pStyle w:val="TableContents"/>
              <w:spacing w:before="0" w:after="283"/>
              <w:rPr/>
            </w:pPr>
            <w:r>
              <w:rPr/>
              <w:t> </w:t>
            </w:r>
          </w:p>
        </w:tc>
        <w:tc>
          <w:tcPr>
            <w:tcW w:w="192"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1004"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(9,390</w:t>
            </w:r>
          </w:p>
        </w:tc>
        <w:tc>
          <w:tcPr>
            <w:tcW w:w="123"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91" w:type="dxa"/>
            <w:tcBorders/>
            <w:shd w:fill="FFFFFF" w:val="clear"/>
            <w:vAlign w:val="center"/>
          </w:tcPr>
          <w:p>
            <w:pPr>
              <w:pStyle w:val="TableContents"/>
              <w:spacing w:before="0" w:after="283"/>
              <w:rPr/>
            </w:pPr>
            <w:r>
              <w:rPr/>
              <w:t> </w:t>
            </w:r>
          </w:p>
        </w:tc>
        <w:tc>
          <w:tcPr>
            <w:tcW w:w="192"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1004"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(3,603</w:t>
            </w:r>
          </w:p>
        </w:tc>
        <w:tc>
          <w:tcPr>
            <w:tcW w:w="8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7454"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Investing activities:</w:t>
            </w:r>
          </w:p>
        </w:tc>
        <w:tc>
          <w:tcPr>
            <w:tcW w:w="60" w:type="dxa"/>
            <w:tcBorders/>
            <w:shd w:fill="CCEEFF" w:val="clear"/>
            <w:vAlign w:val="center"/>
          </w:tcPr>
          <w:p>
            <w:pPr>
              <w:pStyle w:val="TableContents"/>
              <w:spacing w:before="0" w:after="283"/>
              <w:rPr/>
            </w:pPr>
            <w:r>
              <w:rPr/>
              <w:t> </w:t>
            </w:r>
          </w:p>
        </w:tc>
        <w:tc>
          <w:tcPr>
            <w:tcW w:w="192" w:type="dxa"/>
            <w:tcBorders/>
            <w:shd w:fill="CCEEFF" w:val="clear"/>
            <w:vAlign w:val="center"/>
          </w:tcPr>
          <w:p>
            <w:pPr>
              <w:pStyle w:val="TableContents"/>
              <w:spacing w:before="0" w:after="283"/>
              <w:rPr/>
            </w:pPr>
            <w:r>
              <w:rPr/>
              <w:t> </w:t>
            </w:r>
          </w:p>
        </w:tc>
        <w:tc>
          <w:tcPr>
            <w:tcW w:w="1004" w:type="dxa"/>
            <w:tcBorders/>
            <w:shd w:fill="CCEEFF" w:val="clear"/>
            <w:vAlign w:val="center"/>
          </w:tcPr>
          <w:p>
            <w:pPr>
              <w:pStyle w:val="TableContents"/>
              <w:spacing w:before="0" w:after="283"/>
              <w:rPr/>
            </w:pPr>
            <w:r>
              <w:rPr/>
              <w:t> </w:t>
            </w:r>
          </w:p>
        </w:tc>
        <w:tc>
          <w:tcPr>
            <w:tcW w:w="123" w:type="dxa"/>
            <w:tcBorders/>
            <w:shd w:fill="CCEEFF" w:val="clear"/>
            <w:vAlign w:val="center"/>
          </w:tcPr>
          <w:p>
            <w:pPr>
              <w:pStyle w:val="TableContents"/>
              <w:spacing w:before="0" w:after="283"/>
              <w:rPr/>
            </w:pPr>
            <w:r>
              <w:rPr/>
              <w:t> </w:t>
            </w:r>
          </w:p>
        </w:tc>
        <w:tc>
          <w:tcPr>
            <w:tcW w:w="91" w:type="dxa"/>
            <w:tcBorders/>
            <w:shd w:fill="CCEEFF" w:val="clear"/>
            <w:vAlign w:val="center"/>
          </w:tcPr>
          <w:p>
            <w:pPr>
              <w:pStyle w:val="TableContents"/>
              <w:spacing w:before="0" w:after="283"/>
              <w:ind w:left="0" w:right="0" w:hanging="0"/>
              <w:rPr/>
            </w:pPr>
            <w:r>
              <w:rPr/>
              <w:t> </w:t>
            </w:r>
          </w:p>
        </w:tc>
        <w:tc>
          <w:tcPr>
            <w:tcW w:w="1196" w:type="dxa"/>
            <w:gridSpan w:val="2"/>
            <w:tcBorders/>
            <w:shd w:fill="CCEEFF" w:val="clear"/>
            <w:vAlign w:val="center"/>
          </w:tcPr>
          <w:p>
            <w:pPr>
              <w:pStyle w:val="TableContents"/>
              <w:spacing w:before="0" w:after="0"/>
              <w:ind w:left="0" w:right="0" w:hanging="0"/>
              <w:rPr>
                <w:caps w:val="false"/>
                <w:smallCaps w:val="false"/>
              </w:rPr>
            </w:pPr>
            <w:r>
              <w:rPr>
                <w:caps w:val="false"/>
                <w:smallCaps w:val="false"/>
              </w:rPr>
              <w:t>​</w:t>
            </w:r>
          </w:p>
        </w:tc>
        <w:tc>
          <w:tcPr>
            <w:tcW w:w="85" w:type="dxa"/>
            <w:tcBorders/>
            <w:shd w:fill="CCEEFF" w:val="clear"/>
            <w:vAlign w:val="center"/>
          </w:tcPr>
          <w:p>
            <w:pPr>
              <w:pStyle w:val="TableContents"/>
              <w:spacing w:before="0" w:after="283"/>
              <w:rPr/>
            </w:pPr>
            <w:r>
              <w:rPr/>
              <w:t> </w:t>
            </w:r>
          </w:p>
        </w:tc>
      </w:tr>
      <w:tr>
        <w:trPr/>
        <w:tc>
          <w:tcPr>
            <w:tcW w:w="7454"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Purchase of property, plant and equipment</w:t>
            </w:r>
          </w:p>
        </w:tc>
        <w:tc>
          <w:tcPr>
            <w:tcW w:w="60" w:type="dxa"/>
            <w:tcBorders/>
            <w:shd w:fill="FFFFFF" w:val="clear"/>
            <w:vAlign w:val="center"/>
          </w:tcPr>
          <w:p>
            <w:pPr>
              <w:pStyle w:val="TableContents"/>
              <w:spacing w:before="0" w:after="283"/>
              <w:rPr/>
            </w:pPr>
            <w:r>
              <w:rPr/>
              <w:t> </w:t>
            </w:r>
          </w:p>
        </w:tc>
        <w:tc>
          <w:tcPr>
            <w:tcW w:w="192" w:type="dxa"/>
            <w:tcBorders/>
            <w:shd w:fill="FFFFFF" w:val="clear"/>
            <w:vAlign w:val="center"/>
          </w:tcPr>
          <w:p>
            <w:pPr>
              <w:pStyle w:val="TableContents"/>
              <w:spacing w:before="0" w:after="283"/>
              <w:ind w:left="0" w:right="0" w:hanging="0"/>
              <w:rPr/>
            </w:pPr>
            <w:r>
              <w:rPr/>
              <w:t> </w:t>
            </w:r>
          </w:p>
        </w:tc>
        <w:tc>
          <w:tcPr>
            <w:tcW w:w="1004"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(575</w:t>
            </w:r>
          </w:p>
        </w:tc>
        <w:tc>
          <w:tcPr>
            <w:tcW w:w="123"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91" w:type="dxa"/>
            <w:tcBorders/>
            <w:shd w:fill="FFFFFF" w:val="clear"/>
            <w:vAlign w:val="center"/>
          </w:tcPr>
          <w:p>
            <w:pPr>
              <w:pStyle w:val="TableContents"/>
              <w:spacing w:before="0" w:after="283"/>
              <w:rPr/>
            </w:pPr>
            <w:r>
              <w:rPr/>
              <w:t> </w:t>
            </w:r>
          </w:p>
        </w:tc>
        <w:tc>
          <w:tcPr>
            <w:tcW w:w="192" w:type="dxa"/>
            <w:tcBorders/>
            <w:shd w:fill="FFFFFF" w:val="clear"/>
            <w:vAlign w:val="center"/>
          </w:tcPr>
          <w:p>
            <w:pPr>
              <w:pStyle w:val="TableContents"/>
              <w:spacing w:before="0" w:after="283"/>
              <w:ind w:left="0" w:right="0" w:hanging="0"/>
              <w:rPr/>
            </w:pPr>
            <w:r>
              <w:rPr/>
              <w:t> </w:t>
            </w:r>
          </w:p>
        </w:tc>
        <w:tc>
          <w:tcPr>
            <w:tcW w:w="1004"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(1,022</w:t>
            </w:r>
          </w:p>
        </w:tc>
        <w:tc>
          <w:tcPr>
            <w:tcW w:w="8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7454"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Proceeds from disposal of equipment</w:t>
            </w:r>
          </w:p>
        </w:tc>
        <w:tc>
          <w:tcPr>
            <w:tcW w:w="60" w:type="dxa"/>
            <w:tcBorders/>
            <w:shd w:fill="CCEEFF" w:val="clear"/>
            <w:vAlign w:val="center"/>
          </w:tcPr>
          <w:p>
            <w:pPr>
              <w:pStyle w:val="TableContents"/>
              <w:spacing w:before="0" w:after="283"/>
              <w:rPr/>
            </w:pPr>
            <w:r>
              <w:rPr/>
              <w:t> </w:t>
            </w:r>
          </w:p>
        </w:tc>
        <w:tc>
          <w:tcPr>
            <w:tcW w:w="192" w:type="dxa"/>
            <w:tcBorders/>
            <w:shd w:fill="CCEEFF" w:val="clear"/>
            <w:vAlign w:val="center"/>
          </w:tcPr>
          <w:p>
            <w:pPr>
              <w:pStyle w:val="TableContents"/>
              <w:spacing w:before="0" w:after="283"/>
              <w:ind w:left="0" w:right="0" w:hanging="0"/>
              <w:rPr/>
            </w:pPr>
            <w:r>
              <w:rPr/>
              <w:t> </w:t>
            </w:r>
          </w:p>
        </w:tc>
        <w:tc>
          <w:tcPr>
            <w:tcW w:w="1004"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65</w:t>
            </w:r>
          </w:p>
        </w:tc>
        <w:tc>
          <w:tcPr>
            <w:tcW w:w="123" w:type="dxa"/>
            <w:tcBorders/>
            <w:shd w:fill="CCEEFF" w:val="clear"/>
            <w:vAlign w:val="center"/>
          </w:tcPr>
          <w:p>
            <w:pPr>
              <w:pStyle w:val="TableContents"/>
              <w:spacing w:before="0" w:after="283"/>
              <w:rPr/>
            </w:pPr>
            <w:r>
              <w:rPr/>
              <w:t> </w:t>
            </w:r>
          </w:p>
        </w:tc>
        <w:tc>
          <w:tcPr>
            <w:tcW w:w="91" w:type="dxa"/>
            <w:tcBorders/>
            <w:shd w:fill="CCEEFF" w:val="clear"/>
            <w:vAlign w:val="center"/>
          </w:tcPr>
          <w:p>
            <w:pPr>
              <w:pStyle w:val="TableContents"/>
              <w:spacing w:before="0" w:after="283"/>
              <w:rPr/>
            </w:pPr>
            <w:r>
              <w:rPr/>
              <w:t> </w:t>
            </w:r>
          </w:p>
        </w:tc>
        <w:tc>
          <w:tcPr>
            <w:tcW w:w="192" w:type="dxa"/>
            <w:tcBorders/>
            <w:shd w:fill="CCEEFF" w:val="clear"/>
            <w:vAlign w:val="center"/>
          </w:tcPr>
          <w:p>
            <w:pPr>
              <w:pStyle w:val="TableContents"/>
              <w:spacing w:before="0" w:after="283"/>
              <w:ind w:left="0" w:right="0" w:hanging="0"/>
              <w:rPr/>
            </w:pPr>
            <w:r>
              <w:rPr/>
              <w:t> </w:t>
            </w:r>
          </w:p>
        </w:tc>
        <w:tc>
          <w:tcPr>
            <w:tcW w:w="1004"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115</w:t>
            </w:r>
          </w:p>
        </w:tc>
        <w:tc>
          <w:tcPr>
            <w:tcW w:w="85" w:type="dxa"/>
            <w:tcBorders/>
            <w:shd w:fill="CCEEFF" w:val="clear"/>
            <w:vAlign w:val="center"/>
          </w:tcPr>
          <w:p>
            <w:pPr>
              <w:pStyle w:val="TableContents"/>
              <w:spacing w:before="0" w:after="283"/>
              <w:rPr/>
            </w:pPr>
            <w:r>
              <w:rPr/>
              <w:t> </w:t>
            </w:r>
          </w:p>
        </w:tc>
      </w:tr>
      <w:tr>
        <w:trPr/>
        <w:tc>
          <w:tcPr>
            <w:tcW w:w="7454"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Deposits and prepaid for equipment</w:t>
            </w:r>
          </w:p>
        </w:tc>
        <w:tc>
          <w:tcPr>
            <w:tcW w:w="60" w:type="dxa"/>
            <w:tcBorders/>
            <w:shd w:fill="FFFFFF" w:val="clear"/>
            <w:vAlign w:val="center"/>
          </w:tcPr>
          <w:p>
            <w:pPr>
              <w:pStyle w:val="TableContents"/>
              <w:spacing w:before="0" w:after="283"/>
              <w:rPr/>
            </w:pPr>
            <w:r>
              <w:rPr/>
              <w:t> </w:t>
            </w:r>
          </w:p>
        </w:tc>
        <w:tc>
          <w:tcPr>
            <w:tcW w:w="192" w:type="dxa"/>
            <w:tcBorders/>
            <w:shd w:fill="FFFFFF" w:val="clear"/>
            <w:vAlign w:val="center"/>
          </w:tcPr>
          <w:p>
            <w:pPr>
              <w:pStyle w:val="TableContents"/>
              <w:spacing w:before="0" w:after="283"/>
              <w:ind w:left="0" w:right="0" w:hanging="0"/>
              <w:rPr/>
            </w:pPr>
            <w:r>
              <w:rPr/>
              <w:t> </w:t>
            </w:r>
          </w:p>
        </w:tc>
        <w:tc>
          <w:tcPr>
            <w:tcW w:w="1004"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(160</w:t>
            </w:r>
          </w:p>
        </w:tc>
        <w:tc>
          <w:tcPr>
            <w:tcW w:w="123"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91" w:type="dxa"/>
            <w:tcBorders/>
            <w:shd w:fill="FFFFFF" w:val="clear"/>
            <w:vAlign w:val="center"/>
          </w:tcPr>
          <w:p>
            <w:pPr>
              <w:pStyle w:val="TableContents"/>
              <w:spacing w:before="0" w:after="283"/>
              <w:rPr/>
            </w:pPr>
            <w:r>
              <w:rPr/>
              <w:t> </w:t>
            </w:r>
          </w:p>
        </w:tc>
        <w:tc>
          <w:tcPr>
            <w:tcW w:w="192" w:type="dxa"/>
            <w:tcBorders/>
            <w:shd w:fill="FFFFFF" w:val="clear"/>
            <w:vAlign w:val="center"/>
          </w:tcPr>
          <w:p>
            <w:pPr>
              <w:pStyle w:val="TableContents"/>
              <w:spacing w:before="0" w:after="283"/>
              <w:ind w:left="0" w:right="0" w:hanging="0"/>
              <w:rPr/>
            </w:pPr>
            <w:r>
              <w:rPr/>
              <w:t> </w:t>
            </w:r>
          </w:p>
        </w:tc>
        <w:tc>
          <w:tcPr>
            <w:tcW w:w="1004"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(30</w:t>
            </w:r>
          </w:p>
        </w:tc>
        <w:tc>
          <w:tcPr>
            <w:tcW w:w="8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7454"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Purchase of intangible assets</w:t>
            </w:r>
          </w:p>
        </w:tc>
        <w:tc>
          <w:tcPr>
            <w:tcW w:w="60" w:type="dxa"/>
            <w:tcBorders/>
            <w:shd w:fill="CCEEFF" w:val="clear"/>
            <w:vAlign w:val="center"/>
          </w:tcPr>
          <w:p>
            <w:pPr>
              <w:pStyle w:val="TableContents"/>
              <w:spacing w:before="0" w:after="283"/>
              <w:rPr/>
            </w:pPr>
            <w:r>
              <w:rPr/>
              <w:t> </w:t>
            </w:r>
          </w:p>
        </w:tc>
        <w:tc>
          <w:tcPr>
            <w:tcW w:w="192"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1004"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(113</w:t>
            </w:r>
          </w:p>
        </w:tc>
        <w:tc>
          <w:tcPr>
            <w:tcW w:w="123"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91" w:type="dxa"/>
            <w:tcBorders/>
            <w:shd w:fill="CCEEFF" w:val="clear"/>
            <w:vAlign w:val="center"/>
          </w:tcPr>
          <w:p>
            <w:pPr>
              <w:pStyle w:val="TableContents"/>
              <w:spacing w:before="0" w:after="283"/>
              <w:rPr/>
            </w:pPr>
            <w:r>
              <w:rPr/>
              <w:t> </w:t>
            </w:r>
          </w:p>
        </w:tc>
        <w:tc>
          <w:tcPr>
            <w:tcW w:w="192"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1004"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(114</w:t>
            </w:r>
          </w:p>
        </w:tc>
        <w:tc>
          <w:tcPr>
            <w:tcW w:w="8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7454"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Net cash used in investing activities</w:t>
            </w:r>
          </w:p>
        </w:tc>
        <w:tc>
          <w:tcPr>
            <w:tcW w:w="60" w:type="dxa"/>
            <w:tcBorders/>
            <w:shd w:fill="FFFFFF" w:val="clear"/>
            <w:vAlign w:val="center"/>
          </w:tcPr>
          <w:p>
            <w:pPr>
              <w:pStyle w:val="TableContents"/>
              <w:spacing w:before="0" w:after="283"/>
              <w:rPr/>
            </w:pPr>
            <w:r>
              <w:rPr/>
              <w:t> </w:t>
            </w:r>
          </w:p>
        </w:tc>
        <w:tc>
          <w:tcPr>
            <w:tcW w:w="192"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1004"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(783</w:t>
            </w:r>
          </w:p>
        </w:tc>
        <w:tc>
          <w:tcPr>
            <w:tcW w:w="123"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91" w:type="dxa"/>
            <w:tcBorders/>
            <w:shd w:fill="FFFFFF" w:val="clear"/>
            <w:vAlign w:val="center"/>
          </w:tcPr>
          <w:p>
            <w:pPr>
              <w:pStyle w:val="TableContents"/>
              <w:spacing w:before="0" w:after="283"/>
              <w:rPr/>
            </w:pPr>
            <w:r>
              <w:rPr/>
              <w:t> </w:t>
            </w:r>
          </w:p>
        </w:tc>
        <w:tc>
          <w:tcPr>
            <w:tcW w:w="192"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1004"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(1,051</w:t>
            </w:r>
          </w:p>
        </w:tc>
        <w:tc>
          <w:tcPr>
            <w:tcW w:w="8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7454"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Financing activities:</w:t>
            </w:r>
          </w:p>
        </w:tc>
        <w:tc>
          <w:tcPr>
            <w:tcW w:w="60" w:type="dxa"/>
            <w:tcBorders/>
            <w:shd w:fill="CCEEFF" w:val="clear"/>
            <w:vAlign w:val="center"/>
          </w:tcPr>
          <w:p>
            <w:pPr>
              <w:pStyle w:val="TableContents"/>
              <w:spacing w:before="0" w:after="283"/>
              <w:rPr/>
            </w:pPr>
            <w:r>
              <w:rPr/>
              <w:t> </w:t>
            </w:r>
          </w:p>
        </w:tc>
        <w:tc>
          <w:tcPr>
            <w:tcW w:w="192" w:type="dxa"/>
            <w:tcBorders/>
            <w:shd w:fill="CCEEFF" w:val="clear"/>
            <w:vAlign w:val="center"/>
          </w:tcPr>
          <w:p>
            <w:pPr>
              <w:pStyle w:val="TableContents"/>
              <w:spacing w:before="0" w:after="283"/>
              <w:rPr/>
            </w:pPr>
            <w:r>
              <w:rPr/>
              <w:t> </w:t>
            </w:r>
          </w:p>
        </w:tc>
        <w:tc>
          <w:tcPr>
            <w:tcW w:w="1004" w:type="dxa"/>
            <w:tcBorders/>
            <w:shd w:fill="CCEEFF" w:val="clear"/>
            <w:vAlign w:val="center"/>
          </w:tcPr>
          <w:p>
            <w:pPr>
              <w:pStyle w:val="TableContents"/>
              <w:spacing w:before="0" w:after="283"/>
              <w:rPr/>
            </w:pPr>
            <w:r>
              <w:rPr/>
              <w:t> </w:t>
            </w:r>
          </w:p>
        </w:tc>
        <w:tc>
          <w:tcPr>
            <w:tcW w:w="123" w:type="dxa"/>
            <w:tcBorders/>
            <w:shd w:fill="CCEEFF" w:val="clear"/>
            <w:vAlign w:val="center"/>
          </w:tcPr>
          <w:p>
            <w:pPr>
              <w:pStyle w:val="TableContents"/>
              <w:spacing w:before="0" w:after="283"/>
              <w:rPr/>
            </w:pPr>
            <w:r>
              <w:rPr/>
              <w:t> </w:t>
            </w:r>
          </w:p>
        </w:tc>
        <w:tc>
          <w:tcPr>
            <w:tcW w:w="91" w:type="dxa"/>
            <w:tcBorders/>
            <w:shd w:fill="CCEEFF" w:val="clear"/>
            <w:vAlign w:val="center"/>
          </w:tcPr>
          <w:p>
            <w:pPr>
              <w:pStyle w:val="TableContents"/>
              <w:spacing w:before="0" w:after="283"/>
              <w:ind w:left="0" w:right="0" w:hanging="0"/>
              <w:rPr/>
            </w:pPr>
            <w:r>
              <w:rPr/>
              <w:t> </w:t>
            </w:r>
          </w:p>
        </w:tc>
        <w:tc>
          <w:tcPr>
            <w:tcW w:w="1196" w:type="dxa"/>
            <w:gridSpan w:val="2"/>
            <w:tcBorders/>
            <w:shd w:fill="CCEEFF" w:val="clear"/>
            <w:vAlign w:val="center"/>
          </w:tcPr>
          <w:p>
            <w:pPr>
              <w:pStyle w:val="TableContents"/>
              <w:spacing w:before="0" w:after="0"/>
              <w:ind w:left="0" w:right="0" w:hanging="0"/>
              <w:rPr>
                <w:caps w:val="false"/>
                <w:smallCaps w:val="false"/>
              </w:rPr>
            </w:pPr>
            <w:r>
              <w:rPr>
                <w:caps w:val="false"/>
                <w:smallCaps w:val="false"/>
              </w:rPr>
              <w:t>​</w:t>
            </w:r>
          </w:p>
        </w:tc>
        <w:tc>
          <w:tcPr>
            <w:tcW w:w="85" w:type="dxa"/>
            <w:tcBorders/>
            <w:shd w:fill="CCEEFF" w:val="clear"/>
            <w:vAlign w:val="center"/>
          </w:tcPr>
          <w:p>
            <w:pPr>
              <w:pStyle w:val="TableContents"/>
              <w:spacing w:before="0" w:after="283"/>
              <w:rPr/>
            </w:pPr>
            <w:r>
              <w:rPr/>
              <w:t> </w:t>
            </w:r>
          </w:p>
        </w:tc>
      </w:tr>
      <w:tr>
        <w:trPr/>
        <w:tc>
          <w:tcPr>
            <w:tcW w:w="7454"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Principal payments of long-term debt and notes payable</w:t>
            </w:r>
          </w:p>
        </w:tc>
        <w:tc>
          <w:tcPr>
            <w:tcW w:w="60" w:type="dxa"/>
            <w:tcBorders/>
            <w:shd w:fill="FFFFFF" w:val="clear"/>
            <w:vAlign w:val="center"/>
          </w:tcPr>
          <w:p>
            <w:pPr>
              <w:pStyle w:val="TableContents"/>
              <w:spacing w:before="0" w:after="283"/>
              <w:rPr/>
            </w:pPr>
            <w:r>
              <w:rPr/>
              <w:t> </w:t>
            </w:r>
          </w:p>
        </w:tc>
        <w:tc>
          <w:tcPr>
            <w:tcW w:w="192" w:type="dxa"/>
            <w:tcBorders/>
            <w:shd w:fill="FFFFFF" w:val="clear"/>
            <w:vAlign w:val="center"/>
          </w:tcPr>
          <w:p>
            <w:pPr>
              <w:pStyle w:val="TableContents"/>
              <w:spacing w:before="0" w:after="283"/>
              <w:ind w:left="0" w:right="0" w:hanging="0"/>
              <w:rPr/>
            </w:pPr>
            <w:r>
              <w:rPr/>
              <w:t> </w:t>
            </w:r>
          </w:p>
        </w:tc>
        <w:tc>
          <w:tcPr>
            <w:tcW w:w="1004" w:type="dxa"/>
            <w:tcBorders/>
            <w:shd w:fill="FFFFFF" w:val="clear"/>
            <w:vAlign w:val="center"/>
          </w:tcPr>
          <w:p>
            <w:pPr>
              <w:pStyle w:val="TableContents"/>
              <w:spacing w:before="0" w:after="283"/>
              <w:ind w:left="0" w:right="0" w:hanging="0"/>
              <w:jc w:val="right"/>
              <w:rPr/>
            </w:pPr>
            <w:r>
              <w:rPr/>
              <w:t>—</w:t>
            </w:r>
          </w:p>
        </w:tc>
        <w:tc>
          <w:tcPr>
            <w:tcW w:w="123" w:type="dxa"/>
            <w:tcBorders/>
            <w:shd w:fill="FFFFFF" w:val="clear"/>
            <w:vAlign w:val="center"/>
          </w:tcPr>
          <w:p>
            <w:pPr>
              <w:pStyle w:val="TableContents"/>
              <w:spacing w:before="0" w:after="283"/>
              <w:rPr/>
            </w:pPr>
            <w:r>
              <w:rPr/>
              <w:t> </w:t>
            </w:r>
          </w:p>
        </w:tc>
        <w:tc>
          <w:tcPr>
            <w:tcW w:w="91" w:type="dxa"/>
            <w:tcBorders/>
            <w:shd w:fill="FFFFFF" w:val="clear"/>
            <w:vAlign w:val="center"/>
          </w:tcPr>
          <w:p>
            <w:pPr>
              <w:pStyle w:val="TableContents"/>
              <w:spacing w:before="0" w:after="283"/>
              <w:rPr/>
            </w:pPr>
            <w:r>
              <w:rPr/>
              <w:t> </w:t>
            </w:r>
          </w:p>
        </w:tc>
        <w:tc>
          <w:tcPr>
            <w:tcW w:w="192" w:type="dxa"/>
            <w:tcBorders/>
            <w:shd w:fill="FFFFFF" w:val="clear"/>
            <w:vAlign w:val="center"/>
          </w:tcPr>
          <w:p>
            <w:pPr>
              <w:pStyle w:val="TableContents"/>
              <w:spacing w:before="0" w:after="283"/>
              <w:ind w:left="0" w:right="0" w:hanging="0"/>
              <w:rPr/>
            </w:pPr>
            <w:r>
              <w:rPr/>
              <w:t> </w:t>
            </w:r>
          </w:p>
        </w:tc>
        <w:tc>
          <w:tcPr>
            <w:tcW w:w="1004"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(170</w:t>
            </w:r>
          </w:p>
        </w:tc>
        <w:tc>
          <w:tcPr>
            <w:tcW w:w="8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7454"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Proceeds from line of credit borrowings</w:t>
            </w:r>
          </w:p>
        </w:tc>
        <w:tc>
          <w:tcPr>
            <w:tcW w:w="60" w:type="dxa"/>
            <w:tcBorders/>
            <w:shd w:fill="CCEEFF" w:val="clear"/>
            <w:vAlign w:val="center"/>
          </w:tcPr>
          <w:p>
            <w:pPr>
              <w:pStyle w:val="TableContents"/>
              <w:spacing w:before="0" w:after="283"/>
              <w:rPr/>
            </w:pPr>
            <w:r>
              <w:rPr/>
              <w:t> </w:t>
            </w:r>
          </w:p>
        </w:tc>
        <w:tc>
          <w:tcPr>
            <w:tcW w:w="192" w:type="dxa"/>
            <w:tcBorders/>
            <w:shd w:fill="CCEEFF" w:val="clear"/>
            <w:vAlign w:val="center"/>
          </w:tcPr>
          <w:p>
            <w:pPr>
              <w:pStyle w:val="TableContents"/>
              <w:spacing w:before="0" w:after="283"/>
              <w:ind w:left="0" w:right="0" w:hanging="0"/>
              <w:rPr/>
            </w:pPr>
            <w:r>
              <w:rPr/>
              <w:t> </w:t>
            </w:r>
          </w:p>
        </w:tc>
        <w:tc>
          <w:tcPr>
            <w:tcW w:w="1004"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19,482</w:t>
            </w:r>
          </w:p>
        </w:tc>
        <w:tc>
          <w:tcPr>
            <w:tcW w:w="123" w:type="dxa"/>
            <w:tcBorders/>
            <w:shd w:fill="CCEEFF" w:val="clear"/>
            <w:vAlign w:val="center"/>
          </w:tcPr>
          <w:p>
            <w:pPr>
              <w:pStyle w:val="TableContents"/>
              <w:spacing w:before="0" w:after="283"/>
              <w:rPr/>
            </w:pPr>
            <w:r>
              <w:rPr/>
              <w:t> </w:t>
            </w:r>
          </w:p>
        </w:tc>
        <w:tc>
          <w:tcPr>
            <w:tcW w:w="91" w:type="dxa"/>
            <w:tcBorders/>
            <w:shd w:fill="CCEEFF" w:val="clear"/>
            <w:vAlign w:val="center"/>
          </w:tcPr>
          <w:p>
            <w:pPr>
              <w:pStyle w:val="TableContents"/>
              <w:spacing w:before="0" w:after="283"/>
              <w:rPr/>
            </w:pPr>
            <w:r>
              <w:rPr/>
              <w:t> </w:t>
            </w:r>
          </w:p>
        </w:tc>
        <w:tc>
          <w:tcPr>
            <w:tcW w:w="192" w:type="dxa"/>
            <w:tcBorders/>
            <w:shd w:fill="CCEEFF" w:val="clear"/>
            <w:vAlign w:val="center"/>
          </w:tcPr>
          <w:p>
            <w:pPr>
              <w:pStyle w:val="TableContents"/>
              <w:spacing w:before="0" w:after="283"/>
              <w:ind w:left="0" w:right="0" w:hanging="0"/>
              <w:rPr/>
            </w:pPr>
            <w:r>
              <w:rPr/>
              <w:t> </w:t>
            </w:r>
          </w:p>
        </w:tc>
        <w:tc>
          <w:tcPr>
            <w:tcW w:w="1004"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41,395</w:t>
            </w:r>
          </w:p>
        </w:tc>
        <w:tc>
          <w:tcPr>
            <w:tcW w:w="85" w:type="dxa"/>
            <w:tcBorders/>
            <w:shd w:fill="CCEEFF" w:val="clear"/>
            <w:vAlign w:val="center"/>
          </w:tcPr>
          <w:p>
            <w:pPr>
              <w:pStyle w:val="TableContents"/>
              <w:spacing w:before="0" w:after="283"/>
              <w:rPr/>
            </w:pPr>
            <w:r>
              <w:rPr/>
              <w:t> </w:t>
            </w:r>
          </w:p>
        </w:tc>
      </w:tr>
      <w:tr>
        <w:trPr/>
        <w:tc>
          <w:tcPr>
            <w:tcW w:w="7454"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Repayments of line of credit borrowings</w:t>
            </w:r>
          </w:p>
        </w:tc>
        <w:tc>
          <w:tcPr>
            <w:tcW w:w="60" w:type="dxa"/>
            <w:tcBorders/>
            <w:shd w:fill="FFFFFF" w:val="clear"/>
            <w:vAlign w:val="center"/>
          </w:tcPr>
          <w:p>
            <w:pPr>
              <w:pStyle w:val="TableContents"/>
              <w:spacing w:before="0" w:after="283"/>
              <w:rPr/>
            </w:pPr>
            <w:r>
              <w:rPr/>
              <w:t> </w:t>
            </w:r>
          </w:p>
        </w:tc>
        <w:tc>
          <w:tcPr>
            <w:tcW w:w="192" w:type="dxa"/>
            <w:tcBorders/>
            <w:shd w:fill="FFFFFF" w:val="clear"/>
            <w:vAlign w:val="center"/>
          </w:tcPr>
          <w:p>
            <w:pPr>
              <w:pStyle w:val="TableContents"/>
              <w:spacing w:before="0" w:after="283"/>
              <w:ind w:left="0" w:right="0" w:hanging="0"/>
              <w:rPr/>
            </w:pPr>
            <w:r>
              <w:rPr/>
              <w:t> </w:t>
            </w:r>
          </w:p>
        </w:tc>
        <w:tc>
          <w:tcPr>
            <w:tcW w:w="1004"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(25,402</w:t>
            </w:r>
          </w:p>
        </w:tc>
        <w:tc>
          <w:tcPr>
            <w:tcW w:w="123"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91" w:type="dxa"/>
            <w:tcBorders/>
            <w:shd w:fill="FFFFFF" w:val="clear"/>
            <w:vAlign w:val="center"/>
          </w:tcPr>
          <w:p>
            <w:pPr>
              <w:pStyle w:val="TableContents"/>
              <w:spacing w:before="0" w:after="283"/>
              <w:rPr/>
            </w:pPr>
            <w:r>
              <w:rPr/>
              <w:t> </w:t>
            </w:r>
          </w:p>
        </w:tc>
        <w:tc>
          <w:tcPr>
            <w:tcW w:w="192" w:type="dxa"/>
            <w:tcBorders/>
            <w:shd w:fill="FFFFFF" w:val="clear"/>
            <w:vAlign w:val="center"/>
          </w:tcPr>
          <w:p>
            <w:pPr>
              <w:pStyle w:val="TableContents"/>
              <w:spacing w:before="0" w:after="283"/>
              <w:ind w:left="0" w:right="0" w:hanging="0"/>
              <w:rPr/>
            </w:pPr>
            <w:r>
              <w:rPr/>
              <w:t> </w:t>
            </w:r>
          </w:p>
        </w:tc>
        <w:tc>
          <w:tcPr>
            <w:tcW w:w="1004"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(39,062</w:t>
            </w:r>
          </w:p>
        </w:tc>
        <w:tc>
          <w:tcPr>
            <w:tcW w:w="8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7454"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Proceeds from bank acceptance payable</w:t>
            </w:r>
          </w:p>
        </w:tc>
        <w:tc>
          <w:tcPr>
            <w:tcW w:w="60" w:type="dxa"/>
            <w:tcBorders/>
            <w:shd w:fill="CCEEFF" w:val="clear"/>
            <w:vAlign w:val="center"/>
          </w:tcPr>
          <w:p>
            <w:pPr>
              <w:pStyle w:val="TableContents"/>
              <w:spacing w:before="0" w:after="283"/>
              <w:rPr/>
            </w:pPr>
            <w:r>
              <w:rPr/>
              <w:t> </w:t>
            </w:r>
          </w:p>
        </w:tc>
        <w:tc>
          <w:tcPr>
            <w:tcW w:w="192" w:type="dxa"/>
            <w:tcBorders/>
            <w:shd w:fill="CCEEFF" w:val="clear"/>
            <w:vAlign w:val="center"/>
          </w:tcPr>
          <w:p>
            <w:pPr>
              <w:pStyle w:val="TableContents"/>
              <w:spacing w:before="0" w:after="283"/>
              <w:ind w:left="0" w:right="0" w:hanging="0"/>
              <w:rPr/>
            </w:pPr>
            <w:r>
              <w:rPr/>
              <w:t> </w:t>
            </w:r>
          </w:p>
        </w:tc>
        <w:tc>
          <w:tcPr>
            <w:tcW w:w="1004"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18,974</w:t>
            </w:r>
          </w:p>
        </w:tc>
        <w:tc>
          <w:tcPr>
            <w:tcW w:w="123" w:type="dxa"/>
            <w:tcBorders/>
            <w:shd w:fill="CCEEFF" w:val="clear"/>
            <w:vAlign w:val="center"/>
          </w:tcPr>
          <w:p>
            <w:pPr>
              <w:pStyle w:val="TableContents"/>
              <w:spacing w:before="0" w:after="283"/>
              <w:rPr/>
            </w:pPr>
            <w:r>
              <w:rPr/>
              <w:t> </w:t>
            </w:r>
          </w:p>
        </w:tc>
        <w:tc>
          <w:tcPr>
            <w:tcW w:w="91" w:type="dxa"/>
            <w:tcBorders/>
            <w:shd w:fill="CCEEFF" w:val="clear"/>
            <w:vAlign w:val="center"/>
          </w:tcPr>
          <w:p>
            <w:pPr>
              <w:pStyle w:val="TableContents"/>
              <w:spacing w:before="0" w:after="283"/>
              <w:rPr/>
            </w:pPr>
            <w:r>
              <w:rPr/>
              <w:t> </w:t>
            </w:r>
          </w:p>
        </w:tc>
        <w:tc>
          <w:tcPr>
            <w:tcW w:w="192" w:type="dxa"/>
            <w:tcBorders/>
            <w:shd w:fill="CCEEFF" w:val="clear"/>
            <w:vAlign w:val="center"/>
          </w:tcPr>
          <w:p>
            <w:pPr>
              <w:pStyle w:val="TableContents"/>
              <w:spacing w:before="0" w:after="283"/>
              <w:ind w:left="0" w:right="0" w:hanging="0"/>
              <w:rPr/>
            </w:pPr>
            <w:r>
              <w:rPr/>
              <w:t> </w:t>
            </w:r>
          </w:p>
        </w:tc>
        <w:tc>
          <w:tcPr>
            <w:tcW w:w="1004"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9,686</w:t>
            </w:r>
          </w:p>
        </w:tc>
        <w:tc>
          <w:tcPr>
            <w:tcW w:w="85" w:type="dxa"/>
            <w:tcBorders/>
            <w:shd w:fill="CCEEFF" w:val="clear"/>
            <w:vAlign w:val="center"/>
          </w:tcPr>
          <w:p>
            <w:pPr>
              <w:pStyle w:val="TableContents"/>
              <w:spacing w:before="0" w:after="283"/>
              <w:rPr/>
            </w:pPr>
            <w:r>
              <w:rPr/>
              <w:t> </w:t>
            </w:r>
          </w:p>
        </w:tc>
      </w:tr>
      <w:tr>
        <w:trPr/>
        <w:tc>
          <w:tcPr>
            <w:tcW w:w="7454"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Repayments of bank acceptance payable</w:t>
            </w:r>
          </w:p>
        </w:tc>
        <w:tc>
          <w:tcPr>
            <w:tcW w:w="60" w:type="dxa"/>
            <w:tcBorders/>
            <w:shd w:fill="FFFFFF" w:val="clear"/>
            <w:vAlign w:val="center"/>
          </w:tcPr>
          <w:p>
            <w:pPr>
              <w:pStyle w:val="TableContents"/>
              <w:spacing w:before="0" w:after="283"/>
              <w:rPr/>
            </w:pPr>
            <w:r>
              <w:rPr/>
              <w:t> </w:t>
            </w:r>
          </w:p>
        </w:tc>
        <w:tc>
          <w:tcPr>
            <w:tcW w:w="192" w:type="dxa"/>
            <w:tcBorders/>
            <w:shd w:fill="FFFFFF" w:val="clear"/>
            <w:vAlign w:val="center"/>
          </w:tcPr>
          <w:p>
            <w:pPr>
              <w:pStyle w:val="TableContents"/>
              <w:spacing w:before="0" w:after="283"/>
              <w:ind w:left="0" w:right="0" w:hanging="0"/>
              <w:rPr/>
            </w:pPr>
            <w:r>
              <w:rPr/>
              <w:t> </w:t>
            </w:r>
          </w:p>
        </w:tc>
        <w:tc>
          <w:tcPr>
            <w:tcW w:w="1004"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(12,293</w:t>
            </w:r>
          </w:p>
        </w:tc>
        <w:tc>
          <w:tcPr>
            <w:tcW w:w="123"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91" w:type="dxa"/>
            <w:tcBorders/>
            <w:shd w:fill="FFFFFF" w:val="clear"/>
            <w:vAlign w:val="center"/>
          </w:tcPr>
          <w:p>
            <w:pPr>
              <w:pStyle w:val="TableContents"/>
              <w:spacing w:before="0" w:after="283"/>
              <w:rPr/>
            </w:pPr>
            <w:r>
              <w:rPr/>
              <w:t> </w:t>
            </w:r>
          </w:p>
        </w:tc>
        <w:tc>
          <w:tcPr>
            <w:tcW w:w="192" w:type="dxa"/>
            <w:tcBorders/>
            <w:shd w:fill="FFFFFF" w:val="clear"/>
            <w:vAlign w:val="center"/>
          </w:tcPr>
          <w:p>
            <w:pPr>
              <w:pStyle w:val="TableContents"/>
              <w:spacing w:before="0" w:after="283"/>
              <w:ind w:left="0" w:right="0" w:hanging="0"/>
              <w:rPr/>
            </w:pPr>
            <w:r>
              <w:rPr/>
              <w:t> </w:t>
            </w:r>
          </w:p>
        </w:tc>
        <w:tc>
          <w:tcPr>
            <w:tcW w:w="1004"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(7,968</w:t>
            </w:r>
          </w:p>
        </w:tc>
        <w:tc>
          <w:tcPr>
            <w:tcW w:w="8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7454"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Principal payments of financing lease</w:t>
            </w:r>
          </w:p>
        </w:tc>
        <w:tc>
          <w:tcPr>
            <w:tcW w:w="60" w:type="dxa"/>
            <w:tcBorders/>
            <w:shd w:fill="CCEEFF" w:val="clear"/>
            <w:vAlign w:val="center"/>
          </w:tcPr>
          <w:p>
            <w:pPr>
              <w:pStyle w:val="TableContents"/>
              <w:spacing w:before="0" w:after="283"/>
              <w:rPr/>
            </w:pPr>
            <w:r>
              <w:rPr/>
              <w:t> </w:t>
            </w:r>
          </w:p>
        </w:tc>
        <w:tc>
          <w:tcPr>
            <w:tcW w:w="192" w:type="dxa"/>
            <w:tcBorders/>
            <w:shd w:fill="CCEEFF" w:val="clear"/>
            <w:vAlign w:val="center"/>
          </w:tcPr>
          <w:p>
            <w:pPr>
              <w:pStyle w:val="TableContents"/>
              <w:spacing w:before="0" w:after="283"/>
              <w:ind w:left="0" w:right="0" w:hanging="0"/>
              <w:rPr/>
            </w:pPr>
            <w:r>
              <w:rPr/>
              <w:t> </w:t>
            </w:r>
          </w:p>
        </w:tc>
        <w:tc>
          <w:tcPr>
            <w:tcW w:w="1004"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w:t>
            </w:r>
          </w:p>
        </w:tc>
        <w:tc>
          <w:tcPr>
            <w:tcW w:w="123"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91" w:type="dxa"/>
            <w:tcBorders/>
            <w:shd w:fill="CCEEFF" w:val="clear"/>
            <w:vAlign w:val="center"/>
          </w:tcPr>
          <w:p>
            <w:pPr>
              <w:pStyle w:val="TableContents"/>
              <w:spacing w:before="0" w:after="283"/>
              <w:rPr/>
            </w:pPr>
            <w:r>
              <w:rPr/>
              <w:t> </w:t>
            </w:r>
          </w:p>
        </w:tc>
        <w:tc>
          <w:tcPr>
            <w:tcW w:w="192" w:type="dxa"/>
            <w:tcBorders/>
            <w:shd w:fill="CCEEFF" w:val="clear"/>
            <w:vAlign w:val="center"/>
          </w:tcPr>
          <w:p>
            <w:pPr>
              <w:pStyle w:val="TableContents"/>
              <w:spacing w:before="0" w:after="283"/>
              <w:ind w:left="0" w:right="0" w:hanging="0"/>
              <w:rPr/>
            </w:pPr>
            <w:r>
              <w:rPr/>
              <w:t> </w:t>
            </w:r>
          </w:p>
        </w:tc>
        <w:tc>
          <w:tcPr>
            <w:tcW w:w="1004"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w:t>
            </w:r>
          </w:p>
        </w:tc>
        <w:tc>
          <w:tcPr>
            <w:tcW w:w="8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7454"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Payments of tax withholding on behalf of employees related to share-based compensation</w:t>
            </w:r>
          </w:p>
        </w:tc>
        <w:tc>
          <w:tcPr>
            <w:tcW w:w="60" w:type="dxa"/>
            <w:tcBorders/>
            <w:shd w:fill="FFFFFF" w:val="clear"/>
            <w:vAlign w:val="center"/>
          </w:tcPr>
          <w:p>
            <w:pPr>
              <w:pStyle w:val="TableContents"/>
              <w:spacing w:before="0" w:after="283"/>
              <w:rPr/>
            </w:pPr>
            <w:r>
              <w:rPr/>
              <w:t> </w:t>
            </w:r>
          </w:p>
        </w:tc>
        <w:tc>
          <w:tcPr>
            <w:tcW w:w="192" w:type="dxa"/>
            <w:tcBorders/>
            <w:shd w:fill="FFFFFF" w:val="clear"/>
            <w:vAlign w:val="center"/>
          </w:tcPr>
          <w:p>
            <w:pPr>
              <w:pStyle w:val="TableContents"/>
              <w:spacing w:before="0" w:after="283"/>
              <w:ind w:left="0" w:right="0" w:hanging="0"/>
              <w:rPr/>
            </w:pPr>
            <w:r>
              <w:rPr/>
              <w:t> </w:t>
            </w:r>
          </w:p>
        </w:tc>
        <w:tc>
          <w:tcPr>
            <w:tcW w:w="1004"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(75</w:t>
            </w:r>
          </w:p>
        </w:tc>
        <w:tc>
          <w:tcPr>
            <w:tcW w:w="123"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91" w:type="dxa"/>
            <w:tcBorders/>
            <w:shd w:fill="FFFFFF" w:val="clear"/>
            <w:vAlign w:val="center"/>
          </w:tcPr>
          <w:p>
            <w:pPr>
              <w:pStyle w:val="TableContents"/>
              <w:spacing w:before="0" w:after="283"/>
              <w:rPr/>
            </w:pPr>
            <w:r>
              <w:rPr/>
              <w:t> </w:t>
            </w:r>
          </w:p>
        </w:tc>
        <w:tc>
          <w:tcPr>
            <w:tcW w:w="192" w:type="dxa"/>
            <w:tcBorders/>
            <w:shd w:fill="FFFFFF" w:val="clear"/>
            <w:vAlign w:val="center"/>
          </w:tcPr>
          <w:p>
            <w:pPr>
              <w:pStyle w:val="TableContents"/>
              <w:spacing w:before="0" w:after="283"/>
              <w:ind w:left="0" w:right="0" w:hanging="0"/>
              <w:rPr/>
            </w:pPr>
            <w:r>
              <w:rPr/>
              <w:t> </w:t>
            </w:r>
          </w:p>
        </w:tc>
        <w:tc>
          <w:tcPr>
            <w:tcW w:w="1004"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(140</w:t>
            </w:r>
          </w:p>
        </w:tc>
        <w:tc>
          <w:tcPr>
            <w:tcW w:w="8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7454"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Proceeds from common stock offering, net</w:t>
            </w:r>
          </w:p>
        </w:tc>
        <w:tc>
          <w:tcPr>
            <w:tcW w:w="60" w:type="dxa"/>
            <w:tcBorders/>
            <w:shd w:fill="CCEEFF" w:val="clear"/>
            <w:vAlign w:val="center"/>
          </w:tcPr>
          <w:p>
            <w:pPr>
              <w:pStyle w:val="TableContents"/>
              <w:spacing w:before="0" w:after="283"/>
              <w:rPr/>
            </w:pPr>
            <w:r>
              <w:rPr/>
              <w:t> </w:t>
            </w:r>
          </w:p>
        </w:tc>
        <w:tc>
          <w:tcPr>
            <w:tcW w:w="192"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1004"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407</w:t>
            </w:r>
          </w:p>
        </w:tc>
        <w:tc>
          <w:tcPr>
            <w:tcW w:w="123" w:type="dxa"/>
            <w:tcBorders/>
            <w:shd w:fill="CCEEFF" w:val="clear"/>
            <w:vAlign w:val="center"/>
          </w:tcPr>
          <w:p>
            <w:pPr>
              <w:pStyle w:val="TableContents"/>
              <w:spacing w:before="0" w:after="283"/>
              <w:rPr/>
            </w:pPr>
            <w:r>
              <w:rPr/>
              <w:t> </w:t>
            </w:r>
          </w:p>
        </w:tc>
        <w:tc>
          <w:tcPr>
            <w:tcW w:w="91" w:type="dxa"/>
            <w:tcBorders/>
            <w:shd w:fill="CCEEFF" w:val="clear"/>
            <w:vAlign w:val="center"/>
          </w:tcPr>
          <w:p>
            <w:pPr>
              <w:pStyle w:val="TableContents"/>
              <w:spacing w:before="0" w:after="283"/>
              <w:rPr/>
            </w:pPr>
            <w:r>
              <w:rPr/>
              <w:t> </w:t>
            </w:r>
          </w:p>
        </w:tc>
        <w:tc>
          <w:tcPr>
            <w:tcW w:w="192"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1004" w:type="dxa"/>
            <w:tcBorders>
              <w:bottom w:val="single" w:sz="2" w:space="0" w:color="000000"/>
            </w:tcBorders>
            <w:shd w:fill="CCEEFF" w:val="clear"/>
            <w:tcMar>
              <w:bottom w:w="28" w:type="dxa"/>
            </w:tcMar>
            <w:vAlign w:val="center"/>
          </w:tcPr>
          <w:p>
            <w:pPr>
              <w:pStyle w:val="TableContents"/>
              <w:spacing w:before="0" w:after="283"/>
              <w:ind w:left="0" w:right="0" w:hanging="0"/>
              <w:jc w:val="right"/>
              <w:rPr/>
            </w:pPr>
            <w:r>
              <w:rPr/>
              <w:t>—</w:t>
            </w:r>
          </w:p>
        </w:tc>
        <w:tc>
          <w:tcPr>
            <w:tcW w:w="85" w:type="dxa"/>
            <w:tcBorders/>
            <w:shd w:fill="CCEEFF" w:val="clear"/>
            <w:vAlign w:val="center"/>
          </w:tcPr>
          <w:p>
            <w:pPr>
              <w:pStyle w:val="TableContents"/>
              <w:spacing w:before="0" w:after="283"/>
              <w:rPr/>
            </w:pPr>
            <w:r>
              <w:rPr/>
              <w:t> </w:t>
            </w:r>
          </w:p>
        </w:tc>
      </w:tr>
      <w:tr>
        <w:trPr/>
        <w:tc>
          <w:tcPr>
            <w:tcW w:w="7454"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Net cash provided by financing activities</w:t>
            </w:r>
          </w:p>
        </w:tc>
        <w:tc>
          <w:tcPr>
            <w:tcW w:w="60" w:type="dxa"/>
            <w:tcBorders/>
            <w:shd w:fill="FFFFFF" w:val="clear"/>
            <w:vAlign w:val="center"/>
          </w:tcPr>
          <w:p>
            <w:pPr>
              <w:pStyle w:val="TableContents"/>
              <w:spacing w:before="0" w:after="283"/>
              <w:rPr/>
            </w:pPr>
            <w:r>
              <w:rPr/>
              <w:t> </w:t>
            </w:r>
          </w:p>
        </w:tc>
        <w:tc>
          <w:tcPr>
            <w:tcW w:w="192"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1004"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1,088</w:t>
            </w:r>
          </w:p>
        </w:tc>
        <w:tc>
          <w:tcPr>
            <w:tcW w:w="123" w:type="dxa"/>
            <w:tcBorders/>
            <w:shd w:fill="FFFFFF" w:val="clear"/>
            <w:vAlign w:val="center"/>
          </w:tcPr>
          <w:p>
            <w:pPr>
              <w:pStyle w:val="TableContents"/>
              <w:spacing w:before="0" w:after="283"/>
              <w:rPr/>
            </w:pPr>
            <w:r>
              <w:rPr/>
              <w:t> </w:t>
            </w:r>
          </w:p>
        </w:tc>
        <w:tc>
          <w:tcPr>
            <w:tcW w:w="91" w:type="dxa"/>
            <w:tcBorders/>
            <w:shd w:fill="FFFFFF" w:val="clear"/>
            <w:vAlign w:val="center"/>
          </w:tcPr>
          <w:p>
            <w:pPr>
              <w:pStyle w:val="TableContents"/>
              <w:spacing w:before="0" w:after="283"/>
              <w:rPr/>
            </w:pPr>
            <w:r>
              <w:rPr/>
              <w:t> </w:t>
            </w:r>
          </w:p>
        </w:tc>
        <w:tc>
          <w:tcPr>
            <w:tcW w:w="192"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1004"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3,736</w:t>
            </w:r>
          </w:p>
        </w:tc>
        <w:tc>
          <w:tcPr>
            <w:tcW w:w="85" w:type="dxa"/>
            <w:tcBorders/>
            <w:shd w:fill="FFFFFF" w:val="clear"/>
            <w:vAlign w:val="center"/>
          </w:tcPr>
          <w:p>
            <w:pPr>
              <w:pStyle w:val="TableContents"/>
              <w:spacing w:before="0" w:after="283"/>
              <w:rPr/>
            </w:pPr>
            <w:r>
              <w:rPr/>
              <w:t> </w:t>
            </w:r>
          </w:p>
        </w:tc>
      </w:tr>
      <w:tr>
        <w:trPr/>
        <w:tc>
          <w:tcPr>
            <w:tcW w:w="7454"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Effect of exchange rate changes on cash</w:t>
            </w:r>
          </w:p>
        </w:tc>
        <w:tc>
          <w:tcPr>
            <w:tcW w:w="60" w:type="dxa"/>
            <w:tcBorders/>
            <w:shd w:fill="CCEEFF" w:val="clear"/>
            <w:vAlign w:val="center"/>
          </w:tcPr>
          <w:p>
            <w:pPr>
              <w:pStyle w:val="TableContents"/>
              <w:spacing w:before="0" w:after="283"/>
              <w:rPr/>
            </w:pPr>
            <w:r>
              <w:rPr/>
              <w:t> </w:t>
            </w:r>
          </w:p>
        </w:tc>
        <w:tc>
          <w:tcPr>
            <w:tcW w:w="192"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1004"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446</w:t>
            </w:r>
          </w:p>
        </w:tc>
        <w:tc>
          <w:tcPr>
            <w:tcW w:w="123" w:type="dxa"/>
            <w:tcBorders/>
            <w:shd w:fill="CCEEFF" w:val="clear"/>
            <w:vAlign w:val="center"/>
          </w:tcPr>
          <w:p>
            <w:pPr>
              <w:pStyle w:val="TableContents"/>
              <w:spacing w:before="0" w:after="283"/>
              <w:rPr/>
            </w:pPr>
            <w:r>
              <w:rPr/>
              <w:t> </w:t>
            </w:r>
          </w:p>
        </w:tc>
        <w:tc>
          <w:tcPr>
            <w:tcW w:w="91" w:type="dxa"/>
            <w:tcBorders/>
            <w:shd w:fill="CCEEFF" w:val="clear"/>
            <w:vAlign w:val="center"/>
          </w:tcPr>
          <w:p>
            <w:pPr>
              <w:pStyle w:val="TableContents"/>
              <w:spacing w:before="0" w:after="283"/>
              <w:rPr/>
            </w:pPr>
            <w:r>
              <w:rPr/>
              <w:t> </w:t>
            </w:r>
          </w:p>
        </w:tc>
        <w:tc>
          <w:tcPr>
            <w:tcW w:w="192"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1004"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(110</w:t>
            </w:r>
          </w:p>
        </w:tc>
        <w:tc>
          <w:tcPr>
            <w:tcW w:w="8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7454"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Net decrease in cash, cash equivalents and restricted cash</w:t>
            </w:r>
          </w:p>
        </w:tc>
        <w:tc>
          <w:tcPr>
            <w:tcW w:w="60" w:type="dxa"/>
            <w:tcBorders/>
            <w:shd w:fill="FFFFFF" w:val="clear"/>
            <w:vAlign w:val="center"/>
          </w:tcPr>
          <w:p>
            <w:pPr>
              <w:pStyle w:val="TableContents"/>
              <w:spacing w:before="0" w:after="283"/>
              <w:rPr/>
            </w:pPr>
            <w:r>
              <w:rPr/>
              <w:t> </w:t>
            </w:r>
          </w:p>
        </w:tc>
        <w:tc>
          <w:tcPr>
            <w:tcW w:w="192" w:type="dxa"/>
            <w:tcBorders/>
            <w:shd w:fill="FFFFFF" w:val="clear"/>
            <w:vAlign w:val="center"/>
          </w:tcPr>
          <w:p>
            <w:pPr>
              <w:pStyle w:val="TableContents"/>
              <w:spacing w:before="0" w:after="283"/>
              <w:ind w:left="0" w:right="0" w:hanging="0"/>
              <w:rPr/>
            </w:pPr>
            <w:r>
              <w:rPr/>
              <w:t> </w:t>
            </w:r>
          </w:p>
        </w:tc>
        <w:tc>
          <w:tcPr>
            <w:tcW w:w="1004"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(8,639</w:t>
            </w:r>
          </w:p>
        </w:tc>
        <w:tc>
          <w:tcPr>
            <w:tcW w:w="123"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91" w:type="dxa"/>
            <w:tcBorders/>
            <w:shd w:fill="FFFFFF" w:val="clear"/>
            <w:vAlign w:val="center"/>
          </w:tcPr>
          <w:p>
            <w:pPr>
              <w:pStyle w:val="TableContents"/>
              <w:spacing w:before="0" w:after="283"/>
              <w:rPr/>
            </w:pPr>
            <w:r>
              <w:rPr/>
              <w:t> </w:t>
            </w:r>
          </w:p>
        </w:tc>
        <w:tc>
          <w:tcPr>
            <w:tcW w:w="192" w:type="dxa"/>
            <w:tcBorders/>
            <w:shd w:fill="FFFFFF" w:val="clear"/>
            <w:vAlign w:val="center"/>
          </w:tcPr>
          <w:p>
            <w:pPr>
              <w:pStyle w:val="TableContents"/>
              <w:spacing w:before="0" w:after="283"/>
              <w:ind w:left="0" w:right="0" w:hanging="0"/>
              <w:rPr/>
            </w:pPr>
            <w:r>
              <w:rPr/>
              <w:t> </w:t>
            </w:r>
          </w:p>
        </w:tc>
        <w:tc>
          <w:tcPr>
            <w:tcW w:w="1004"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(1,028</w:t>
            </w:r>
          </w:p>
        </w:tc>
        <w:tc>
          <w:tcPr>
            <w:tcW w:w="8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7454"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Cash, cash equivalents and restricted cash at beginning of period</w:t>
            </w:r>
          </w:p>
        </w:tc>
        <w:tc>
          <w:tcPr>
            <w:tcW w:w="60" w:type="dxa"/>
            <w:tcBorders/>
            <w:shd w:fill="CCEEFF" w:val="clear"/>
            <w:vAlign w:val="center"/>
          </w:tcPr>
          <w:p>
            <w:pPr>
              <w:pStyle w:val="TableContents"/>
              <w:spacing w:before="0" w:after="283"/>
              <w:rPr/>
            </w:pPr>
            <w:r>
              <w:rPr/>
              <w:t> </w:t>
            </w:r>
          </w:p>
        </w:tc>
        <w:tc>
          <w:tcPr>
            <w:tcW w:w="192"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1004"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35,587</w:t>
            </w:r>
          </w:p>
        </w:tc>
        <w:tc>
          <w:tcPr>
            <w:tcW w:w="123" w:type="dxa"/>
            <w:tcBorders/>
            <w:shd w:fill="CCEEFF" w:val="clear"/>
            <w:vAlign w:val="center"/>
          </w:tcPr>
          <w:p>
            <w:pPr>
              <w:pStyle w:val="TableContents"/>
              <w:spacing w:before="0" w:after="283"/>
              <w:rPr/>
            </w:pPr>
            <w:r>
              <w:rPr/>
              <w:t> </w:t>
            </w:r>
          </w:p>
        </w:tc>
        <w:tc>
          <w:tcPr>
            <w:tcW w:w="91" w:type="dxa"/>
            <w:tcBorders/>
            <w:shd w:fill="CCEEFF" w:val="clear"/>
            <w:vAlign w:val="center"/>
          </w:tcPr>
          <w:p>
            <w:pPr>
              <w:pStyle w:val="TableContents"/>
              <w:spacing w:before="0" w:after="283"/>
              <w:rPr/>
            </w:pPr>
            <w:r>
              <w:rPr/>
              <w:t> </w:t>
            </w:r>
          </w:p>
        </w:tc>
        <w:tc>
          <w:tcPr>
            <w:tcW w:w="192"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1004"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41,136</w:t>
            </w:r>
          </w:p>
        </w:tc>
        <w:tc>
          <w:tcPr>
            <w:tcW w:w="85" w:type="dxa"/>
            <w:tcBorders/>
            <w:shd w:fill="CCEEFF" w:val="clear"/>
            <w:vAlign w:val="center"/>
          </w:tcPr>
          <w:p>
            <w:pPr>
              <w:pStyle w:val="TableContents"/>
              <w:spacing w:before="0" w:after="283"/>
              <w:rPr/>
            </w:pPr>
            <w:r>
              <w:rPr/>
              <w:t> </w:t>
            </w:r>
          </w:p>
        </w:tc>
      </w:tr>
      <w:tr>
        <w:trPr/>
        <w:tc>
          <w:tcPr>
            <w:tcW w:w="7454"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Cash, cash equivalents and restricted cash at end of period</w:t>
            </w:r>
          </w:p>
        </w:tc>
        <w:tc>
          <w:tcPr>
            <w:tcW w:w="60" w:type="dxa"/>
            <w:tcBorders/>
            <w:shd w:fill="FFFFFF" w:val="clear"/>
            <w:vAlign w:val="center"/>
          </w:tcPr>
          <w:p>
            <w:pPr>
              <w:pStyle w:val="TableContents"/>
              <w:spacing w:before="0" w:after="283"/>
              <w:rPr/>
            </w:pPr>
            <w:r>
              <w:rPr/>
              <w:t> </w:t>
            </w:r>
          </w:p>
        </w:tc>
        <w:tc>
          <w:tcPr>
            <w:tcW w:w="192" w:type="dxa"/>
            <w:tcBorders>
              <w:bottom w:val="double" w:sz="6" w:space="0" w:color="000000"/>
            </w:tcBorders>
            <w:shd w:fill="FFFFFF" w:val="clear"/>
            <w:tcMar>
              <w:bottom w:w="28" w:type="dxa"/>
            </w:tcMar>
            <w:vAlign w:val="center"/>
          </w:tcPr>
          <w:p>
            <w:pPr>
              <w:pStyle w:val="TableContents"/>
              <w:spacing w:before="0" w:after="283"/>
              <w:ind w:left="0" w:right="0" w:hanging="0"/>
              <w:rPr/>
            </w:pPr>
            <w:r>
              <w:rPr/>
              <w:t> </w:t>
            </w:r>
          </w:p>
        </w:tc>
        <w:tc>
          <w:tcPr>
            <w:tcW w:w="1004"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26,948</w:t>
            </w:r>
          </w:p>
        </w:tc>
        <w:tc>
          <w:tcPr>
            <w:tcW w:w="123" w:type="dxa"/>
            <w:tcBorders/>
            <w:shd w:fill="FFFFFF" w:val="clear"/>
            <w:vAlign w:val="center"/>
          </w:tcPr>
          <w:p>
            <w:pPr>
              <w:pStyle w:val="TableContents"/>
              <w:spacing w:before="0" w:after="283"/>
              <w:rPr/>
            </w:pPr>
            <w:r>
              <w:rPr/>
              <w:t> </w:t>
            </w:r>
          </w:p>
        </w:tc>
        <w:tc>
          <w:tcPr>
            <w:tcW w:w="91" w:type="dxa"/>
            <w:tcBorders/>
            <w:shd w:fill="FFFFFF" w:val="clear"/>
            <w:vAlign w:val="center"/>
          </w:tcPr>
          <w:p>
            <w:pPr>
              <w:pStyle w:val="TableContents"/>
              <w:spacing w:before="0" w:after="283"/>
              <w:rPr/>
            </w:pPr>
            <w:r>
              <w:rPr/>
              <w:t> </w:t>
            </w:r>
          </w:p>
        </w:tc>
        <w:tc>
          <w:tcPr>
            <w:tcW w:w="192" w:type="dxa"/>
            <w:tcBorders>
              <w:bottom w:val="double" w:sz="6" w:space="0" w:color="000000"/>
            </w:tcBorders>
            <w:shd w:fill="FFFFFF" w:val="clear"/>
            <w:tcMar>
              <w:bottom w:w="28" w:type="dxa"/>
            </w:tcMar>
            <w:vAlign w:val="center"/>
          </w:tcPr>
          <w:p>
            <w:pPr>
              <w:pStyle w:val="TableContents"/>
              <w:spacing w:before="0" w:after="283"/>
              <w:ind w:left="0" w:right="0" w:hanging="0"/>
              <w:rPr/>
            </w:pPr>
            <w:r>
              <w:rPr/>
              <w:t> </w:t>
            </w:r>
          </w:p>
        </w:tc>
        <w:tc>
          <w:tcPr>
            <w:tcW w:w="1004"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40,108</w:t>
            </w:r>
          </w:p>
        </w:tc>
        <w:tc>
          <w:tcPr>
            <w:tcW w:w="85" w:type="dxa"/>
            <w:tcBorders/>
            <w:shd w:fill="FFFFFF" w:val="clear"/>
            <w:vAlign w:val="center"/>
          </w:tcPr>
          <w:p>
            <w:pPr>
              <w:pStyle w:val="TableContents"/>
              <w:spacing w:before="0" w:after="283"/>
              <w:rPr/>
            </w:pPr>
            <w:r>
              <w:rPr/>
              <w:t> </w:t>
            </w:r>
          </w:p>
        </w:tc>
      </w:tr>
      <w:tr>
        <w:trPr/>
        <w:tc>
          <w:tcPr>
            <w:tcW w:w="7454"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Supplemental disclosure of cash flow information:</w:t>
            </w:r>
          </w:p>
        </w:tc>
        <w:tc>
          <w:tcPr>
            <w:tcW w:w="60" w:type="dxa"/>
            <w:tcBorders/>
            <w:shd w:fill="CCEEFF" w:val="clear"/>
            <w:vAlign w:val="center"/>
          </w:tcPr>
          <w:p>
            <w:pPr>
              <w:pStyle w:val="TableContents"/>
              <w:spacing w:before="0" w:after="283"/>
              <w:rPr/>
            </w:pPr>
            <w:r>
              <w:rPr/>
              <w:t> </w:t>
            </w:r>
          </w:p>
        </w:tc>
        <w:tc>
          <w:tcPr>
            <w:tcW w:w="192" w:type="dxa"/>
            <w:tcBorders/>
            <w:shd w:fill="CCEEFF" w:val="clear"/>
            <w:vAlign w:val="center"/>
          </w:tcPr>
          <w:p>
            <w:pPr>
              <w:pStyle w:val="TableContents"/>
              <w:spacing w:before="0" w:after="283"/>
              <w:rPr/>
            </w:pPr>
            <w:r>
              <w:rPr/>
              <w:t> </w:t>
            </w:r>
          </w:p>
        </w:tc>
        <w:tc>
          <w:tcPr>
            <w:tcW w:w="1004" w:type="dxa"/>
            <w:tcBorders/>
            <w:shd w:fill="CCEEFF" w:val="clear"/>
            <w:vAlign w:val="center"/>
          </w:tcPr>
          <w:p>
            <w:pPr>
              <w:pStyle w:val="TableContents"/>
              <w:spacing w:before="0" w:after="283"/>
              <w:rPr/>
            </w:pPr>
            <w:r>
              <w:rPr/>
              <w:t> </w:t>
            </w:r>
          </w:p>
        </w:tc>
        <w:tc>
          <w:tcPr>
            <w:tcW w:w="123" w:type="dxa"/>
            <w:tcBorders/>
            <w:shd w:fill="CCEEFF" w:val="clear"/>
            <w:vAlign w:val="center"/>
          </w:tcPr>
          <w:p>
            <w:pPr>
              <w:pStyle w:val="TableContents"/>
              <w:spacing w:before="0" w:after="283"/>
              <w:rPr/>
            </w:pPr>
            <w:r>
              <w:rPr/>
              <w:t> </w:t>
            </w:r>
          </w:p>
        </w:tc>
        <w:tc>
          <w:tcPr>
            <w:tcW w:w="91" w:type="dxa"/>
            <w:tcBorders/>
            <w:shd w:fill="CCEEFF" w:val="clear"/>
            <w:vAlign w:val="center"/>
          </w:tcPr>
          <w:p>
            <w:pPr>
              <w:pStyle w:val="TableContents"/>
              <w:spacing w:before="0" w:after="283"/>
              <w:rPr/>
            </w:pPr>
            <w:r>
              <w:rPr/>
              <w:t> </w:t>
            </w:r>
          </w:p>
        </w:tc>
        <w:tc>
          <w:tcPr>
            <w:tcW w:w="192" w:type="dxa"/>
            <w:tcBorders/>
            <w:shd w:fill="CCEEFF" w:val="clear"/>
            <w:vAlign w:val="center"/>
          </w:tcPr>
          <w:p>
            <w:pPr>
              <w:pStyle w:val="TableContents"/>
              <w:spacing w:before="0" w:after="283"/>
              <w:rPr/>
            </w:pPr>
            <w:r>
              <w:rPr/>
              <w:t> </w:t>
            </w:r>
          </w:p>
        </w:tc>
        <w:tc>
          <w:tcPr>
            <w:tcW w:w="1004" w:type="dxa"/>
            <w:tcBorders/>
            <w:shd w:fill="CCEEFF" w:val="clear"/>
            <w:vAlign w:val="center"/>
          </w:tcPr>
          <w:p>
            <w:pPr>
              <w:pStyle w:val="TableContents"/>
              <w:spacing w:before="0" w:after="283"/>
              <w:rPr/>
            </w:pPr>
            <w:r>
              <w:rPr/>
              <w:t> </w:t>
            </w:r>
          </w:p>
        </w:tc>
        <w:tc>
          <w:tcPr>
            <w:tcW w:w="85" w:type="dxa"/>
            <w:tcBorders/>
            <w:shd w:fill="CCEEFF" w:val="clear"/>
            <w:vAlign w:val="center"/>
          </w:tcPr>
          <w:p>
            <w:pPr>
              <w:pStyle w:val="TableContents"/>
              <w:spacing w:before="0" w:after="283"/>
              <w:rPr/>
            </w:pPr>
            <w:r>
              <w:rPr/>
              <w:t> </w:t>
            </w:r>
          </w:p>
        </w:tc>
      </w:tr>
      <w:tr>
        <w:trPr/>
        <w:tc>
          <w:tcPr>
            <w:tcW w:w="7454"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Cash paid for:</w:t>
            </w:r>
          </w:p>
        </w:tc>
        <w:tc>
          <w:tcPr>
            <w:tcW w:w="60" w:type="dxa"/>
            <w:tcBorders/>
            <w:shd w:fill="FFFFFF" w:val="clear"/>
            <w:vAlign w:val="center"/>
          </w:tcPr>
          <w:p>
            <w:pPr>
              <w:pStyle w:val="TableContents"/>
              <w:spacing w:before="0" w:after="283"/>
              <w:rPr/>
            </w:pPr>
            <w:r>
              <w:rPr/>
              <w:t> </w:t>
            </w:r>
          </w:p>
        </w:tc>
        <w:tc>
          <w:tcPr>
            <w:tcW w:w="192" w:type="dxa"/>
            <w:tcBorders/>
            <w:shd w:fill="FFFFFF" w:val="clear"/>
            <w:vAlign w:val="center"/>
          </w:tcPr>
          <w:p>
            <w:pPr>
              <w:pStyle w:val="TableContents"/>
              <w:spacing w:before="0" w:after="283"/>
              <w:rPr/>
            </w:pPr>
            <w:r>
              <w:rPr/>
              <w:t> </w:t>
            </w:r>
          </w:p>
        </w:tc>
        <w:tc>
          <w:tcPr>
            <w:tcW w:w="1004" w:type="dxa"/>
            <w:tcBorders/>
            <w:shd w:fill="FFFFFF" w:val="clear"/>
            <w:vAlign w:val="center"/>
          </w:tcPr>
          <w:p>
            <w:pPr>
              <w:pStyle w:val="TableContents"/>
              <w:spacing w:before="0" w:after="283"/>
              <w:rPr/>
            </w:pPr>
            <w:r>
              <w:rPr/>
              <w:t> </w:t>
            </w:r>
          </w:p>
        </w:tc>
        <w:tc>
          <w:tcPr>
            <w:tcW w:w="123" w:type="dxa"/>
            <w:tcBorders/>
            <w:shd w:fill="FFFFFF" w:val="clear"/>
            <w:vAlign w:val="center"/>
          </w:tcPr>
          <w:p>
            <w:pPr>
              <w:pStyle w:val="TableContents"/>
              <w:spacing w:before="0" w:after="283"/>
              <w:rPr/>
            </w:pPr>
            <w:r>
              <w:rPr/>
              <w:t> </w:t>
            </w:r>
          </w:p>
        </w:tc>
        <w:tc>
          <w:tcPr>
            <w:tcW w:w="91" w:type="dxa"/>
            <w:tcBorders/>
            <w:shd w:fill="FFFFFF" w:val="clear"/>
            <w:vAlign w:val="center"/>
          </w:tcPr>
          <w:p>
            <w:pPr>
              <w:pStyle w:val="TableContents"/>
              <w:spacing w:before="0" w:after="283"/>
              <w:rPr/>
            </w:pPr>
            <w:r>
              <w:rPr/>
              <w:t> </w:t>
            </w:r>
          </w:p>
        </w:tc>
        <w:tc>
          <w:tcPr>
            <w:tcW w:w="192" w:type="dxa"/>
            <w:tcBorders/>
            <w:shd w:fill="FFFFFF" w:val="clear"/>
            <w:vAlign w:val="center"/>
          </w:tcPr>
          <w:p>
            <w:pPr>
              <w:pStyle w:val="TableContents"/>
              <w:spacing w:before="0" w:after="283"/>
              <w:rPr/>
            </w:pPr>
            <w:r>
              <w:rPr/>
              <w:t> </w:t>
            </w:r>
          </w:p>
        </w:tc>
        <w:tc>
          <w:tcPr>
            <w:tcW w:w="1004" w:type="dxa"/>
            <w:tcBorders/>
            <w:shd w:fill="FFFFFF" w:val="clear"/>
            <w:vAlign w:val="center"/>
          </w:tcPr>
          <w:p>
            <w:pPr>
              <w:pStyle w:val="TableContents"/>
              <w:spacing w:before="0" w:after="283"/>
              <w:rPr/>
            </w:pPr>
            <w:r>
              <w:rPr/>
              <w:t> </w:t>
            </w:r>
          </w:p>
        </w:tc>
        <w:tc>
          <w:tcPr>
            <w:tcW w:w="85" w:type="dxa"/>
            <w:tcBorders/>
            <w:shd w:fill="FFFFFF" w:val="clear"/>
            <w:vAlign w:val="center"/>
          </w:tcPr>
          <w:p>
            <w:pPr>
              <w:pStyle w:val="TableContents"/>
              <w:spacing w:before="0" w:after="283"/>
              <w:rPr/>
            </w:pPr>
            <w:r>
              <w:rPr/>
              <w:t> </w:t>
            </w:r>
          </w:p>
        </w:tc>
      </w:tr>
      <w:tr>
        <w:trPr/>
        <w:tc>
          <w:tcPr>
            <w:tcW w:w="7454"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Interest, net of amounts capitalized</w:t>
            </w:r>
          </w:p>
        </w:tc>
        <w:tc>
          <w:tcPr>
            <w:tcW w:w="60" w:type="dxa"/>
            <w:tcBorders/>
            <w:shd w:fill="CCEEFF" w:val="clear"/>
            <w:vAlign w:val="center"/>
          </w:tcPr>
          <w:p>
            <w:pPr>
              <w:pStyle w:val="TableContents"/>
              <w:spacing w:before="0" w:after="283"/>
              <w:ind w:left="0" w:right="0" w:hanging="0"/>
              <w:rPr/>
            </w:pPr>
            <w:r>
              <w:rPr/>
              <w:t> </w:t>
            </w:r>
          </w:p>
        </w:tc>
        <w:tc>
          <w:tcPr>
            <w:tcW w:w="192"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004"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2,304</w:t>
            </w:r>
          </w:p>
        </w:tc>
        <w:tc>
          <w:tcPr>
            <w:tcW w:w="123" w:type="dxa"/>
            <w:tcBorders/>
            <w:shd w:fill="CCEEFF" w:val="clear"/>
            <w:vAlign w:val="center"/>
          </w:tcPr>
          <w:p>
            <w:pPr>
              <w:pStyle w:val="TableContents"/>
              <w:spacing w:before="0" w:after="283"/>
              <w:rPr/>
            </w:pPr>
            <w:r>
              <w:rPr/>
              <w:t> </w:t>
            </w:r>
          </w:p>
        </w:tc>
        <w:tc>
          <w:tcPr>
            <w:tcW w:w="91" w:type="dxa"/>
            <w:tcBorders/>
            <w:shd w:fill="CCEEFF" w:val="clear"/>
            <w:vAlign w:val="center"/>
          </w:tcPr>
          <w:p>
            <w:pPr>
              <w:pStyle w:val="TableContents"/>
              <w:spacing w:before="0" w:after="283"/>
              <w:ind w:left="0" w:right="0" w:hanging="0"/>
              <w:rPr/>
            </w:pPr>
            <w:r>
              <w:rPr/>
              <w:t> </w:t>
            </w:r>
          </w:p>
        </w:tc>
        <w:tc>
          <w:tcPr>
            <w:tcW w:w="192"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004"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2,406</w:t>
            </w:r>
          </w:p>
        </w:tc>
        <w:tc>
          <w:tcPr>
            <w:tcW w:w="85" w:type="dxa"/>
            <w:tcBorders/>
            <w:shd w:fill="CCEEFF" w:val="clear"/>
            <w:vAlign w:val="center"/>
          </w:tcPr>
          <w:p>
            <w:pPr>
              <w:pStyle w:val="TableContents"/>
              <w:spacing w:before="0" w:after="283"/>
              <w:rPr/>
            </w:pPr>
            <w:r>
              <w:rPr/>
              <w:t> </w:t>
            </w:r>
          </w:p>
        </w:tc>
      </w:tr>
      <w:tr>
        <w:trPr/>
        <w:tc>
          <w:tcPr>
            <w:tcW w:w="7454"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Non-cash investing and financing activities:</w:t>
            </w:r>
          </w:p>
        </w:tc>
        <w:tc>
          <w:tcPr>
            <w:tcW w:w="60" w:type="dxa"/>
            <w:tcBorders/>
            <w:shd w:fill="FFFFFF" w:val="clear"/>
            <w:vAlign w:val="center"/>
          </w:tcPr>
          <w:p>
            <w:pPr>
              <w:pStyle w:val="TableContents"/>
              <w:spacing w:before="0" w:after="283"/>
              <w:rPr/>
            </w:pPr>
            <w:r>
              <w:rPr/>
              <w:t> </w:t>
            </w:r>
          </w:p>
        </w:tc>
        <w:tc>
          <w:tcPr>
            <w:tcW w:w="192" w:type="dxa"/>
            <w:tcBorders/>
            <w:shd w:fill="FFFFFF" w:val="clear"/>
            <w:vAlign w:val="center"/>
          </w:tcPr>
          <w:p>
            <w:pPr>
              <w:pStyle w:val="TableContents"/>
              <w:spacing w:before="0" w:after="283"/>
              <w:rPr/>
            </w:pPr>
            <w:r>
              <w:rPr/>
              <w:t> </w:t>
            </w:r>
          </w:p>
        </w:tc>
        <w:tc>
          <w:tcPr>
            <w:tcW w:w="1004" w:type="dxa"/>
            <w:tcBorders/>
            <w:shd w:fill="FFFFFF" w:val="clear"/>
            <w:vAlign w:val="center"/>
          </w:tcPr>
          <w:p>
            <w:pPr>
              <w:pStyle w:val="TableContents"/>
              <w:spacing w:before="0" w:after="283"/>
              <w:rPr/>
            </w:pPr>
            <w:r>
              <w:rPr/>
              <w:t> </w:t>
            </w:r>
          </w:p>
        </w:tc>
        <w:tc>
          <w:tcPr>
            <w:tcW w:w="123" w:type="dxa"/>
            <w:tcBorders/>
            <w:shd w:fill="FFFFFF" w:val="clear"/>
            <w:vAlign w:val="center"/>
          </w:tcPr>
          <w:p>
            <w:pPr>
              <w:pStyle w:val="TableContents"/>
              <w:spacing w:before="0" w:after="283"/>
              <w:rPr/>
            </w:pPr>
            <w:r>
              <w:rPr/>
              <w:t> </w:t>
            </w:r>
          </w:p>
        </w:tc>
        <w:tc>
          <w:tcPr>
            <w:tcW w:w="91" w:type="dxa"/>
            <w:tcBorders/>
            <w:shd w:fill="FFFFFF" w:val="clear"/>
            <w:vAlign w:val="center"/>
          </w:tcPr>
          <w:p>
            <w:pPr>
              <w:pStyle w:val="TableContents"/>
              <w:spacing w:before="0" w:after="283"/>
              <w:rPr/>
            </w:pPr>
            <w:r>
              <w:rPr/>
              <w:t> </w:t>
            </w:r>
          </w:p>
        </w:tc>
        <w:tc>
          <w:tcPr>
            <w:tcW w:w="192" w:type="dxa"/>
            <w:tcBorders/>
            <w:shd w:fill="FFFFFF" w:val="clear"/>
            <w:vAlign w:val="center"/>
          </w:tcPr>
          <w:p>
            <w:pPr>
              <w:pStyle w:val="TableContents"/>
              <w:spacing w:before="0" w:after="283"/>
              <w:rPr/>
            </w:pPr>
            <w:r>
              <w:rPr/>
              <w:t> </w:t>
            </w:r>
          </w:p>
        </w:tc>
        <w:tc>
          <w:tcPr>
            <w:tcW w:w="1004" w:type="dxa"/>
            <w:tcBorders/>
            <w:shd w:fill="FFFFFF" w:val="clear"/>
            <w:vAlign w:val="center"/>
          </w:tcPr>
          <w:p>
            <w:pPr>
              <w:pStyle w:val="TableContents"/>
              <w:spacing w:before="0" w:after="283"/>
              <w:rPr/>
            </w:pPr>
            <w:r>
              <w:rPr/>
              <w:t> </w:t>
            </w:r>
          </w:p>
        </w:tc>
        <w:tc>
          <w:tcPr>
            <w:tcW w:w="85" w:type="dxa"/>
            <w:tcBorders/>
            <w:shd w:fill="FFFFFF" w:val="clear"/>
            <w:vAlign w:val="center"/>
          </w:tcPr>
          <w:p>
            <w:pPr>
              <w:pStyle w:val="TableContents"/>
              <w:spacing w:before="0" w:after="283"/>
              <w:rPr/>
            </w:pPr>
            <w:r>
              <w:rPr/>
              <w:t> </w:t>
            </w:r>
          </w:p>
        </w:tc>
      </w:tr>
      <w:tr>
        <w:trPr/>
        <w:tc>
          <w:tcPr>
            <w:tcW w:w="7454"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Net change in accounts payable related to property and equipment additions</w:t>
            </w:r>
          </w:p>
        </w:tc>
        <w:tc>
          <w:tcPr>
            <w:tcW w:w="60" w:type="dxa"/>
            <w:tcBorders/>
            <w:shd w:fill="CCEEFF" w:val="clear"/>
            <w:vAlign w:val="center"/>
          </w:tcPr>
          <w:p>
            <w:pPr>
              <w:pStyle w:val="TableContents"/>
              <w:spacing w:before="0" w:after="283"/>
              <w:rPr/>
            </w:pPr>
            <w:r>
              <w:rPr/>
              <w:t> </w:t>
            </w:r>
          </w:p>
        </w:tc>
        <w:tc>
          <w:tcPr>
            <w:tcW w:w="192" w:type="dxa"/>
            <w:tcBorders/>
            <w:shd w:fill="CCEEFF" w:val="clear"/>
            <w:vAlign w:val="center"/>
          </w:tcPr>
          <w:p>
            <w:pPr>
              <w:pStyle w:val="TableContents"/>
              <w:spacing w:before="0" w:after="283"/>
              <w:ind w:left="0" w:right="0" w:hanging="0"/>
              <w:rPr/>
            </w:pPr>
            <w:r>
              <w:rPr/>
              <w:t> </w:t>
            </w:r>
          </w:p>
        </w:tc>
        <w:tc>
          <w:tcPr>
            <w:tcW w:w="1004"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(20</w:t>
            </w:r>
          </w:p>
        </w:tc>
        <w:tc>
          <w:tcPr>
            <w:tcW w:w="123"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91" w:type="dxa"/>
            <w:tcBorders/>
            <w:shd w:fill="CCEEFF" w:val="clear"/>
            <w:vAlign w:val="center"/>
          </w:tcPr>
          <w:p>
            <w:pPr>
              <w:pStyle w:val="TableContents"/>
              <w:spacing w:before="0" w:after="283"/>
              <w:rPr/>
            </w:pPr>
            <w:r>
              <w:rPr/>
              <w:t> </w:t>
            </w:r>
          </w:p>
        </w:tc>
        <w:tc>
          <w:tcPr>
            <w:tcW w:w="192" w:type="dxa"/>
            <w:tcBorders/>
            <w:shd w:fill="CCEEFF" w:val="clear"/>
            <w:vAlign w:val="center"/>
          </w:tcPr>
          <w:p>
            <w:pPr>
              <w:pStyle w:val="TableContents"/>
              <w:spacing w:before="0" w:after="283"/>
              <w:ind w:left="0" w:right="0" w:hanging="0"/>
              <w:rPr/>
            </w:pPr>
            <w:r>
              <w:rPr/>
              <w:t> </w:t>
            </w:r>
          </w:p>
        </w:tc>
        <w:tc>
          <w:tcPr>
            <w:tcW w:w="1004"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19</w:t>
            </w:r>
          </w:p>
        </w:tc>
        <w:tc>
          <w:tcPr>
            <w:tcW w:w="85" w:type="dxa"/>
            <w:tcBorders/>
            <w:shd w:fill="CCEEFF" w:val="clear"/>
            <w:vAlign w:val="center"/>
          </w:tcPr>
          <w:p>
            <w:pPr>
              <w:pStyle w:val="TableContents"/>
              <w:spacing w:before="0" w:after="283"/>
              <w:rPr/>
            </w:pPr>
            <w:r>
              <w:rPr/>
              <w:t> </w:t>
            </w:r>
          </w:p>
        </w:tc>
      </w:tr>
      <w:tr>
        <w:trPr/>
        <w:tc>
          <w:tcPr>
            <w:tcW w:w="7454"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Net change in deposits and prepaid for equipment related to property and equipment additions</w:t>
            </w:r>
          </w:p>
        </w:tc>
        <w:tc>
          <w:tcPr>
            <w:tcW w:w="60" w:type="dxa"/>
            <w:tcBorders/>
            <w:shd w:fill="FFFFFF" w:val="clear"/>
            <w:vAlign w:val="center"/>
          </w:tcPr>
          <w:p>
            <w:pPr>
              <w:pStyle w:val="TableContents"/>
              <w:spacing w:before="0" w:after="283"/>
              <w:rPr/>
            </w:pPr>
            <w:r>
              <w:rPr/>
              <w:t> </w:t>
            </w:r>
          </w:p>
        </w:tc>
        <w:tc>
          <w:tcPr>
            <w:tcW w:w="192" w:type="dxa"/>
            <w:tcBorders/>
            <w:shd w:fill="FFFFFF" w:val="clear"/>
            <w:vAlign w:val="center"/>
          </w:tcPr>
          <w:p>
            <w:pPr>
              <w:pStyle w:val="TableContents"/>
              <w:spacing w:before="0" w:after="283"/>
              <w:ind w:left="0" w:right="0" w:hanging="0"/>
              <w:rPr/>
            </w:pPr>
            <w:r>
              <w:rPr/>
              <w:t> </w:t>
            </w:r>
          </w:p>
        </w:tc>
        <w:tc>
          <w:tcPr>
            <w:tcW w:w="1004"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(93</w:t>
            </w:r>
          </w:p>
        </w:tc>
        <w:tc>
          <w:tcPr>
            <w:tcW w:w="123"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91" w:type="dxa"/>
            <w:tcBorders/>
            <w:shd w:fill="FFFFFF" w:val="clear"/>
            <w:vAlign w:val="center"/>
          </w:tcPr>
          <w:p>
            <w:pPr>
              <w:pStyle w:val="TableContents"/>
              <w:spacing w:before="0" w:after="283"/>
              <w:rPr/>
            </w:pPr>
            <w:r>
              <w:rPr/>
              <w:t> </w:t>
            </w:r>
          </w:p>
        </w:tc>
        <w:tc>
          <w:tcPr>
            <w:tcW w:w="192" w:type="dxa"/>
            <w:tcBorders/>
            <w:shd w:fill="FFFFFF" w:val="clear"/>
            <w:vAlign w:val="center"/>
          </w:tcPr>
          <w:p>
            <w:pPr>
              <w:pStyle w:val="TableContents"/>
              <w:spacing w:before="0" w:after="283"/>
              <w:ind w:left="0" w:right="0" w:hanging="0"/>
              <w:rPr/>
            </w:pPr>
            <w:r>
              <w:rPr/>
              <w:t> </w:t>
            </w:r>
          </w:p>
        </w:tc>
        <w:tc>
          <w:tcPr>
            <w:tcW w:w="1004"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w:t>
            </w:r>
          </w:p>
        </w:tc>
        <w:tc>
          <w:tcPr>
            <w:tcW w:w="85" w:type="dxa"/>
            <w:tcBorders/>
            <w:shd w:fill="FFFFFF" w:val="clear"/>
            <w:vAlign w:val="center"/>
          </w:tcPr>
          <w:p>
            <w:pPr>
              <w:pStyle w:val="TableContents"/>
              <w:spacing w:before="0" w:after="283"/>
              <w:rPr/>
            </w:pPr>
            <w:r>
              <w:rPr/>
              <w:t> </w:t>
            </w:r>
          </w:p>
        </w:tc>
      </w:tr>
    </w:tbl>
    <w:p>
      <w:pPr>
        <w:pStyle w:val="TextBody"/>
        <w:spacing w:before="0" w:after="0"/>
        <w:ind w:left="0" w:right="0" w:hanging="0"/>
        <w:jc w:val="left"/>
        <w:rPr/>
      </w:pPr>
      <w:r>
        <w:rPr/>
        <w:t>​</w:t>
      </w:r>
    </w:p>
    <w:p>
      <w:pPr>
        <w:pStyle w:val="TextBody"/>
        <w:spacing w:before="0" w:after="0"/>
        <w:ind w:left="0" w:right="0" w:hanging="0"/>
        <w:jc w:val="center"/>
        <w:rPr>
          <w:rFonts w:ascii="Times New Roman;Times;serif" w:hAnsi="Times New Roman;Times;serif"/>
          <w:i/>
          <w:sz w:val="20"/>
        </w:rPr>
      </w:pPr>
      <w:r>
        <w:rPr>
          <w:rFonts w:ascii="Times New Roman;Times;serif" w:hAnsi="Times New Roman;Times;serif"/>
          <w:i/>
          <w:sz w:val="20"/>
        </w:rPr>
        <w:t>The accompanying notes are an integral part of these condensed consolidated financial statements.</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7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center"/>
        <w:rPr/>
      </w:pPr>
      <w:r>
        <w:rPr/>
        <w:t> </w:t>
      </w:r>
    </w:p>
    <w:p>
      <w:pPr>
        <w:pStyle w:val="TextBody"/>
        <w:spacing w:before="0" w:after="0"/>
        <w:ind w:left="0" w:right="0" w:hanging="0"/>
        <w:jc w:val="center"/>
        <w:rPr>
          <w:rFonts w:ascii="Times New Roman;Times;serif" w:hAnsi="Times New Roman;Times;serif"/>
          <w:b/>
          <w:sz w:val="20"/>
        </w:rPr>
      </w:pPr>
      <w:bookmarkStart w:id="10" w:name="notes"/>
      <w:bookmarkEnd w:id="10"/>
      <w:r>
        <w:rPr>
          <w:rFonts w:ascii="Times New Roman;Times;serif" w:hAnsi="Times New Roman;Times;serif"/>
          <w:b/>
          <w:sz w:val="20"/>
        </w:rPr>
        <w:t>Applied Optoelectronics, Inc. and Subsidiaries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rPr/>
      </w:pPr>
      <w:r>
        <w:rPr/>
        <w:t xml:space="preserve">  </w:t>
      </w:r>
    </w:p>
    <w:p>
      <w:pPr>
        <w:pStyle w:val="TextBody"/>
        <w:spacing w:before="0" w:after="0"/>
        <w:ind w:left="0" w:right="0" w:hanging="0"/>
        <w:rPr/>
      </w:pPr>
      <w:r>
        <w:rPr>
          <w:rFonts w:ascii="Times New Roman;Times;serif" w:hAnsi="Times New Roman;Times;serif"/>
          <w:b/>
          <w:sz w:val="20"/>
        </w:rPr>
        <w:t xml:space="preserve">Note </w:t>
      </w:r>
      <w:r>
        <w:rPr>
          <w:rStyle w:val="Emphasis"/>
          <w:rFonts w:ascii="Times New Roman;Times;serif" w:hAnsi="Times New Roman;Times;serif"/>
          <w:b/>
          <w:sz w:val="20"/>
        </w:rPr>
        <w:t>1.</w:t>
      </w:r>
      <w:r>
        <w:rPr>
          <w:rFonts w:ascii="Times New Roman;Times;serif" w:hAnsi="Times New Roman;Times;serif"/>
          <w:b/>
          <w:sz w:val="20"/>
        </w:rPr>
        <w:t xml:space="preserve">   Description of Business​</w:t>
      </w:r>
    </w:p>
    <w:p>
      <w:pPr>
        <w:pStyle w:val="TextBody"/>
        <w:spacing w:before="0" w:after="0"/>
        <w:ind w:left="0" w:right="0" w:hanging="0"/>
        <w:jc w:val="left"/>
        <w:rPr/>
      </w:pPr>
      <w:r>
        <w:rPr/>
        <w:t>​</w:t>
      </w:r>
    </w:p>
    <w:p>
      <w:pPr>
        <w:pStyle w:val="TextBody"/>
        <w:spacing w:before="0" w:after="0"/>
        <w:ind w:left="0" w:right="0" w:hanging="0"/>
        <w:jc w:val="left"/>
        <w:rPr>
          <w:rFonts w:ascii="Times New Roman;Times;serif" w:hAnsi="Times New Roman;Times;serif"/>
          <w:i/>
          <w:sz w:val="20"/>
        </w:rPr>
      </w:pPr>
      <w:r>
        <w:rPr>
          <w:rFonts w:ascii="Times New Roman;Times;serif" w:hAnsi="Times New Roman;Times;serif"/>
          <w:i/>
          <w:sz w:val="20"/>
        </w:rPr>
        <w:t>Business Overview</w:t>
      </w:r>
    </w:p>
    <w:p>
      <w:pPr>
        <w:pStyle w:val="TextBody"/>
        <w:spacing w:before="0" w:after="0"/>
        <w:ind w:left="0" w:right="0" w:hanging="0"/>
        <w:jc w:val="left"/>
        <w:rPr/>
      </w:pPr>
      <w:r>
        <w:rPr/>
        <w:t>​</w:t>
      </w:r>
    </w:p>
    <w:p>
      <w:pPr>
        <w:pStyle w:val="TextBody"/>
        <w:spacing w:before="0" w:after="0"/>
        <w:ind w:left="0" w:right="0" w:firstLine="720"/>
        <w:jc w:val="left"/>
        <w:rPr/>
      </w:pPr>
      <w:r>
        <w:rPr>
          <w:rFonts w:ascii="Times New Roman;Times;serif" w:hAnsi="Times New Roman;Times;serif"/>
          <w:sz w:val="20"/>
        </w:rPr>
        <w:t xml:space="preserve">Applied Optoelectronics, Inc. (“AOI” or the “Company”) is a Delaware corporation. The Company is a leading, vertically integrated provider of fiber-optic networking products, primarily for </w:t>
      </w:r>
      <w:r>
        <w:rPr>
          <w:rStyle w:val="Emphasis"/>
          <w:rFonts w:ascii="Times New Roman;Times;serif" w:hAnsi="Times New Roman;Times;serif"/>
          <w:sz w:val="20"/>
        </w:rPr>
        <w:t>four</w:t>
      </w:r>
      <w:r>
        <w:rPr>
          <w:rFonts w:ascii="Times New Roman;Times;serif" w:hAnsi="Times New Roman;Times;serif"/>
          <w:sz w:val="20"/>
        </w:rPr>
        <w:t xml:space="preserve"> networking end-markets: cable television ("CATV"), internet data center, telecommunications ("telecom") and fiber-to-the-home ("FTTH"). The Company designs and manufactures a wide range of optical communications products at varying levels of integration, from components, subassemblies and modules to complete turn-key equipment.</w:t>
      </w:r>
    </w:p>
    <w:p>
      <w:pPr>
        <w:pStyle w:val="TextBody"/>
        <w:spacing w:before="0" w:after="0"/>
        <w:ind w:left="0" w:right="0" w:firstLine="720"/>
        <w:jc w:val="left"/>
        <w:rPr/>
      </w:pPr>
      <w:r>
        <w:rPr/>
        <w:t>​</w:t>
      </w:r>
    </w:p>
    <w:p>
      <w:pPr>
        <w:pStyle w:val="TextBody"/>
        <w:spacing w:before="0" w:after="0"/>
        <w:ind w:left="0" w:right="0" w:firstLine="720"/>
        <w:jc w:val="left"/>
        <w:rPr>
          <w:rFonts w:ascii="Times New Roman;Times;serif" w:hAnsi="Times New Roman;Times;serif"/>
          <w:sz w:val="20"/>
        </w:rPr>
      </w:pPr>
      <w:r>
        <w:rPr>
          <w:rFonts w:ascii="Times New Roman;Times;serif" w:hAnsi="Times New Roman;Times;serif"/>
          <w:sz w:val="20"/>
        </w:rPr>
        <w:t>The Company has manufacturing and research and development facilities located in the U.S., Taiwan and China. In the U.S., at its corporate headquarters and manufacturing facilities in Sugar Land, Texas, the Company primarily manufactures lasers and laser components and performs research and development activities for laser component and optical module products. In addition, the Company also has a research and development facility in Duluth, Georgia. The Company operates in Taipei, Taiwan and Ningbo, China through its wholly-owned subsidiary Prime World International Holdings, Ltd. (“Prime World”, incorporated in the British Virgin Islands). Prime World operates a branch in Taipei, Taiwan, which primarily manufactures transceivers and performs research and development activities for the transceiver products. Prime World is also the parent of Global Technology, Inc. (“Global”, incorporated in the People’s Republic of China). Through Global, the Company primarily manufactures certain of its data center transceiver products, including subassemblies, as well as CATV systems and equipment, and performs research and development activities for the CATV products.</w:t>
      </w:r>
    </w:p>
    <w:p>
      <w:pPr>
        <w:pStyle w:val="TextBody"/>
        <w:spacing w:before="0" w:after="0"/>
        <w:ind w:left="0" w:right="0" w:hanging="0"/>
        <w:jc w:val="left"/>
        <w:rPr/>
      </w:pPr>
      <w:r>
        <w:rPr/>
        <w:t>​</w:t>
      </w:r>
    </w:p>
    <w:p>
      <w:pPr>
        <w:pStyle w:val="TextBody"/>
        <w:spacing w:before="0" w:after="0"/>
        <w:ind w:left="0" w:right="0" w:hanging="0"/>
        <w:jc w:val="left"/>
        <w:rPr>
          <w:rFonts w:ascii="Times New Roman;Times;serif" w:hAnsi="Times New Roman;Times;serif"/>
          <w:i/>
          <w:sz w:val="20"/>
        </w:rPr>
      </w:pPr>
      <w:r>
        <w:rPr>
          <w:rFonts w:ascii="Times New Roman;Times;serif" w:hAnsi="Times New Roman;Times;serif"/>
          <w:i/>
          <w:sz w:val="20"/>
        </w:rPr>
        <w:t>Interim Financial Statements</w:t>
      </w:r>
    </w:p>
    <w:p>
      <w:pPr>
        <w:pStyle w:val="TextBody"/>
        <w:spacing w:before="0" w:after="0"/>
        <w:ind w:left="0" w:right="0" w:hanging="0"/>
        <w:jc w:val="left"/>
        <w:rPr/>
      </w:pPr>
      <w:r>
        <w:rPr/>
        <w:t>​</w:t>
      </w:r>
    </w:p>
    <w:p>
      <w:pPr>
        <w:pStyle w:val="TextBody"/>
        <w:spacing w:before="0" w:after="0"/>
        <w:ind w:left="0" w:right="0" w:firstLine="720"/>
        <w:jc w:val="left"/>
        <w:rPr/>
      </w:pPr>
      <w:r>
        <w:rPr>
          <w:rFonts w:ascii="Times New Roman;Times;serif" w:hAnsi="Times New Roman;Times;serif"/>
          <w:sz w:val="20"/>
        </w:rPr>
        <w:t xml:space="preserve">The unaudited condensed consolidated financial statements of the Company as of </w:t>
      </w:r>
      <w:r>
        <w:rPr>
          <w:rStyle w:val="Emphasis"/>
          <w:rFonts w:ascii="Times New Roman;Times;serif" w:hAnsi="Times New Roman;Times;serif"/>
          <w:sz w:val="20"/>
        </w:rPr>
        <w:t>March 31, 2023</w:t>
      </w:r>
      <w:r>
        <w:rPr>
          <w:rFonts w:ascii="Times New Roman;Times;serif" w:hAnsi="Times New Roman;Times;serif"/>
          <w:sz w:val="20"/>
        </w:rPr>
        <w:t xml:space="preserve"> and </w:t>
      </w:r>
      <w:r>
        <w:rPr>
          <w:rStyle w:val="Emphasis"/>
          <w:rFonts w:ascii="Times New Roman;Times;serif" w:hAnsi="Times New Roman;Times;serif"/>
          <w:sz w:val="20"/>
        </w:rPr>
        <w:t>December 31, 2022</w:t>
      </w:r>
      <w:r>
        <w:rPr>
          <w:rFonts w:ascii="Times New Roman;Times;serif" w:hAnsi="Times New Roman;Times;serif"/>
          <w:sz w:val="20"/>
        </w:rPr>
        <w:t xml:space="preserve"> and 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March 31, 2023</w:t>
      </w:r>
      <w:r>
        <w:rPr>
          <w:rFonts w:ascii="Times New Roman;Times;serif" w:hAnsi="Times New Roman;Times;serif"/>
          <w:sz w:val="20"/>
        </w:rPr>
        <w:t xml:space="preserve"> and </w:t>
      </w:r>
      <w:r>
        <w:rPr>
          <w:rStyle w:val="Emphasis"/>
          <w:rFonts w:ascii="Times New Roman;Times;serif" w:hAnsi="Times New Roman;Times;serif"/>
          <w:sz w:val="20"/>
        </w:rPr>
        <w:t>March 31, 2022</w:t>
      </w:r>
      <w:r>
        <w:rPr>
          <w:rFonts w:ascii="Times New Roman;Times;serif" w:hAnsi="Times New Roman;Times;serif"/>
          <w:sz w:val="20"/>
        </w:rPr>
        <w:t xml:space="preserve">, have been prepared in accordance with accounting principles generally accepted in the United States of America (“GAAP”) for interim information and with the instructions on Form </w:t>
      </w:r>
      <w:r>
        <w:rPr>
          <w:rStyle w:val="Emphasis"/>
          <w:rFonts w:ascii="Times New Roman;Times;serif" w:hAnsi="Times New Roman;Times;serif"/>
          <w:sz w:val="20"/>
        </w:rPr>
        <w:t>10</w:t>
      </w:r>
      <w:r>
        <w:rPr>
          <w:rFonts w:ascii="Times New Roman;Times;serif" w:hAnsi="Times New Roman;Times;serif"/>
          <w:sz w:val="20"/>
        </w:rPr>
        <w:t xml:space="preserve">-Q and Rule </w:t>
      </w:r>
      <w:r>
        <w:rPr>
          <w:rStyle w:val="Emphasis"/>
          <w:rFonts w:ascii="Times New Roman;Times;serif" w:hAnsi="Times New Roman;Times;serif"/>
          <w:sz w:val="20"/>
        </w:rPr>
        <w:t>10</w:t>
      </w:r>
      <w:r>
        <w:rPr>
          <w:rFonts w:ascii="Times New Roman;Times;serif" w:hAnsi="Times New Roman;Times;serif"/>
          <w:sz w:val="20"/>
        </w:rPr>
        <w:t>-</w:t>
      </w:r>
      <w:r>
        <w:rPr>
          <w:rStyle w:val="Emphasis"/>
          <w:rFonts w:ascii="Times New Roman;Times;serif" w:hAnsi="Times New Roman;Times;serif"/>
          <w:sz w:val="20"/>
        </w:rPr>
        <w:t>01</w:t>
      </w:r>
      <w:r>
        <w:rPr>
          <w:rFonts w:ascii="Times New Roman;Times;serif" w:hAnsi="Times New Roman;Times;serif"/>
          <w:sz w:val="20"/>
        </w:rPr>
        <w:t xml:space="preserve"> of Regulation S-</w:t>
      </w:r>
      <w:r>
        <w:rPr>
          <w:rStyle w:val="Emphasis"/>
          <w:rFonts w:ascii="Times New Roman;Times;serif" w:hAnsi="Times New Roman;Times;serif"/>
          <w:sz w:val="20"/>
        </w:rPr>
        <w:t>X</w:t>
      </w:r>
      <w:r>
        <w:rPr>
          <w:rFonts w:ascii="Times New Roman;Times;serif" w:hAnsi="Times New Roman;Times;serif"/>
          <w:sz w:val="20"/>
        </w:rPr>
        <w:t xml:space="preserve"> pursuant to the rules and regulations of the Securities and Exchange Commission (“SEC”). In accordance with those rules and regulations, the Company has omitted certain information and notes required by GAAP for annual consolidated financial statements. In the opinion of management, the condensed consolidated financial statements contain all adjustments, except as otherwise noted, necessary for the fair presentation of the Company’s financial position and results of operations for the periods presented. The year-end condensed balance sheet data was derived from audited financial statements. These condensed consolidated financial statements should be read in conjunction with the Consolidated Financial Statements and Notes thereto included in the Company’s Annual Report on Form </w:t>
      </w:r>
      <w:r>
        <w:rPr>
          <w:rStyle w:val="Emphasis"/>
          <w:rFonts w:ascii="Times New Roman;Times;serif" w:hAnsi="Times New Roman;Times;serif"/>
          <w:sz w:val="20"/>
        </w:rPr>
        <w:t>10</w:t>
      </w:r>
      <w:r>
        <w:rPr>
          <w:rFonts w:ascii="Times New Roman;Times;serif" w:hAnsi="Times New Roman;Times;serif"/>
          <w:sz w:val="20"/>
        </w:rPr>
        <w:t xml:space="preserve">-K (“Annual Report”) for the fiscal year ended </w:t>
      </w:r>
      <w:r>
        <w:rPr>
          <w:rStyle w:val="Emphasis"/>
          <w:rFonts w:ascii="Times New Roman;Times;serif" w:hAnsi="Times New Roman;Times;serif"/>
          <w:sz w:val="20"/>
        </w:rPr>
        <w:t>December 31, 2022</w:t>
      </w:r>
      <w:r>
        <w:rPr>
          <w:rFonts w:ascii="Times New Roman;Times;serif" w:hAnsi="Times New Roman;Times;serif"/>
          <w:sz w:val="20"/>
        </w:rPr>
        <w:t xml:space="preserve">. The results of operations 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March 31, 2023</w:t>
      </w:r>
      <w:r>
        <w:rPr>
          <w:rFonts w:ascii="Times New Roman;Times;serif" w:hAnsi="Times New Roman;Times;serif"/>
          <w:sz w:val="20"/>
        </w:rPr>
        <w:t xml:space="preserve"> are </w:t>
      </w:r>
      <w:r>
        <w:rPr>
          <w:rStyle w:val="Emphasis"/>
          <w:rFonts w:ascii="Times New Roman;Times;serif" w:hAnsi="Times New Roman;Times;serif"/>
          <w:sz w:val="20"/>
        </w:rPr>
        <w:t>not</w:t>
      </w:r>
      <w:r>
        <w:rPr>
          <w:rFonts w:ascii="Times New Roman;Times;serif" w:hAnsi="Times New Roman;Times;serif"/>
          <w:sz w:val="20"/>
        </w:rPr>
        <w:t xml:space="preserve"> necessarily indicative of the results expected for the entire fiscal year. All significant inter-company accounts and transactions have been eliminated.</w:t>
      </w:r>
    </w:p>
    <w:p>
      <w:pPr>
        <w:pStyle w:val="TextBody"/>
        <w:spacing w:before="0" w:after="0"/>
        <w:ind w:left="0" w:right="0" w:firstLine="720"/>
        <w:jc w:val="left"/>
        <w:rPr/>
      </w:pPr>
      <w:r>
        <w:rPr/>
        <w:t>​</w:t>
      </w:r>
    </w:p>
    <w:p>
      <w:pPr>
        <w:pStyle w:val="TextBody"/>
        <w:spacing w:before="0" w:after="0"/>
        <w:ind w:left="0" w:right="0" w:hanging="0"/>
        <w:jc w:val="left"/>
        <w:rPr>
          <w:rFonts w:ascii="Times New Roman;Times;serif" w:hAnsi="Times New Roman;Times;serif"/>
          <w:i/>
          <w:sz w:val="20"/>
        </w:rPr>
      </w:pPr>
      <w:r>
        <w:rPr>
          <w:rFonts w:ascii="Times New Roman;Times;serif" w:hAnsi="Times New Roman;Times;serif"/>
          <w:i/>
          <w:sz w:val="20"/>
        </w:rPr>
        <w:t>Use of Estimates</w:t>
      </w:r>
    </w:p>
    <w:p>
      <w:pPr>
        <w:pStyle w:val="TextBody"/>
        <w:spacing w:before="0" w:after="0"/>
        <w:ind w:left="0" w:right="0" w:hanging="0"/>
        <w:jc w:val="left"/>
        <w:rPr/>
      </w:pPr>
      <w:r>
        <w:rPr/>
        <w:t>​</w:t>
      </w:r>
    </w:p>
    <w:p>
      <w:pPr>
        <w:pStyle w:val="TextBody"/>
        <w:spacing w:before="0" w:after="0"/>
        <w:ind w:left="0" w:right="0" w:firstLine="720"/>
        <w:jc w:val="left"/>
        <w:rPr>
          <w:rFonts w:ascii="Times New Roman;Times;serif" w:hAnsi="Times New Roman;Times;serif"/>
          <w:sz w:val="20"/>
        </w:rPr>
      </w:pPr>
      <w:r>
        <w:rPr>
          <w:rFonts w:ascii="Times New Roman;Times;serif" w:hAnsi="Times New Roman;Times;serif"/>
          <w:sz w:val="20"/>
        </w:rPr>
        <w:t>The preparation of financial statements in conformity with GAAP requires management to make estimates and assumptions that affect the amounts reported. Actual results could differ from those estimates in the consolidated financial statement</w:t>
      </w:r>
      <w:r>
        <w:rPr>
          <w:rFonts w:ascii="Times New Roman;Times;serif" w:hAnsi="Times New Roman;Times;serif"/>
          <w:sz w:val="20"/>
          <w:highlight w:val="white"/>
        </w:rPr>
        <w:t>s and accompanying notes. Significant estimates and assumptions that impact these financial statements and the accompanying notes relate to, among other things, allowance for doubtful accounts, inventory reserve, impairment of long-lived assets, service and product warranty costs, share-based compensation expense, estimated useful lives of property and equipment, and taxes.</w:t>
      </w:r>
    </w:p>
    <w:p>
      <w:pPr>
        <w:pStyle w:val="TextBody"/>
        <w:spacing w:before="0" w:after="0"/>
        <w:ind w:left="0" w:right="0" w:firstLine="720"/>
        <w:jc w:val="left"/>
        <w:rPr/>
      </w:pPr>
      <w:r>
        <w:rPr/>
        <w:t> </w:t>
      </w:r>
    </w:p>
    <w:p>
      <w:pPr>
        <w:pStyle w:val="TextBody"/>
        <w:spacing w:before="0" w:after="0"/>
        <w:ind w:left="160" w:right="0" w:hanging="180"/>
        <w:rPr>
          <w:rFonts w:ascii="Times New Roman" w:hAnsi="Times New Roman"/>
          <w:i/>
          <w:caps w:val="false"/>
          <w:smallCaps w:val="false"/>
          <w:sz w:val="20"/>
        </w:rPr>
      </w:pPr>
      <w:r>
        <w:rPr>
          <w:rFonts w:ascii="Times New Roman" w:hAnsi="Times New Roman"/>
          <w:i/>
          <w:caps w:val="false"/>
          <w:smallCaps w:val="false"/>
          <w:sz w:val="20"/>
        </w:rPr>
        <w:t>Divestiture Agreement with Yuhan Optoelectronic Technology (Shanghai) Co., Ltd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September 15, 2022, </w:t>
      </w:r>
      <w:r>
        <w:rPr>
          <w:rFonts w:ascii="Times New Roman" w:hAnsi="Times New Roman"/>
          <w:caps w:val="false"/>
          <w:smallCaps w:val="false"/>
          <w:sz w:val="20"/>
        </w:rPr>
        <w:t>the Company entered into a definitive purchase agreement with Yuhan Optoelectronic Technology (Shanghai) Co., Ltd ("Purchaser"), which is a company incorporated in the People's Republic of China ("PRC"), to divest the Company's manufacturing facilities in PRC and certain assets related to its transceiver business and multi-channel optical sub-assembly products (collectively, the "Divestiture"). The closing of the transaction is subject to the satisfaction of certain closing conditions, including the approval from the Committee on Foreign Investment in the United States ("CFIUS"). </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The purchase price will be an amount equal to the $150 million USD equivalent of Renminbi, less a holdback amount. Prior to the closing of the transaction the Company anticipates investing an amount equal to between 4% and 10% of the estimated proceeds from the transaction in exchange for a 10% equity interest in the Purchaser. </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pPr>
      <w:r>
        <w:rPr>
          <w:rFonts w:ascii="Times New Roman" w:hAnsi="Times New Roman"/>
          <w:caps w:val="false"/>
          <w:smallCaps w:val="false"/>
          <w:sz w:val="20"/>
        </w:rPr>
        <w:t>Our management has performed an evaluation as required by ASC-</w:t>
      </w:r>
      <w:r>
        <w:rPr>
          <w:rStyle w:val="Emphasis"/>
          <w:rFonts w:ascii="Times New Roman" w:hAnsi="Times New Roman"/>
          <w:caps w:val="false"/>
          <w:smallCaps w:val="false"/>
          <w:sz w:val="20"/>
        </w:rPr>
        <w:t>360</w:t>
      </w:r>
      <w:r>
        <w:rPr>
          <w:rFonts w:ascii="Times New Roman" w:hAnsi="Times New Roman"/>
          <w:caps w:val="false"/>
          <w:smallCaps w:val="false"/>
          <w:sz w:val="20"/>
        </w:rPr>
        <w:t>-</w:t>
      </w:r>
      <w:r>
        <w:rPr>
          <w:rStyle w:val="Emphasis"/>
          <w:rFonts w:ascii="Times New Roman" w:hAnsi="Times New Roman"/>
          <w:caps w:val="false"/>
          <w:smallCaps w:val="false"/>
          <w:sz w:val="20"/>
        </w:rPr>
        <w:t>10</w:t>
      </w:r>
      <w:r>
        <w:rPr>
          <w:rFonts w:ascii="Times New Roman" w:hAnsi="Times New Roman"/>
          <w:caps w:val="false"/>
          <w:smallCaps w:val="false"/>
          <w:sz w:val="20"/>
        </w:rPr>
        <w:t>-</w:t>
      </w:r>
      <w:r>
        <w:rPr>
          <w:rStyle w:val="Emphasis"/>
          <w:rFonts w:ascii="Times New Roman" w:hAnsi="Times New Roman"/>
          <w:caps w:val="false"/>
          <w:smallCaps w:val="false"/>
          <w:sz w:val="20"/>
        </w:rPr>
        <w:t>45</w:t>
      </w:r>
      <w:r>
        <w:rPr>
          <w:rFonts w:ascii="Times New Roman" w:hAnsi="Times New Roman"/>
          <w:caps w:val="false"/>
          <w:smallCaps w:val="false"/>
          <w:sz w:val="20"/>
        </w:rPr>
        <w:t>-</w:t>
      </w:r>
      <w:r>
        <w:rPr>
          <w:rStyle w:val="Emphasis"/>
          <w:rFonts w:ascii="Times New Roman" w:hAnsi="Times New Roman"/>
          <w:caps w:val="false"/>
          <w:smallCaps w:val="false"/>
          <w:sz w:val="20"/>
        </w:rPr>
        <w:t>9</w:t>
      </w:r>
      <w:r>
        <w:rPr>
          <w:rFonts w:ascii="Times New Roman" w:hAnsi="Times New Roman"/>
          <w:caps w:val="false"/>
          <w:smallCaps w:val="false"/>
          <w:sz w:val="20"/>
        </w:rPr>
        <w:t xml:space="preserve"> to determine whether to classify certain of our assets and liabilities as held for sale as of </w:t>
      </w:r>
      <w:r>
        <w:rPr>
          <w:rStyle w:val="Emphasis"/>
          <w:rFonts w:ascii="Times New Roman" w:hAnsi="Times New Roman"/>
          <w:caps w:val="false"/>
          <w:smallCaps w:val="false"/>
          <w:sz w:val="20"/>
          <w:highlight w:val="white"/>
        </w:rPr>
        <w:t xml:space="preserve"> March 31, 2023</w:t>
      </w:r>
      <w:r>
        <w:rPr>
          <w:rFonts w:ascii="Times New Roman" w:hAnsi="Times New Roman"/>
          <w:caps w:val="false"/>
          <w:smallCaps w:val="false"/>
          <w:sz w:val="20"/>
        </w:rPr>
        <w:t xml:space="preserve">. ASC </w:t>
      </w:r>
      <w:r>
        <w:rPr>
          <w:rStyle w:val="Emphasis"/>
          <w:rFonts w:ascii="Times New Roman" w:hAnsi="Times New Roman"/>
          <w:caps w:val="false"/>
          <w:smallCaps w:val="false"/>
          <w:sz w:val="20"/>
        </w:rPr>
        <w:t>360</w:t>
      </w:r>
      <w:r>
        <w:rPr>
          <w:rFonts w:ascii="Times New Roman" w:hAnsi="Times New Roman"/>
          <w:caps w:val="false"/>
          <w:smallCaps w:val="false"/>
          <w:sz w:val="20"/>
        </w:rPr>
        <w:t xml:space="preserve"> requires that a company classifies a business as held for sale in the period in which management commits to a plan to sell the business, the business is available for immediate sale in its present condition, an active program to complete the plan to sell the business is initiated, the sale of the business within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 is probable and the business is being marketed at a reasonable price in relation to its fair value. Although we have announced the execution of a definitive purchase agreement regarding the Divestiture, completion of this transaction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certain for reasons that include the fact that the proposed sale is subject to regulatory approval in the US and China, the timing and likelihood of which is uncertain and beyond our control, and the fact that we cannot be certain that the buyer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request modification of terms within the definitive purchase agreement. As a result, we have concluded that at the present time the business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"available for immediate sale" under the meaning defined in ASC </w:t>
      </w:r>
      <w:r>
        <w:rPr>
          <w:rStyle w:val="Emphasis"/>
          <w:rFonts w:ascii="Times New Roman" w:hAnsi="Times New Roman"/>
          <w:caps w:val="false"/>
          <w:smallCaps w:val="false"/>
          <w:sz w:val="20"/>
        </w:rPr>
        <w:t>360</w:t>
      </w:r>
      <w:r>
        <w:rPr>
          <w:rFonts w:ascii="Times New Roman" w:hAnsi="Times New Roman"/>
          <w:caps w:val="false"/>
          <w:smallCaps w:val="false"/>
          <w:sz w:val="20"/>
        </w:rPr>
        <w:t xml:space="preserve"> and therefore </w:t>
      </w:r>
      <w:r>
        <w:rPr>
          <w:rStyle w:val="Emphasis"/>
          <w:rFonts w:ascii="Times New Roman" w:hAnsi="Times New Roman"/>
          <w:caps w:val="false"/>
          <w:smallCaps w:val="false"/>
          <w:sz w:val="20"/>
        </w:rPr>
        <w:t>none</w:t>
      </w:r>
      <w:r>
        <w:rPr>
          <w:rFonts w:ascii="Times New Roman" w:hAnsi="Times New Roman"/>
          <w:caps w:val="false"/>
          <w:smallCaps w:val="false"/>
          <w:sz w:val="20"/>
        </w:rPr>
        <w:t xml:space="preserve"> of our assets or liabilities should be classified as held for sale.</w:t>
      </w:r>
    </w:p>
    <w:p>
      <w:pPr>
        <w:pStyle w:val="TextBody"/>
        <w:ind w:left="0" w:right="0" w:firstLine="180"/>
        <w:rPr/>
      </w:pPr>
      <w:r>
        <w:rPr/>
        <w:t> </w:t>
      </w:r>
    </w:p>
    <w:p>
      <w:pPr>
        <w:pStyle w:val="TextBody"/>
        <w:spacing w:before="0" w:after="0"/>
        <w:jc w:val="center"/>
        <w:rPr/>
      </w:pPr>
      <w:r>
        <w:rPr>
          <w:rStyle w:val="Emphasis"/>
          <w:rFonts w:ascii="Times New Roman" w:hAnsi="Times New Roman"/>
          <w:sz w:val="20"/>
        </w:rPr>
        <w:t>8</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rPr/>
      </w:pPr>
      <w:r>
        <w:rPr/>
        <w:t xml:space="preserve">  </w:t>
      </w:r>
    </w:p>
    <w:p>
      <w:pPr>
        <w:pStyle w:val="TextBody"/>
        <w:rPr/>
      </w:pPr>
      <w:r>
        <w:rPr/>
        <w:t xml:space="preserve">  </w:t>
      </w:r>
    </w:p>
    <w:p>
      <w:pPr>
        <w:pStyle w:val="TextBody"/>
        <w:spacing w:before="0" w:after="0"/>
        <w:ind w:left="0" w:right="0" w:hanging="0"/>
        <w:jc w:val="left"/>
        <w:rPr/>
      </w:pPr>
      <w:r>
        <w:rPr>
          <w:rFonts w:ascii="Times New Roman;Times;serif" w:hAnsi="Times New Roman;Times;serif"/>
          <w:b/>
          <w:sz w:val="20"/>
        </w:rPr>
        <w:t xml:space="preserve">Note </w:t>
      </w:r>
      <w:r>
        <w:rPr>
          <w:rStyle w:val="Emphasis"/>
          <w:rFonts w:ascii="Times New Roman;Times;serif" w:hAnsi="Times New Roman;Times;serif"/>
          <w:b/>
          <w:sz w:val="20"/>
        </w:rPr>
        <w:t>2.</w:t>
      </w:r>
      <w:r>
        <w:rPr>
          <w:rFonts w:ascii="Times New Roman;Times;serif" w:hAnsi="Times New Roman;Times;serif"/>
          <w:b/>
          <w:sz w:val="20"/>
        </w:rPr>
        <w:t>  Significant Accounting Policies</w:t>
      </w:r>
    </w:p>
    <w:p>
      <w:pPr>
        <w:pStyle w:val="TextBody"/>
        <w:spacing w:before="0" w:after="0"/>
        <w:ind w:left="0" w:right="0" w:hanging="0"/>
        <w:jc w:val="left"/>
        <w:rPr/>
      </w:pPr>
      <w:r>
        <w:rPr/>
        <w:t>​</w:t>
      </w:r>
    </w:p>
    <w:p>
      <w:pPr>
        <w:pStyle w:val="TextBody"/>
        <w:spacing w:before="0" w:after="0"/>
        <w:ind w:left="0" w:right="0" w:firstLine="720"/>
        <w:jc w:val="left"/>
        <w:rPr/>
      </w:pPr>
      <w:r>
        <w:rPr>
          <w:rFonts w:ascii="Times New Roman;Times;serif" w:hAnsi="Times New Roman;Times;serif"/>
          <w:sz w:val="20"/>
        </w:rPr>
        <w:t xml:space="preserve">There have been </w:t>
      </w:r>
      <w:r>
        <w:rPr>
          <w:rStyle w:val="Emphasis"/>
          <w:rFonts w:ascii="Times New Roman;Times;serif" w:hAnsi="Times New Roman;Times;serif"/>
          <w:sz w:val="20"/>
        </w:rPr>
        <w:t>no</w:t>
      </w:r>
      <w:r>
        <w:rPr>
          <w:rFonts w:ascii="Times New Roman;Times;serif" w:hAnsi="Times New Roman;Times;serif"/>
          <w:sz w:val="20"/>
        </w:rPr>
        <w:t xml:space="preserve"> changes in the Company’s significant accounting policies 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March 31, 2023</w:t>
      </w:r>
      <w:r>
        <w:rPr>
          <w:rFonts w:ascii="Times New Roman;Times;serif" w:hAnsi="Times New Roman;Times;serif"/>
          <w:sz w:val="20"/>
        </w:rPr>
        <w:t xml:space="preserve">, as compared to the significant accounting policies described in its </w:t>
      </w:r>
      <w:r>
        <w:rPr>
          <w:rStyle w:val="Emphasis"/>
          <w:rFonts w:ascii="Times New Roman;Times;serif" w:hAnsi="Times New Roman;Times;serif"/>
          <w:sz w:val="20"/>
        </w:rPr>
        <w:t>2022</w:t>
      </w:r>
      <w:r>
        <w:rPr>
          <w:rFonts w:ascii="Times New Roman;Times;serif" w:hAnsi="Times New Roman;Times;serif"/>
          <w:sz w:val="20"/>
        </w:rPr>
        <w:t xml:space="preserve"> Annual Report.</w:t>
      </w:r>
    </w:p>
    <w:p>
      <w:pPr>
        <w:pStyle w:val="TextBody"/>
        <w:spacing w:before="0" w:after="0"/>
        <w:rPr/>
      </w:pPr>
      <w:r>
        <w:rPr/>
        <w:t>​</w:t>
      </w:r>
    </w:p>
    <w:p>
      <w:pPr>
        <w:pStyle w:val="TextBody"/>
        <w:spacing w:before="0" w:after="0"/>
        <w:ind w:left="0" w:right="0" w:hanging="0"/>
        <w:jc w:val="left"/>
        <w:rPr>
          <w:rFonts w:ascii="Times New Roman;Times;serif" w:hAnsi="Times New Roman;Times;serif"/>
          <w:sz w:val="20"/>
        </w:rPr>
      </w:pPr>
      <w:r>
        <w:rPr>
          <w:rFonts w:ascii="Times New Roman;Times;serif" w:hAnsi="Times New Roman;Times;serif"/>
          <w:sz w:val="20"/>
        </w:rPr>
        <w:t>Recent Accounting Pronouncements</w:t>
      </w:r>
    </w:p>
    <w:p>
      <w:pPr>
        <w:pStyle w:val="TextBody"/>
        <w:spacing w:before="0" w:after="0"/>
        <w:ind w:left="0" w:right="0" w:hanging="0"/>
        <w:jc w:val="left"/>
        <w:rPr>
          <w:highlight w:val="white"/>
        </w:rPr>
      </w:pPr>
      <w:r>
        <w:rPr>
          <w:highlight w:val="white"/>
        </w:rPr>
        <w:t>​</w:t>
      </w:r>
    </w:p>
    <w:p>
      <w:pPr>
        <w:pStyle w:val="TextBody"/>
        <w:spacing w:before="0" w:after="0"/>
        <w:ind w:left="0" w:right="0" w:hanging="0"/>
        <w:jc w:val="left"/>
        <w:rPr>
          <w:highlight w:val="white"/>
        </w:rPr>
      </w:pPr>
      <w:r>
        <w:rPr>
          <w:highlight w:val="white"/>
        </w:rPr>
        <w:t>​</w:t>
      </w:r>
    </w:p>
    <w:p>
      <w:pPr>
        <w:pStyle w:val="TextBody"/>
        <w:spacing w:before="0" w:after="0"/>
        <w:ind w:left="0" w:right="0" w:hanging="0"/>
        <w:jc w:val="left"/>
        <w:rPr>
          <w:rFonts w:ascii="Times New Roman;Times;serif" w:hAnsi="Times New Roman;Times;serif"/>
          <w:i/>
          <w:sz w:val="20"/>
          <w:highlight w:val="white"/>
        </w:rPr>
      </w:pPr>
      <w:r>
        <w:rPr>
          <w:rFonts w:ascii="Times New Roman;Times;serif" w:hAnsi="Times New Roman;Times;serif"/>
          <w:i/>
          <w:sz w:val="20"/>
          <w:highlight w:val="white"/>
        </w:rPr>
        <w:t>Recent Accounting Pronouncements Yet to be Adopted</w:t>
      </w:r>
    </w:p>
    <w:p>
      <w:pPr>
        <w:pStyle w:val="TextBody"/>
        <w:spacing w:before="0" w:after="0"/>
        <w:ind w:left="0" w:right="0" w:firstLine="720"/>
        <w:jc w:val="left"/>
        <w:rPr/>
      </w:pPr>
      <w:r>
        <w:rPr/>
        <w:t> </w:t>
      </w:r>
    </w:p>
    <w:p>
      <w:pPr>
        <w:pStyle w:val="TextBody"/>
        <w:spacing w:before="0" w:after="0"/>
        <w:ind w:left="0" w:right="0" w:firstLine="720"/>
        <w:jc w:val="left"/>
        <w:rPr/>
      </w:pPr>
      <w:r>
        <w:rPr>
          <w:rFonts w:ascii="Times New Roman" w:hAnsi="Times New Roman"/>
          <w:caps w:val="false"/>
          <w:smallCaps w:val="false"/>
          <w:sz w:val="20"/>
          <w:highlight w:val="white"/>
        </w:rPr>
        <w:t>To date, there have been </w:t>
      </w:r>
      <w:r>
        <w:rPr>
          <w:rStyle w:val="Emphasis"/>
          <w:rFonts w:ascii="Times New Roman" w:hAnsi="Times New Roman"/>
          <w:caps w:val="false"/>
          <w:smallCaps w:val="false"/>
          <w:sz w:val="20"/>
          <w:highlight w:val="white"/>
        </w:rPr>
        <w:t>no</w:t>
      </w:r>
      <w:r>
        <w:rPr>
          <w:rFonts w:ascii="Times New Roman" w:hAnsi="Times New Roman"/>
          <w:caps w:val="false"/>
          <w:smallCaps w:val="false"/>
          <w:sz w:val="20"/>
          <w:highlight w:val="white"/>
        </w:rPr>
        <w:t> recent accounting</w:t>
      </w:r>
      <w:r>
        <w:rPr>
          <w:rFonts w:ascii="Times New Roman" w:hAnsi="Times New Roman"/>
          <w:caps w:val="false"/>
          <w:smallCaps w:val="false"/>
          <w:sz w:val="20"/>
        </w:rPr>
        <w:t xml:space="preserve"> pronouncement </w:t>
      </w:r>
      <w:r>
        <w:rPr>
          <w:rStyle w:val="Emphasis"/>
          <w:rFonts w:ascii="Times New Roman" w:hAnsi="Times New Roman"/>
          <w:caps w:val="false"/>
          <w:smallCaps w:val="false"/>
          <w:sz w:val="20"/>
        </w:rPr>
        <w:t>not</w:t>
      </w:r>
      <w:r>
        <w:rPr>
          <w:rFonts w:ascii="Times New Roman" w:hAnsi="Times New Roman"/>
          <w:caps w:val="false"/>
          <w:smallCaps w:val="false"/>
          <w:sz w:val="20"/>
        </w:rPr>
        <w:t> yet effective that have significance, or potential significance, to our Consolidated Financial Statements. </w:t>
      </w:r>
    </w:p>
    <w:p>
      <w:pPr>
        <w:pStyle w:val="TextBody"/>
        <w:spacing w:before="0" w:after="0"/>
        <w:ind w:left="0" w:right="0" w:firstLine="720"/>
        <w:jc w:val="left"/>
        <w:rPr/>
      </w:pPr>
      <w:r>
        <w:rPr/>
        <w:t> </w:t>
      </w:r>
    </w:p>
    <w:p>
      <w:pPr>
        <w:pStyle w:val="TextBody"/>
        <w:spacing w:before="0" w:after="0"/>
        <w:jc w:val="center"/>
        <w:rPr/>
      </w:pPr>
      <w:r>
        <w:rPr>
          <w:rStyle w:val="Emphasis"/>
          <w:rFonts w:ascii="Times New Roman" w:hAnsi="Times New Roman"/>
          <w:sz w:val="20"/>
        </w:rPr>
        <w:t>9</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rPr/>
      </w:pPr>
      <w:r>
        <w:rPr/>
        <w:t xml:space="preserve">  </w:t>
      </w:r>
    </w:p>
    <w:p>
      <w:pPr>
        <w:pStyle w:val="TextBody"/>
        <w:rPr/>
      </w:pPr>
      <w:r>
        <w:rPr/>
        <w:t xml:space="preserve">  </w:t>
      </w:r>
    </w:p>
    <w:p>
      <w:pPr>
        <w:pStyle w:val="TextBody"/>
        <w:spacing w:before="0" w:after="0"/>
        <w:ind w:left="0" w:right="0" w:hanging="0"/>
        <w:jc w:val="left"/>
        <w:rPr/>
      </w:pPr>
      <w:r>
        <w:rPr>
          <w:rFonts w:ascii="Times New Roman;Times;serif" w:hAnsi="Times New Roman;Times;serif"/>
          <w:b/>
          <w:sz w:val="20"/>
        </w:rPr>
        <w:t xml:space="preserve">Note </w:t>
      </w:r>
      <w:r>
        <w:rPr>
          <w:rStyle w:val="Emphasis"/>
          <w:rFonts w:ascii="Times New Roman;Times;serif" w:hAnsi="Times New Roman;Times;serif"/>
          <w:b/>
          <w:sz w:val="20"/>
        </w:rPr>
        <w:t>3.</w:t>
      </w:r>
      <w:r>
        <w:rPr>
          <w:rFonts w:ascii="Times New Roman;Times;serif" w:hAnsi="Times New Roman;Times;serif"/>
          <w:b/>
          <w:sz w:val="20"/>
        </w:rPr>
        <w:t>  Revenue Recognition</w:t>
      </w:r>
    </w:p>
    <w:p>
      <w:pPr>
        <w:pStyle w:val="TextBody"/>
        <w:spacing w:before="0" w:after="0"/>
        <w:ind w:left="0" w:right="0" w:hanging="0"/>
        <w:jc w:val="left"/>
        <w:rPr/>
      </w:pPr>
      <w:r>
        <w:rPr/>
        <w:t>​</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i/>
          <w:sz w:val="20"/>
        </w:rPr>
      </w:pPr>
      <w:r>
        <w:rPr>
          <w:rFonts w:ascii="Times New Roman;Times;serif" w:hAnsi="Times New Roman;Times;serif"/>
          <w:i/>
          <w:sz w:val="20"/>
        </w:rPr>
        <w:t>Disaggregation of Revenue</w:t>
      </w:r>
    </w:p>
    <w:p>
      <w:pPr>
        <w:pStyle w:val="TextBody"/>
        <w:spacing w:before="0" w:after="0"/>
        <w:ind w:left="0" w:right="0" w:hanging="0"/>
        <w:jc w:val="left"/>
        <w:rPr/>
      </w:pPr>
      <w:r>
        <w:rPr/>
        <w:t>​</w:t>
      </w:r>
    </w:p>
    <w:p>
      <w:pPr>
        <w:pStyle w:val="TextBody"/>
        <w:spacing w:before="0" w:after="0"/>
        <w:ind w:left="0" w:right="0" w:firstLine="720"/>
        <w:jc w:val="both"/>
        <w:rPr/>
      </w:pPr>
      <w:r>
        <w:rPr>
          <w:rFonts w:ascii="Times New Roman;Times;serif" w:hAnsi="Times New Roman;Times;serif"/>
          <w:sz w:val="20"/>
        </w:rPr>
        <w:t xml:space="preserve">Revenue is classified based on the location where the product is manufactured. For additional information on the disaggregated revenues by geographical region, see Note </w:t>
      </w:r>
      <w:r>
        <w:rPr>
          <w:rStyle w:val="Emphasis"/>
          <w:rFonts w:ascii="Times New Roman;Times;serif" w:hAnsi="Times New Roman;Times;serif"/>
          <w:sz w:val="20"/>
        </w:rPr>
        <w:t>17,</w:t>
      </w:r>
      <w:r>
        <w:rPr>
          <w:rFonts w:ascii="Times New Roman;Times;serif" w:hAnsi="Times New Roman;Times;serif"/>
          <w:sz w:val="20"/>
        </w:rPr>
        <w:t xml:space="preserve"> "Geographic Information.”</w:t>
      </w:r>
    </w:p>
    <w:p>
      <w:pPr>
        <w:pStyle w:val="TextBody"/>
        <w:spacing w:before="0" w:after="0"/>
        <w:ind w:left="0" w:right="0" w:firstLine="720"/>
        <w:jc w:val="both"/>
        <w:rPr/>
      </w:pPr>
      <w:r>
        <w:rPr/>
        <w:t> </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Revenue is also classified by major product category and is presented below (in thousands):</w:t>
      </w:r>
    </w:p>
    <w:p>
      <w:pPr>
        <w:pStyle w:val="TextBody"/>
        <w:spacing w:before="0" w:after="0"/>
        <w:ind w:left="0" w:right="0" w:hanging="0"/>
        <w:jc w:val="both"/>
        <w:rPr/>
      </w:pPr>
      <w:r>
        <w:rPr/>
        <w:t>​</w:t>
      </w:r>
    </w:p>
    <w:tbl>
      <w:tblPr>
        <w:tblW w:w="4830" w:type="dxa"/>
        <w:jc w:val="left"/>
        <w:tblInd w:w="0" w:type="dxa"/>
        <w:tblCellMar>
          <w:top w:w="0" w:type="dxa"/>
          <w:left w:w="0" w:type="dxa"/>
          <w:bottom w:w="0" w:type="dxa"/>
          <w:right w:w="0" w:type="dxa"/>
        </w:tblCellMar>
      </w:tblPr>
      <w:tblGrid>
        <w:gridCol w:w="1220"/>
        <w:gridCol w:w="60"/>
        <w:gridCol w:w="125"/>
        <w:gridCol w:w="590"/>
        <w:gridCol w:w="60"/>
        <w:gridCol w:w="60"/>
        <w:gridCol w:w="79"/>
        <w:gridCol w:w="646"/>
        <w:gridCol w:w="185"/>
        <w:gridCol w:w="60"/>
        <w:gridCol w:w="125"/>
        <w:gridCol w:w="590"/>
        <w:gridCol w:w="60"/>
        <w:gridCol w:w="60"/>
        <w:gridCol w:w="79"/>
        <w:gridCol w:w="646"/>
        <w:gridCol w:w="185"/>
      </w:tblGrid>
      <w:tr>
        <w:trPr/>
        <w:tc>
          <w:tcPr>
            <w:tcW w:w="122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3365" w:type="dxa"/>
            <w:gridSpan w:val="14"/>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Three months ended March 31,</w:t>
            </w:r>
          </w:p>
        </w:tc>
        <w:tc>
          <w:tcPr>
            <w:tcW w:w="185" w:type="dxa"/>
            <w:tcBorders/>
            <w:shd w:fill="FFFFFF" w:val="clear"/>
            <w:vAlign w:val="center"/>
          </w:tcPr>
          <w:p>
            <w:pPr>
              <w:pStyle w:val="TableContents"/>
              <w:spacing w:before="0" w:after="283"/>
              <w:rPr/>
            </w:pPr>
            <w:r>
              <w:rPr/>
              <w:t> </w:t>
            </w:r>
          </w:p>
        </w:tc>
      </w:tr>
      <w:tr>
        <w:trPr/>
        <w:tc>
          <w:tcPr>
            <w:tcW w:w="1220" w:type="dxa"/>
            <w:tcBorders/>
            <w:shd w:fill="FFFFFF" w:val="clear"/>
            <w:vAlign w:val="center"/>
          </w:tcPr>
          <w:p>
            <w:pPr>
              <w:pStyle w:val="TableContents"/>
              <w:spacing w:before="0" w:after="0"/>
              <w:rPr>
                <w:caps w:val="false"/>
                <w:smallCaps w:val="false"/>
              </w:rPr>
            </w:pPr>
            <w:r>
              <w:rPr>
                <w:caps w:val="false"/>
                <w:smallCaps w:val="false"/>
              </w:rPr>
              <w: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590" w:type="dxa"/>
            <w:tcBorders/>
            <w:shd w:fill="FFFFFF" w:val="clear"/>
            <w:vAlign w:val="center"/>
          </w:tcPr>
          <w:p>
            <w:pPr>
              <w:pStyle w:val="TableContents"/>
              <w:spacing w:before="0" w:after="283"/>
              <w:jc w:val="center"/>
              <w:rPr/>
            </w:pPr>
            <w:r>
              <w:rPr>
                <w:rStyle w:val="Emphasis"/>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25"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 of</w:t>
            </w:r>
          </w:p>
        </w:tc>
        <w:tc>
          <w:tcPr>
            <w:tcW w:w="1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590" w:type="dxa"/>
            <w:tcBorders/>
            <w:shd w:fill="FFFFFF" w:val="clear"/>
            <w:vAlign w:val="center"/>
          </w:tcPr>
          <w:p>
            <w:pPr>
              <w:pStyle w:val="TableContents"/>
              <w:spacing w:before="0" w:after="283"/>
              <w:jc w:val="center"/>
              <w:rPr/>
            </w:pPr>
            <w:r>
              <w:rPr>
                <w:rStyle w:val="Emphasis"/>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25"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 of</w:t>
            </w:r>
          </w:p>
        </w:tc>
        <w:tc>
          <w:tcPr>
            <w:tcW w:w="185" w:type="dxa"/>
            <w:tcBorders/>
            <w:shd w:fill="FFFFFF" w:val="clear"/>
            <w:vAlign w:val="center"/>
          </w:tcPr>
          <w:p>
            <w:pPr>
              <w:pStyle w:val="TableContents"/>
              <w:spacing w:before="0" w:after="283"/>
              <w:rPr/>
            </w:pPr>
            <w:r>
              <w:rPr/>
              <w:t> </w:t>
            </w:r>
          </w:p>
        </w:tc>
      </w:tr>
      <w:tr>
        <w:trPr/>
        <w:tc>
          <w:tcPr>
            <w:tcW w:w="1220" w:type="dxa"/>
            <w:tcBorders/>
            <w:shd w:fill="FFFFFF" w:val="clear"/>
            <w:vAlign w:val="center"/>
          </w:tcPr>
          <w:p>
            <w:pPr>
              <w:pStyle w:val="TableContents"/>
              <w:spacing w:before="0" w:after="0"/>
              <w:rPr>
                <w:caps w:val="false"/>
                <w:smallCaps w:val="false"/>
              </w:rPr>
            </w:pPr>
            <w:r>
              <w:rPr>
                <w:caps w:val="false"/>
                <w:smallCaps w:val="false"/>
              </w:rPr>
              <w:t>​</w:t>
            </w:r>
          </w:p>
        </w:tc>
        <w:tc>
          <w:tcPr>
            <w:tcW w:w="60" w:type="dxa"/>
            <w:tcBorders/>
            <w:shd w:fill="FFFFFF" w:val="clear"/>
            <w:vAlign w:val="center"/>
          </w:tcPr>
          <w:p>
            <w:pPr>
              <w:pStyle w:val="TableContents"/>
              <w:spacing w:before="0" w:after="283"/>
              <w:ind w:left="0" w:right="0" w:hanging="0"/>
              <w:rPr/>
            </w:pPr>
            <w:r>
              <w:rPr/>
              <w:t> </w:t>
            </w:r>
          </w:p>
        </w:tc>
        <w:tc>
          <w:tcPr>
            <w:tcW w:w="71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2023</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2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Revenue</w:t>
            </w:r>
          </w:p>
        </w:tc>
        <w:tc>
          <w:tcPr>
            <w:tcW w:w="1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1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2022</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2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Revenue</w:t>
            </w:r>
          </w:p>
        </w:tc>
        <w:tc>
          <w:tcPr>
            <w:tcW w:w="185" w:type="dxa"/>
            <w:tcBorders/>
            <w:shd w:fill="FFFFFF" w:val="clear"/>
            <w:vAlign w:val="center"/>
          </w:tcPr>
          <w:p>
            <w:pPr>
              <w:pStyle w:val="TableContents"/>
              <w:spacing w:before="0" w:after="283"/>
              <w:rPr/>
            </w:pPr>
            <w:r>
              <w:rPr/>
              <w:t> </w:t>
            </w:r>
          </w:p>
        </w:tc>
      </w:tr>
      <w:tr>
        <w:trPr/>
        <w:tc>
          <w:tcPr>
            <w:tcW w:w="122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CATV</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27,779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9" w:type="dxa"/>
            <w:tcBorders/>
            <w:shd w:fill="CCEEFF" w:val="clear"/>
            <w:vAlign w:val="center"/>
          </w:tcPr>
          <w:p>
            <w:pPr>
              <w:pStyle w:val="TableContents"/>
              <w:spacing w:before="0" w:after="283"/>
              <w:ind w:left="0" w:right="0" w:hanging="0"/>
              <w:rPr/>
            </w:pPr>
            <w:r>
              <w:rPr/>
              <w:t> </w:t>
            </w:r>
          </w:p>
        </w:tc>
        <w:tc>
          <w:tcPr>
            <w:tcW w:w="64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52.4</w:t>
            </w:r>
          </w:p>
        </w:tc>
        <w:tc>
          <w:tcPr>
            <w:tcW w:w="18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24,980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9" w:type="dxa"/>
            <w:tcBorders/>
            <w:shd w:fill="CCEEFF" w:val="clear"/>
            <w:vAlign w:val="center"/>
          </w:tcPr>
          <w:p>
            <w:pPr>
              <w:pStyle w:val="TableContents"/>
              <w:spacing w:before="0" w:after="283"/>
              <w:ind w:left="0" w:right="0" w:hanging="0"/>
              <w:rPr/>
            </w:pPr>
            <w:r>
              <w:rPr/>
              <w:t> </w:t>
            </w:r>
          </w:p>
        </w:tc>
        <w:tc>
          <w:tcPr>
            <w:tcW w:w="64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47.8</w:t>
            </w:r>
          </w:p>
        </w:tc>
        <w:tc>
          <w:tcPr>
            <w:tcW w:w="18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1220"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Data Center</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20,353</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79" w:type="dxa"/>
            <w:tcBorders/>
            <w:shd w:fill="FFFFFF" w:val="clear"/>
            <w:vAlign w:val="center"/>
          </w:tcPr>
          <w:p>
            <w:pPr>
              <w:pStyle w:val="TableContents"/>
              <w:spacing w:before="0" w:after="283"/>
              <w:ind w:left="0" w:right="0" w:hanging="0"/>
              <w:rPr/>
            </w:pPr>
            <w:r>
              <w:rPr/>
              <w:t> </w:t>
            </w:r>
          </w:p>
        </w:tc>
        <w:tc>
          <w:tcPr>
            <w:tcW w:w="64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38.4</w:t>
            </w:r>
          </w:p>
        </w:tc>
        <w:tc>
          <w:tcPr>
            <w:tcW w:w="18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21,415</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79" w:type="dxa"/>
            <w:tcBorders/>
            <w:shd w:fill="FFFFFF" w:val="clear"/>
            <w:vAlign w:val="center"/>
          </w:tcPr>
          <w:p>
            <w:pPr>
              <w:pStyle w:val="TableContents"/>
              <w:spacing w:before="0" w:after="283"/>
              <w:ind w:left="0" w:right="0" w:hanging="0"/>
              <w:rPr/>
            </w:pPr>
            <w:r>
              <w:rPr/>
              <w:t> </w:t>
            </w:r>
          </w:p>
        </w:tc>
        <w:tc>
          <w:tcPr>
            <w:tcW w:w="64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41.0</w:t>
            </w:r>
          </w:p>
        </w:tc>
        <w:tc>
          <w:tcPr>
            <w:tcW w:w="18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122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Telecom</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3,707</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9" w:type="dxa"/>
            <w:tcBorders/>
            <w:shd w:fill="CCEEFF" w:val="clear"/>
            <w:vAlign w:val="center"/>
          </w:tcPr>
          <w:p>
            <w:pPr>
              <w:pStyle w:val="TableContents"/>
              <w:spacing w:before="0" w:after="283"/>
              <w:ind w:left="0" w:right="0" w:hanging="0"/>
              <w:rPr/>
            </w:pPr>
            <w:r>
              <w:rPr/>
              <w:t> </w:t>
            </w:r>
          </w:p>
        </w:tc>
        <w:tc>
          <w:tcPr>
            <w:tcW w:w="64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7.0</w:t>
            </w:r>
          </w:p>
        </w:tc>
        <w:tc>
          <w:tcPr>
            <w:tcW w:w="18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5,265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9" w:type="dxa"/>
            <w:tcBorders/>
            <w:shd w:fill="CCEEFF" w:val="clear"/>
            <w:vAlign w:val="center"/>
          </w:tcPr>
          <w:p>
            <w:pPr>
              <w:pStyle w:val="TableContents"/>
              <w:spacing w:before="0" w:after="283"/>
              <w:ind w:left="0" w:right="0" w:hanging="0"/>
              <w:rPr/>
            </w:pPr>
            <w:r>
              <w:rPr/>
              <w:t> </w:t>
            </w:r>
          </w:p>
        </w:tc>
        <w:tc>
          <w:tcPr>
            <w:tcW w:w="64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10.1</w:t>
            </w:r>
          </w:p>
        </w:tc>
        <w:tc>
          <w:tcPr>
            <w:tcW w:w="18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1220"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FTTH</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79" w:type="dxa"/>
            <w:tcBorders/>
            <w:shd w:fill="FFFFFF" w:val="clear"/>
            <w:vAlign w:val="center"/>
          </w:tcPr>
          <w:p>
            <w:pPr>
              <w:pStyle w:val="TableContents"/>
              <w:spacing w:before="0" w:after="283"/>
              <w:ind w:left="0" w:right="0" w:hanging="0"/>
              <w:rPr/>
            </w:pPr>
            <w:r>
              <w:rPr/>
              <w:t> </w:t>
            </w:r>
          </w:p>
        </w:tc>
        <w:tc>
          <w:tcPr>
            <w:tcW w:w="64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0.0</w:t>
            </w:r>
          </w:p>
        </w:tc>
        <w:tc>
          <w:tcPr>
            <w:tcW w:w="18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98</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79" w:type="dxa"/>
            <w:tcBorders/>
            <w:shd w:fill="FFFFFF" w:val="clear"/>
            <w:vAlign w:val="center"/>
          </w:tcPr>
          <w:p>
            <w:pPr>
              <w:pStyle w:val="TableContents"/>
              <w:spacing w:before="0" w:after="283"/>
              <w:ind w:left="0" w:right="0" w:hanging="0"/>
              <w:rPr/>
            </w:pPr>
            <w:r>
              <w:rPr/>
              <w:t> </w:t>
            </w:r>
          </w:p>
        </w:tc>
        <w:tc>
          <w:tcPr>
            <w:tcW w:w="64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0.2</w:t>
            </w:r>
          </w:p>
        </w:tc>
        <w:tc>
          <w:tcPr>
            <w:tcW w:w="18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122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59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1,189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9"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46"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2.2</w:t>
            </w:r>
          </w:p>
        </w:tc>
        <w:tc>
          <w:tcPr>
            <w:tcW w:w="18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59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484</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9"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46"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0.9</w:t>
            </w:r>
          </w:p>
        </w:tc>
        <w:tc>
          <w:tcPr>
            <w:tcW w:w="18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1220"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Total Revenue</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53,030</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79" w:type="dxa"/>
            <w:tcBorders>
              <w:bottom w:val="double" w:sz="6" w:space="0" w:color="000000"/>
            </w:tcBorders>
            <w:shd w:fill="FFFFFF" w:val="clear"/>
            <w:tcMar>
              <w:bottom w:w="28" w:type="dxa"/>
            </w:tcMar>
            <w:vAlign w:val="center"/>
          </w:tcPr>
          <w:p>
            <w:pPr>
              <w:pStyle w:val="TableContents"/>
              <w:spacing w:before="0" w:after="283"/>
              <w:ind w:left="0" w:right="0" w:hanging="0"/>
              <w:rPr/>
            </w:pPr>
            <w:r>
              <w:rPr/>
              <w:t> </w:t>
            </w:r>
          </w:p>
        </w:tc>
        <w:tc>
          <w:tcPr>
            <w:tcW w:w="646"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100.0</w:t>
            </w:r>
          </w:p>
        </w:tc>
        <w:tc>
          <w:tcPr>
            <w:tcW w:w="18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52,242</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79" w:type="dxa"/>
            <w:tcBorders>
              <w:bottom w:val="double" w:sz="6" w:space="0" w:color="000000"/>
            </w:tcBorders>
            <w:shd w:fill="FFFFFF" w:val="clear"/>
            <w:tcMar>
              <w:bottom w:w="28" w:type="dxa"/>
            </w:tcMar>
            <w:vAlign w:val="center"/>
          </w:tcPr>
          <w:p>
            <w:pPr>
              <w:pStyle w:val="TableContents"/>
              <w:spacing w:before="0" w:after="283"/>
              <w:ind w:left="0" w:right="0" w:hanging="0"/>
              <w:rPr/>
            </w:pPr>
            <w:r>
              <w:rPr/>
              <w:t> </w:t>
            </w:r>
          </w:p>
        </w:tc>
        <w:tc>
          <w:tcPr>
            <w:tcW w:w="646"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100.0</w:t>
            </w:r>
          </w:p>
        </w:tc>
        <w:tc>
          <w:tcPr>
            <w:tcW w:w="18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bl>
    <w:p>
      <w:pPr>
        <w:pStyle w:val="TextBody"/>
        <w:spacing w:before="0" w:after="0"/>
        <w:ind w:left="0" w:right="0" w:hanging="0"/>
        <w:jc w:val="left"/>
        <w:rPr/>
      </w:pPr>
      <w:r>
        <w:rPr/>
        <w:t>​</w:t>
      </w:r>
    </w:p>
    <w:p>
      <w:pPr>
        <w:pStyle w:val="TextBody"/>
        <w:spacing w:before="0" w:after="0"/>
        <w:jc w:val="center"/>
        <w:rPr/>
      </w:pPr>
      <w:r>
        <w:rPr>
          <w:rStyle w:val="Emphasis"/>
          <w:rFonts w:ascii="Times New Roman" w:hAnsi="Times New Roman"/>
          <w:sz w:val="20"/>
        </w:rPr>
        <w:t>10</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0" w:right="0" w:hanging="0"/>
        <w:jc w:val="left"/>
        <w:rPr/>
      </w:pPr>
      <w:r>
        <w:rPr/>
        <w:t> </w:t>
      </w:r>
    </w:p>
    <w:p>
      <w:pPr>
        <w:pStyle w:val="TextBody"/>
        <w:rPr/>
      </w:pPr>
      <w:r>
        <w:rPr/>
        <w:t xml:space="preserve">  </w:t>
      </w:r>
    </w:p>
    <w:p>
      <w:pPr>
        <w:pStyle w:val="TextBody"/>
        <w:spacing w:before="0" w:after="0"/>
        <w:ind w:left="0" w:right="0" w:hanging="0"/>
        <w:jc w:val="left"/>
        <w:rPr/>
      </w:pPr>
      <w:r>
        <w:rPr>
          <w:rFonts w:ascii="Times New Roman" w:hAnsi="Times New Roman"/>
          <w:b/>
          <w:sz w:val="20"/>
        </w:rPr>
        <w:t xml:space="preserve">Note </w:t>
      </w:r>
      <w:r>
        <w:rPr>
          <w:rStyle w:val="Emphasis"/>
          <w:rFonts w:ascii="Times New Roman" w:hAnsi="Times New Roman"/>
          <w:b/>
          <w:sz w:val="20"/>
        </w:rPr>
        <w:t>4.</w:t>
      </w:r>
      <w:r>
        <w:rPr>
          <w:rFonts w:ascii="Times New Roman" w:hAnsi="Times New Roman"/>
          <w:b/>
          <w:sz w:val="20"/>
        </w:rPr>
        <w:t>  Leases</w:t>
      </w:r>
    </w:p>
    <w:p>
      <w:pPr>
        <w:pStyle w:val="TextBody"/>
        <w:spacing w:before="0" w:after="0"/>
        <w:ind w:left="0" w:right="0" w:hanging="0"/>
        <w:jc w:val="left"/>
        <w:rPr/>
      </w:pPr>
      <w:r>
        <w:rPr/>
        <w:t>​</w:t>
      </w:r>
    </w:p>
    <w:p>
      <w:pPr>
        <w:pStyle w:val="TextBody"/>
        <w:spacing w:before="0" w:after="0"/>
        <w:ind w:left="0" w:right="0" w:firstLine="720"/>
        <w:jc w:val="left"/>
        <w:rPr/>
      </w:pPr>
      <w:r>
        <w:rPr>
          <w:rFonts w:ascii="Times New Roman" w:hAnsi="Times New Roman"/>
          <w:sz w:val="20"/>
        </w:rPr>
        <w:t xml:space="preserve">The Company leases space under non-cancellable operating leases for manufacturing facilities, research and development offices and certain storage facilities and apartments. These leases do </w:t>
      </w:r>
      <w:r>
        <w:rPr>
          <w:rStyle w:val="Emphasis"/>
          <w:rFonts w:ascii="Times New Roman" w:hAnsi="Times New Roman"/>
          <w:sz w:val="20"/>
        </w:rPr>
        <w:t>not</w:t>
      </w:r>
      <w:r>
        <w:rPr>
          <w:rFonts w:ascii="Times New Roman" w:hAnsi="Times New Roman"/>
          <w:sz w:val="20"/>
        </w:rPr>
        <w:t xml:space="preserve"> contain contingent rent provisions. The Company also leases certain machinery, office equipment and a vehicle under an operating lease. Many of its leases include both lease (e.g. fixed payments including rent, taxes, and insurance costs) and non-lease components (e.g. common-area or other maintenance costs) which are accounted for as a single lease component as the Company has elected the practical expedient to group lease and non-lease components for all leases. Several of the leases include </w:t>
      </w:r>
      <w:r>
        <w:rPr>
          <w:rStyle w:val="Emphasis"/>
          <w:rFonts w:ascii="Times New Roman" w:hAnsi="Times New Roman"/>
          <w:sz w:val="20"/>
        </w:rPr>
        <w:t>one</w:t>
      </w:r>
      <w:r>
        <w:rPr>
          <w:rFonts w:ascii="Times New Roman" w:hAnsi="Times New Roman"/>
          <w:sz w:val="20"/>
        </w:rPr>
        <w:t xml:space="preserve"> or more options to renew which have been assessed and either included or excluded from the calculation of the lease liability of the right of use ("ROU") asset based on management’s intentions and individual fact patterns. Several warehouses and apartments have non-cancellable lease terms of less than </w:t>
      </w:r>
      <w:r>
        <w:rPr>
          <w:rStyle w:val="Emphasis"/>
          <w:rFonts w:ascii="Times New Roman" w:hAnsi="Times New Roman"/>
          <w:sz w:val="20"/>
        </w:rPr>
        <w:t>one</w:t>
      </w:r>
      <w:r>
        <w:rPr>
          <w:rFonts w:ascii="Times New Roman" w:hAnsi="Times New Roman"/>
          <w:sz w:val="20"/>
        </w:rPr>
        <w:t>-year and therefore, the Company has elected the practical expedient to exclude these short-term leases from its ROU asset and lease liabilities.</w:t>
      </w:r>
    </w:p>
    <w:p>
      <w:pPr>
        <w:pStyle w:val="TextBody"/>
        <w:spacing w:before="0" w:after="0"/>
        <w:ind w:left="0" w:right="0" w:hanging="0"/>
        <w:jc w:val="left"/>
        <w:rPr/>
      </w:pPr>
      <w:r>
        <w:rPr/>
        <w:t>​</w:t>
      </w:r>
    </w:p>
    <w:p>
      <w:pPr>
        <w:pStyle w:val="TextBody"/>
        <w:spacing w:before="0" w:after="0"/>
        <w:ind w:left="0" w:right="0" w:firstLine="720"/>
        <w:jc w:val="left"/>
        <w:rPr/>
      </w:pPr>
      <w:r>
        <w:rPr>
          <w:rFonts w:ascii="Times New Roman" w:hAnsi="Times New Roman"/>
          <w:sz w:val="20"/>
        </w:rPr>
        <w:t xml:space="preserve">As most of the Company’s leases do </w:t>
      </w:r>
      <w:r>
        <w:rPr>
          <w:rStyle w:val="Emphasis"/>
          <w:rFonts w:ascii="Times New Roman" w:hAnsi="Times New Roman"/>
          <w:sz w:val="20"/>
        </w:rPr>
        <w:t>not</w:t>
      </w:r>
      <w:r>
        <w:rPr>
          <w:rFonts w:ascii="Times New Roman" w:hAnsi="Times New Roman"/>
          <w:sz w:val="20"/>
        </w:rPr>
        <w:t xml:space="preserve"> provide an implicit rate, the Company uses its incremental borrowing rate, which is the rate incurred to borrow on a collateralized basis over a similar term an amount equal to the lease payments in a similar economic environment. Based on the applicable lease terms and current economic environment, the Company applies a location approach for determining the incremental borrowing rate.</w:t>
      </w:r>
    </w:p>
    <w:p>
      <w:pPr>
        <w:pStyle w:val="TextBody"/>
        <w:spacing w:before="0" w:after="0"/>
        <w:ind w:left="0" w:right="0" w:hanging="0"/>
        <w:jc w:val="left"/>
        <w:rPr/>
      </w:pPr>
      <w:r>
        <w:rPr/>
        <w:t>​</w:t>
      </w:r>
    </w:p>
    <w:p>
      <w:pPr>
        <w:pStyle w:val="TextBody"/>
        <w:spacing w:before="0" w:after="0"/>
        <w:ind w:left="160" w:right="0" w:firstLine="540"/>
        <w:rPr/>
      </w:pPr>
      <w:r>
        <w:rPr>
          <w:rFonts w:ascii="Times New Roman" w:hAnsi="Times New Roman"/>
          <w:caps w:val="false"/>
          <w:smallCaps w:val="false"/>
          <w:sz w:val="20"/>
          <w:highlight w:val="white"/>
        </w:rPr>
        <w:t xml:space="preserve">Lease expense is included under general and administrative expenses and was $0.3 million each for the periods ended </w:t>
      </w:r>
      <w:r>
        <w:rPr>
          <w:rStyle w:val="Emphasis"/>
          <w:rFonts w:ascii="Times New Roman" w:hAnsi="Times New Roman"/>
          <w:caps w:val="false"/>
          <w:smallCaps w:val="false"/>
          <w:sz w:val="20"/>
          <w:highlight w:val="white"/>
        </w:rPr>
        <w:t>March 31,</w:t>
      </w:r>
      <w:r>
        <w:rPr>
          <w:rFonts w:ascii="Times New Roman" w:hAnsi="Times New Roman"/>
          <w:caps w:val="false"/>
          <w:smallCaps w:val="false"/>
          <w:sz w:val="20"/>
          <w:highlight w:val="white"/>
        </w:rPr>
        <w:t xml:space="preserve"> </w:t>
      </w:r>
      <w:r>
        <w:rPr>
          <w:rStyle w:val="Emphasis"/>
          <w:rFonts w:ascii="Times New Roman" w:hAnsi="Times New Roman"/>
          <w:caps w:val="false"/>
          <w:smallCaps w:val="false"/>
          <w:sz w:val="20"/>
          <w:highlight w:val="white"/>
        </w:rPr>
        <w:t>2023</w:t>
      </w:r>
      <w:r>
        <w:rPr>
          <w:rFonts w:ascii="Times New Roman" w:hAnsi="Times New Roman"/>
          <w:caps w:val="false"/>
          <w:smallCaps w:val="false"/>
          <w:sz w:val="20"/>
          <w:highlight w:val="white"/>
        </w:rPr>
        <w:t xml:space="preserve"> and </w:t>
      </w:r>
      <w:r>
        <w:rPr>
          <w:rStyle w:val="Emphasis"/>
          <w:rFonts w:ascii="Times New Roman" w:hAnsi="Times New Roman"/>
          <w:caps w:val="false"/>
          <w:smallCaps w:val="false"/>
          <w:sz w:val="20"/>
          <w:highlight w:val="white"/>
        </w:rPr>
        <w:t xml:space="preserve">March 31, 2022. </w:t>
      </w:r>
      <w:r>
        <w:rPr>
          <w:rFonts w:ascii="Times New Roman" w:hAnsi="Times New Roman"/>
          <w:caps w:val="false"/>
          <w:smallCaps w:val="false"/>
          <w:sz w:val="20"/>
          <w:highlight w:val="white"/>
        </w:rPr>
        <w:t>Th</w:t>
      </w:r>
      <w:r>
        <w:rPr>
          <w:rFonts w:ascii="Times New Roman" w:hAnsi="Times New Roman"/>
          <w:caps w:val="false"/>
          <w:smallCaps w:val="false"/>
          <w:sz w:val="20"/>
        </w:rPr>
        <w:t>e components of lease expense were as follows for the periods indicated (in thousands):</w:t>
      </w:r>
    </w:p>
    <w:p>
      <w:pPr>
        <w:pStyle w:val="TextBody"/>
        <w:spacing w:before="0" w:after="0"/>
        <w:ind w:left="0" w:right="0" w:firstLine="720"/>
        <w:jc w:val="left"/>
        <w:rPr/>
      </w:pPr>
      <w:r>
        <w:rPr/>
        <w:t> </w:t>
      </w:r>
    </w:p>
    <w:tbl>
      <w:tblPr>
        <w:tblW w:w="4777" w:type="dxa"/>
        <w:jc w:val="left"/>
        <w:tblInd w:w="0" w:type="dxa"/>
        <w:tblCellMar>
          <w:top w:w="0" w:type="dxa"/>
          <w:left w:w="0" w:type="dxa"/>
          <w:bottom w:w="0" w:type="dxa"/>
          <w:right w:w="0" w:type="dxa"/>
        </w:tblCellMar>
      </w:tblPr>
      <w:tblGrid>
        <w:gridCol w:w="2075"/>
        <w:gridCol w:w="60"/>
        <w:gridCol w:w="310"/>
        <w:gridCol w:w="832"/>
        <w:gridCol w:w="149"/>
        <w:gridCol w:w="149"/>
        <w:gridCol w:w="310"/>
        <w:gridCol w:w="832"/>
        <w:gridCol w:w="60"/>
      </w:tblGrid>
      <w:tr>
        <w:trPr/>
        <w:tc>
          <w:tcPr>
            <w:tcW w:w="207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582"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Three months ended March 31,</w:t>
            </w:r>
          </w:p>
        </w:tc>
        <w:tc>
          <w:tcPr>
            <w:tcW w:w="60" w:type="dxa"/>
            <w:tcBorders/>
            <w:shd w:fill="FFFFFF" w:val="clear"/>
            <w:vAlign w:val="center"/>
          </w:tcPr>
          <w:p>
            <w:pPr>
              <w:pStyle w:val="TableContents"/>
              <w:spacing w:before="0" w:after="283"/>
              <w:rPr/>
            </w:pPr>
            <w:r>
              <w:rPr/>
              <w:t> </w:t>
            </w:r>
          </w:p>
        </w:tc>
      </w:tr>
      <w:tr>
        <w:trPr/>
        <w:tc>
          <w:tcPr>
            <w:tcW w:w="2075" w:type="dxa"/>
            <w:tcBorders/>
            <w:shd w:fill="FFFFFF" w:val="clear"/>
            <w:vAlign w:val="center"/>
          </w:tcPr>
          <w:p>
            <w:pPr>
              <w:pStyle w:val="TableContents"/>
              <w:spacing w:before="0" w:after="0"/>
              <w:rPr>
                <w:caps w:val="false"/>
                <w:smallCaps w:val="false"/>
              </w:rPr>
            </w:pPr>
            <w:r>
              <w:rPr>
                <w:caps w:val="false"/>
                <w:smallCaps w:val="false"/>
              </w:rPr>
              <w:t>​</w:t>
            </w:r>
          </w:p>
        </w:tc>
        <w:tc>
          <w:tcPr>
            <w:tcW w:w="60" w:type="dxa"/>
            <w:tcBorders/>
            <w:shd w:fill="FFFFFF" w:val="clear"/>
            <w:vAlign w:val="center"/>
          </w:tcPr>
          <w:p>
            <w:pPr>
              <w:pStyle w:val="TableContents"/>
              <w:spacing w:before="0" w:after="283"/>
              <w:ind w:left="0" w:right="0" w:hanging="0"/>
              <w:rPr/>
            </w:pPr>
            <w:r>
              <w:rPr/>
              <w:t> </w:t>
            </w:r>
          </w:p>
        </w:tc>
        <w:tc>
          <w:tcPr>
            <w:tcW w:w="1142"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2023</w:t>
            </w:r>
          </w:p>
        </w:tc>
        <w:tc>
          <w:tcPr>
            <w:tcW w:w="149" w:type="dxa"/>
            <w:tcBorders/>
            <w:shd w:fill="FFFFFF" w:val="clear"/>
            <w:vAlign w:val="center"/>
          </w:tcPr>
          <w:p>
            <w:pPr>
              <w:pStyle w:val="TableContents"/>
              <w:spacing w:before="0" w:after="283"/>
              <w:rPr/>
            </w:pPr>
            <w:r>
              <w:rPr/>
              <w:t> </w:t>
            </w:r>
          </w:p>
        </w:tc>
        <w:tc>
          <w:tcPr>
            <w:tcW w:w="149" w:type="dxa"/>
            <w:tcBorders/>
            <w:shd w:fill="FFFFFF" w:val="clear"/>
            <w:vAlign w:val="center"/>
          </w:tcPr>
          <w:p>
            <w:pPr>
              <w:pStyle w:val="TableContents"/>
              <w:spacing w:before="0" w:after="283"/>
              <w:ind w:left="0" w:right="0" w:hanging="0"/>
              <w:rPr/>
            </w:pPr>
            <w:r>
              <w:rPr/>
              <w:t> </w:t>
            </w:r>
          </w:p>
        </w:tc>
        <w:tc>
          <w:tcPr>
            <w:tcW w:w="1142"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2022</w:t>
            </w:r>
          </w:p>
        </w:tc>
        <w:tc>
          <w:tcPr>
            <w:tcW w:w="60" w:type="dxa"/>
            <w:tcBorders/>
            <w:shd w:fill="FFFFFF" w:val="clear"/>
            <w:vAlign w:val="center"/>
          </w:tcPr>
          <w:p>
            <w:pPr>
              <w:pStyle w:val="TableContents"/>
              <w:spacing w:before="0" w:after="283"/>
              <w:rPr/>
            </w:pPr>
            <w:r>
              <w:rPr/>
              <w:t> </w:t>
            </w:r>
          </w:p>
        </w:tc>
      </w:tr>
      <w:tr>
        <w:trPr/>
        <w:tc>
          <w:tcPr>
            <w:tcW w:w="207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Operating lease expense</w:t>
            </w:r>
          </w:p>
        </w:tc>
        <w:tc>
          <w:tcPr>
            <w:tcW w:w="60" w:type="dxa"/>
            <w:tcBorders/>
            <w:shd w:fill="CCEEFF" w:val="clear"/>
            <w:vAlign w:val="center"/>
          </w:tcPr>
          <w:p>
            <w:pPr>
              <w:pStyle w:val="TableContents"/>
              <w:spacing w:before="0" w:after="283"/>
              <w:ind w:left="0" w:right="0" w:hanging="0"/>
              <w:rPr/>
            </w:pPr>
            <w:r>
              <w:rPr/>
              <w:t> </w:t>
            </w:r>
          </w:p>
        </w:tc>
        <w:tc>
          <w:tcPr>
            <w:tcW w:w="310"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32"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282</w:t>
            </w:r>
          </w:p>
        </w:tc>
        <w:tc>
          <w:tcPr>
            <w:tcW w:w="149" w:type="dxa"/>
            <w:tcBorders/>
            <w:shd w:fill="CCEEFF" w:val="clear"/>
            <w:vAlign w:val="center"/>
          </w:tcPr>
          <w:p>
            <w:pPr>
              <w:pStyle w:val="TableContents"/>
              <w:spacing w:before="0" w:after="283"/>
              <w:rPr/>
            </w:pPr>
            <w:r>
              <w:rPr/>
              <w:t> </w:t>
            </w:r>
          </w:p>
        </w:tc>
        <w:tc>
          <w:tcPr>
            <w:tcW w:w="149" w:type="dxa"/>
            <w:tcBorders/>
            <w:shd w:fill="CCEEFF" w:val="clear"/>
            <w:vAlign w:val="center"/>
          </w:tcPr>
          <w:p>
            <w:pPr>
              <w:pStyle w:val="TableContents"/>
              <w:spacing w:before="0" w:after="283"/>
              <w:ind w:left="0" w:right="0" w:hanging="0"/>
              <w:rPr/>
            </w:pPr>
            <w:r>
              <w:rPr/>
              <w:t> </w:t>
            </w:r>
          </w:p>
        </w:tc>
        <w:tc>
          <w:tcPr>
            <w:tcW w:w="310"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32"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306</w:t>
            </w:r>
          </w:p>
        </w:tc>
        <w:tc>
          <w:tcPr>
            <w:tcW w:w="60" w:type="dxa"/>
            <w:tcBorders/>
            <w:shd w:fill="CCEEFF" w:val="clear"/>
            <w:vAlign w:val="center"/>
          </w:tcPr>
          <w:p>
            <w:pPr>
              <w:pStyle w:val="TableContents"/>
              <w:spacing w:before="0" w:after="283"/>
              <w:rPr/>
            </w:pPr>
            <w:r>
              <w:rPr/>
              <w:t> </w:t>
            </w:r>
          </w:p>
        </w:tc>
      </w:tr>
      <w:tr>
        <w:trPr/>
        <w:tc>
          <w:tcPr>
            <w:tcW w:w="2075"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Financing lease expense</w:t>
            </w:r>
          </w:p>
        </w:tc>
        <w:tc>
          <w:tcPr>
            <w:tcW w:w="60" w:type="dxa"/>
            <w:tcBorders/>
            <w:shd w:fill="FFFFFF" w:val="clear"/>
            <w:vAlign w:val="center"/>
          </w:tcPr>
          <w:p>
            <w:pPr>
              <w:pStyle w:val="TableContents"/>
              <w:spacing w:before="0" w:after="283"/>
              <w:rPr/>
            </w:pPr>
            <w:r>
              <w:rPr/>
              <w:t> </w:t>
            </w:r>
          </w:p>
        </w:tc>
        <w:tc>
          <w:tcPr>
            <w:tcW w:w="310" w:type="dxa"/>
            <w:tcBorders/>
            <w:shd w:fill="FFFFFF" w:val="clear"/>
            <w:vAlign w:val="center"/>
          </w:tcPr>
          <w:p>
            <w:pPr>
              <w:pStyle w:val="TableContents"/>
              <w:spacing w:before="0" w:after="283"/>
              <w:ind w:left="0" w:right="0" w:hanging="0"/>
              <w:rPr/>
            </w:pPr>
            <w:r>
              <w:rPr/>
              <w:t> </w:t>
            </w:r>
          </w:p>
        </w:tc>
        <w:tc>
          <w:tcPr>
            <w:tcW w:w="832"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w:t>
            </w:r>
          </w:p>
        </w:tc>
        <w:tc>
          <w:tcPr>
            <w:tcW w:w="149" w:type="dxa"/>
            <w:tcBorders/>
            <w:shd w:fill="FFFFFF" w:val="clear"/>
            <w:vAlign w:val="center"/>
          </w:tcPr>
          <w:p>
            <w:pPr>
              <w:pStyle w:val="TableContents"/>
              <w:spacing w:before="0" w:after="283"/>
              <w:rPr/>
            </w:pPr>
            <w:r>
              <w:rPr/>
              <w:t> </w:t>
            </w:r>
          </w:p>
        </w:tc>
        <w:tc>
          <w:tcPr>
            <w:tcW w:w="149" w:type="dxa"/>
            <w:tcBorders/>
            <w:shd w:fill="FFFFFF" w:val="clear"/>
            <w:vAlign w:val="center"/>
          </w:tcPr>
          <w:p>
            <w:pPr>
              <w:pStyle w:val="TableContents"/>
              <w:spacing w:before="0" w:after="283"/>
              <w:rPr/>
            </w:pPr>
            <w:r>
              <w:rPr/>
              <w:t> </w:t>
            </w:r>
          </w:p>
        </w:tc>
        <w:tc>
          <w:tcPr>
            <w:tcW w:w="310" w:type="dxa"/>
            <w:tcBorders/>
            <w:shd w:fill="FFFFFF" w:val="clear"/>
            <w:vAlign w:val="center"/>
          </w:tcPr>
          <w:p>
            <w:pPr>
              <w:pStyle w:val="TableContents"/>
              <w:spacing w:before="0" w:after="283"/>
              <w:ind w:left="0" w:right="0" w:hanging="0"/>
              <w:rPr/>
            </w:pPr>
            <w:r>
              <w:rPr/>
              <w:t> </w:t>
            </w:r>
          </w:p>
        </w:tc>
        <w:tc>
          <w:tcPr>
            <w:tcW w:w="832"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w:t>
            </w:r>
          </w:p>
        </w:tc>
        <w:tc>
          <w:tcPr>
            <w:tcW w:w="60" w:type="dxa"/>
            <w:tcBorders/>
            <w:shd w:fill="FFFFFF" w:val="clear"/>
            <w:vAlign w:val="center"/>
          </w:tcPr>
          <w:p>
            <w:pPr>
              <w:pStyle w:val="TableContents"/>
              <w:spacing w:before="0" w:after="283"/>
              <w:rPr/>
            </w:pPr>
            <w:r>
              <w:rPr/>
              <w:t> </w:t>
            </w:r>
          </w:p>
        </w:tc>
      </w:tr>
      <w:tr>
        <w:trPr/>
        <w:tc>
          <w:tcPr>
            <w:tcW w:w="207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Short Term lease expense</w:t>
            </w:r>
          </w:p>
        </w:tc>
        <w:tc>
          <w:tcPr>
            <w:tcW w:w="60" w:type="dxa"/>
            <w:tcBorders/>
            <w:shd w:fill="CCEEFF" w:val="clear"/>
            <w:vAlign w:val="center"/>
          </w:tcPr>
          <w:p>
            <w:pPr>
              <w:pStyle w:val="TableContents"/>
              <w:spacing w:before="0" w:after="283"/>
              <w:rPr/>
            </w:pPr>
            <w:r>
              <w:rPr/>
              <w:t> </w:t>
            </w:r>
          </w:p>
        </w:tc>
        <w:tc>
          <w:tcPr>
            <w:tcW w:w="310"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832"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w:t>
            </w:r>
          </w:p>
        </w:tc>
        <w:tc>
          <w:tcPr>
            <w:tcW w:w="149" w:type="dxa"/>
            <w:tcBorders/>
            <w:shd w:fill="CCEEFF" w:val="clear"/>
            <w:vAlign w:val="center"/>
          </w:tcPr>
          <w:p>
            <w:pPr>
              <w:pStyle w:val="TableContents"/>
              <w:spacing w:before="0" w:after="283"/>
              <w:rPr/>
            </w:pPr>
            <w:r>
              <w:rPr/>
              <w:t> </w:t>
            </w:r>
          </w:p>
        </w:tc>
        <w:tc>
          <w:tcPr>
            <w:tcW w:w="149" w:type="dxa"/>
            <w:tcBorders/>
            <w:shd w:fill="CCEEFF" w:val="clear"/>
            <w:vAlign w:val="center"/>
          </w:tcPr>
          <w:p>
            <w:pPr>
              <w:pStyle w:val="TableContents"/>
              <w:spacing w:before="0" w:after="283"/>
              <w:rPr/>
            </w:pPr>
            <w:r>
              <w:rPr/>
              <w:t> </w:t>
            </w:r>
          </w:p>
        </w:tc>
        <w:tc>
          <w:tcPr>
            <w:tcW w:w="310"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832"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w:t>
            </w:r>
          </w:p>
        </w:tc>
        <w:tc>
          <w:tcPr>
            <w:tcW w:w="60" w:type="dxa"/>
            <w:tcBorders/>
            <w:shd w:fill="CCEEFF" w:val="clear"/>
            <w:vAlign w:val="center"/>
          </w:tcPr>
          <w:p>
            <w:pPr>
              <w:pStyle w:val="TableContents"/>
              <w:spacing w:before="0" w:after="283"/>
              <w:rPr/>
            </w:pPr>
            <w:r>
              <w:rPr/>
              <w:t> </w:t>
            </w:r>
          </w:p>
        </w:tc>
      </w:tr>
      <w:tr>
        <w:trPr/>
        <w:tc>
          <w:tcPr>
            <w:tcW w:w="2075"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Total lease expense</w:t>
            </w:r>
          </w:p>
        </w:tc>
        <w:tc>
          <w:tcPr>
            <w:tcW w:w="60" w:type="dxa"/>
            <w:tcBorders/>
            <w:shd w:fill="FFFFFF" w:val="clear"/>
            <w:vAlign w:val="center"/>
          </w:tcPr>
          <w:p>
            <w:pPr>
              <w:pStyle w:val="TableContents"/>
              <w:spacing w:before="0" w:after="283"/>
              <w:ind w:left="0" w:right="0" w:hanging="0"/>
              <w:rPr/>
            </w:pPr>
            <w:r>
              <w:rPr/>
              <w:t> </w:t>
            </w:r>
          </w:p>
        </w:tc>
        <w:tc>
          <w:tcPr>
            <w:tcW w:w="310"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32"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293</w:t>
            </w:r>
          </w:p>
        </w:tc>
        <w:tc>
          <w:tcPr>
            <w:tcW w:w="149" w:type="dxa"/>
            <w:tcBorders/>
            <w:shd w:fill="FFFFFF" w:val="clear"/>
            <w:vAlign w:val="center"/>
          </w:tcPr>
          <w:p>
            <w:pPr>
              <w:pStyle w:val="TableContents"/>
              <w:spacing w:before="0" w:after="283"/>
              <w:rPr/>
            </w:pPr>
            <w:r>
              <w:rPr/>
              <w:t> </w:t>
            </w:r>
          </w:p>
        </w:tc>
        <w:tc>
          <w:tcPr>
            <w:tcW w:w="149" w:type="dxa"/>
            <w:tcBorders/>
            <w:shd w:fill="FFFFFF" w:val="clear"/>
            <w:vAlign w:val="center"/>
          </w:tcPr>
          <w:p>
            <w:pPr>
              <w:pStyle w:val="TableContents"/>
              <w:spacing w:before="0" w:after="283"/>
              <w:ind w:left="0" w:right="0" w:hanging="0"/>
              <w:rPr/>
            </w:pPr>
            <w:r>
              <w:rPr/>
              <w:t> </w:t>
            </w:r>
          </w:p>
        </w:tc>
        <w:tc>
          <w:tcPr>
            <w:tcW w:w="310"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32"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317</w:t>
            </w:r>
          </w:p>
        </w:tc>
        <w:tc>
          <w:tcPr>
            <w:tcW w:w="60" w:type="dxa"/>
            <w:tcBorders/>
            <w:shd w:fill="FFFFFF" w:val="clear"/>
            <w:vAlign w:val="center"/>
          </w:tcPr>
          <w:p>
            <w:pPr>
              <w:pStyle w:val="TableContents"/>
              <w:spacing w:before="0" w:after="283"/>
              <w:rPr/>
            </w:pPr>
            <w:r>
              <w:rPr/>
              <w:t> </w:t>
            </w:r>
          </w:p>
        </w:tc>
      </w:tr>
    </w:tbl>
    <w:p>
      <w:pPr>
        <w:pStyle w:val="TextBody"/>
        <w:spacing w:before="0" w:after="0"/>
        <w:ind w:left="0" w:right="0" w:hanging="0"/>
        <w:jc w:val="left"/>
        <w:rPr/>
      </w:pPr>
      <w:r>
        <w:rPr/>
        <w:t> </w:t>
      </w:r>
    </w:p>
    <w:p>
      <w:pPr>
        <w:pStyle w:val="TextBody"/>
        <w:spacing w:before="0" w:after="0"/>
        <w:ind w:left="0" w:right="0" w:firstLine="720"/>
        <w:jc w:val="left"/>
        <w:rPr/>
      </w:pPr>
      <w:r>
        <w:rPr>
          <w:rFonts w:ascii="Times New Roman" w:hAnsi="Times New Roman"/>
          <w:sz w:val="20"/>
        </w:rPr>
        <w:t xml:space="preserve">Maturities of lease liabilities are as follows for the future </w:t>
      </w:r>
      <w:r>
        <w:rPr>
          <w:rStyle w:val="Emphasis"/>
          <w:rFonts w:ascii="Times New Roman" w:hAnsi="Times New Roman"/>
          <w:sz w:val="20"/>
        </w:rPr>
        <w:t>one</w:t>
      </w:r>
      <w:r>
        <w:rPr>
          <w:rFonts w:ascii="Times New Roman" w:hAnsi="Times New Roman"/>
          <w:sz w:val="20"/>
        </w:rPr>
        <w:t>-year periods ending </w:t>
      </w:r>
      <w:r>
        <w:rPr>
          <w:rStyle w:val="Emphasis"/>
          <w:rFonts w:ascii="Times New Roman" w:hAnsi="Times New Roman"/>
          <w:sz w:val="20"/>
        </w:rPr>
        <w:t xml:space="preserve"> March 31, 2023</w:t>
      </w:r>
      <w:r>
        <w:rPr>
          <w:rFonts w:ascii="Times New Roman" w:hAnsi="Times New Roman"/>
          <w:sz w:val="20"/>
        </w:rPr>
        <w:t xml:space="preserve"> (in thousands):</w:t>
      </w:r>
    </w:p>
    <w:p>
      <w:pPr>
        <w:pStyle w:val="TextBody"/>
        <w:spacing w:before="0" w:after="0"/>
        <w:ind w:left="0" w:right="0" w:firstLine="720"/>
        <w:jc w:val="left"/>
        <w:rPr/>
      </w:pPr>
      <w:r>
        <w:rPr/>
        <w:t>​</w:t>
      </w:r>
    </w:p>
    <w:tbl>
      <w:tblPr>
        <w:tblW w:w="3925" w:type="dxa"/>
        <w:jc w:val="left"/>
        <w:tblInd w:w="0" w:type="dxa"/>
        <w:tblCellMar>
          <w:top w:w="0" w:type="dxa"/>
          <w:left w:w="0" w:type="dxa"/>
          <w:bottom w:w="0" w:type="dxa"/>
          <w:right w:w="0" w:type="dxa"/>
        </w:tblCellMar>
      </w:tblPr>
      <w:tblGrid>
        <w:gridCol w:w="1760"/>
        <w:gridCol w:w="60"/>
        <w:gridCol w:w="60"/>
        <w:gridCol w:w="860"/>
        <w:gridCol w:w="80"/>
        <w:gridCol w:w="60"/>
        <w:gridCol w:w="60"/>
        <w:gridCol w:w="890"/>
        <w:gridCol w:w="95"/>
      </w:tblGrid>
      <w:tr>
        <w:trPr/>
        <w:tc>
          <w:tcPr>
            <w:tcW w:w="1760" w:type="dxa"/>
            <w:tcBorders/>
            <w:shd w:fill="FFFFFF" w:val="clear"/>
            <w:vAlign w:val="center"/>
          </w:tcPr>
          <w:p>
            <w:pPr>
              <w:pStyle w:val="TableContents"/>
              <w:spacing w:before="0" w:after="0"/>
              <w:ind w:left="0" w:right="0" w:hanging="0"/>
              <w:rPr/>
            </w:pPr>
            <w:r>
              <w:rPr/>
              <w:t> </w:t>
            </w:r>
          </w:p>
        </w:tc>
        <w:tc>
          <w:tcPr>
            <w:tcW w:w="60" w:type="dxa"/>
            <w:tcBorders/>
            <w:shd w:fill="FFFFFF" w:val="clear"/>
            <w:vAlign w:val="center"/>
          </w:tcPr>
          <w:p>
            <w:pPr>
              <w:pStyle w:val="TableContents"/>
              <w:spacing w:before="0" w:after="0"/>
              <w:ind w:left="0" w:right="0" w:hanging="0"/>
              <w:rPr/>
            </w:pPr>
            <w:r>
              <w:rPr/>
              <w:t> </w:t>
            </w:r>
          </w:p>
        </w:tc>
        <w:tc>
          <w:tcPr>
            <w:tcW w:w="6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860" w:type="dxa"/>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sz w:val="20"/>
              </w:rPr>
              <w:t>Operating</w:t>
            </w:r>
          </w:p>
        </w:tc>
        <w:tc>
          <w:tcPr>
            <w:tcW w:w="80" w:type="dxa"/>
            <w:tcBorders/>
            <w:shd w:fill="FFFFFF" w:val="clear"/>
            <w:vAlign w:val="center"/>
          </w:tcPr>
          <w:p>
            <w:pPr>
              <w:pStyle w:val="TableContents"/>
              <w:spacing w:before="0" w:after="0"/>
              <w:ind w:left="0" w:right="0" w:hanging="0"/>
              <w:rPr/>
            </w:pPr>
            <w:r>
              <w:rPr/>
              <w:t> </w:t>
            </w:r>
          </w:p>
        </w:tc>
        <w:tc>
          <w:tcPr>
            <w:tcW w:w="60" w:type="dxa"/>
            <w:tcBorders/>
            <w:shd w:fill="FFFFFF" w:val="clear"/>
            <w:vAlign w:val="center"/>
          </w:tcPr>
          <w:p>
            <w:pPr>
              <w:pStyle w:val="TableContents"/>
              <w:spacing w:before="0" w:after="0"/>
              <w:ind w:left="0" w:right="0" w:hanging="0"/>
              <w:rPr/>
            </w:pPr>
            <w:r>
              <w:rPr/>
              <w:t> </w:t>
            </w:r>
          </w:p>
        </w:tc>
        <w:tc>
          <w:tcPr>
            <w:tcW w:w="6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890" w:type="dxa"/>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sz w:val="20"/>
              </w:rPr>
              <w:t>Financing</w:t>
            </w:r>
          </w:p>
        </w:tc>
        <w:tc>
          <w:tcPr>
            <w:tcW w:w="95" w:type="dxa"/>
            <w:tcBorders/>
            <w:shd w:fill="FFFFFF" w:val="clear"/>
            <w:vAlign w:val="center"/>
          </w:tcPr>
          <w:p>
            <w:pPr>
              <w:pStyle w:val="TableContents"/>
              <w:spacing w:before="0" w:after="0"/>
              <w:rPr/>
            </w:pPr>
            <w:r>
              <w:rPr/>
              <w:t> </w:t>
            </w:r>
          </w:p>
        </w:tc>
      </w:tr>
      <w:tr>
        <w:trPr/>
        <w:tc>
          <w:tcPr>
            <w:tcW w:w="1760" w:type="dxa"/>
            <w:tcBorders/>
            <w:shd w:fill="CCEE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2023</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860"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1,221</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890"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95" w:type="dxa"/>
            <w:tcBorders/>
            <w:shd w:fill="CCEEFF" w:val="clear"/>
            <w:vAlign w:val="center"/>
          </w:tcPr>
          <w:p>
            <w:pPr>
              <w:pStyle w:val="TableContents"/>
              <w:spacing w:before="0" w:after="283"/>
              <w:rPr/>
            </w:pPr>
            <w:r>
              <w:rPr/>
              <w:t> </w:t>
            </w:r>
          </w:p>
        </w:tc>
      </w:tr>
      <w:tr>
        <w:trPr/>
        <w:tc>
          <w:tcPr>
            <w:tcW w:w="1760" w:type="dxa"/>
            <w:tcBorders/>
            <w:shd w:fill="FFFF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2024</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60"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1,136</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90"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spacing w:before="0" w:after="283"/>
              <w:rPr/>
            </w:pPr>
            <w:r>
              <w:rPr/>
              <w:t> </w:t>
            </w:r>
          </w:p>
        </w:tc>
      </w:tr>
      <w:tr>
        <w:trPr/>
        <w:tc>
          <w:tcPr>
            <w:tcW w:w="1760" w:type="dxa"/>
            <w:tcBorders/>
            <w:shd w:fill="CCEE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2025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860"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1,151</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890"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spacing w:before="0" w:after="283"/>
              <w:rPr/>
            </w:pPr>
            <w:r>
              <w:rPr/>
              <w:t> </w:t>
            </w:r>
          </w:p>
        </w:tc>
      </w:tr>
      <w:tr>
        <w:trPr/>
        <w:tc>
          <w:tcPr>
            <w:tcW w:w="1760" w:type="dxa"/>
            <w:tcBorders/>
            <w:shd w:fill="FFFF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2026</w:t>
            </w:r>
          </w:p>
        </w:tc>
        <w:tc>
          <w:tcPr>
            <w:tcW w:w="60" w:type="dxa"/>
            <w:tcBorders/>
            <w:shd w:fill="FFFFFF" w:val="clear"/>
            <w:vAlign w:val="center"/>
          </w:tcPr>
          <w:p>
            <w:pPr>
              <w:pStyle w:val="TableContents"/>
              <w:spacing w:before="0" w:after="283"/>
              <w:ind w:left="0" w:right="0" w:hanging="0"/>
              <w:rPr/>
            </w:pPr>
            <w:r>
              <w:rPr/>
              <w:t> </w:t>
            </w:r>
          </w:p>
        </w:tc>
        <w:tc>
          <w:tcPr>
            <w:tcW w:w="60" w:type="dxa"/>
            <w:tcBorders/>
            <w:shd w:fill="FFFFFF" w:val="clear"/>
            <w:vAlign w:val="center"/>
          </w:tcPr>
          <w:p>
            <w:pPr>
              <w:pStyle w:val="TableContents"/>
              <w:spacing w:before="0" w:after="283"/>
              <w:ind w:left="0" w:right="0" w:hanging="0"/>
              <w:rPr/>
            </w:pPr>
            <w:r>
              <w:rPr/>
              <w:t> </w:t>
            </w:r>
          </w:p>
        </w:tc>
        <w:tc>
          <w:tcPr>
            <w:tcW w:w="860"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1,076</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60" w:type="dxa"/>
            <w:tcBorders/>
            <w:shd w:fill="FFFFFF" w:val="clear"/>
            <w:vAlign w:val="center"/>
          </w:tcPr>
          <w:p>
            <w:pPr>
              <w:pStyle w:val="TableContents"/>
              <w:spacing w:before="0" w:after="283"/>
              <w:ind w:left="0" w:right="0" w:hanging="0"/>
              <w:rPr/>
            </w:pPr>
            <w:r>
              <w:rPr/>
              <w:t> </w:t>
            </w:r>
          </w:p>
        </w:tc>
        <w:tc>
          <w:tcPr>
            <w:tcW w:w="890"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spacing w:before="0" w:after="283"/>
              <w:rPr/>
            </w:pPr>
            <w:r>
              <w:rPr/>
              <w:t> </w:t>
            </w:r>
          </w:p>
        </w:tc>
      </w:tr>
      <w:tr>
        <w:trPr/>
        <w:tc>
          <w:tcPr>
            <w:tcW w:w="1760" w:type="dxa"/>
            <w:tcBorders/>
            <w:shd w:fill="CCEE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2027</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860"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1,099</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890"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spacing w:before="0" w:after="283"/>
              <w:rPr/>
            </w:pPr>
            <w:r>
              <w:rPr/>
              <w:t> </w:t>
            </w:r>
          </w:p>
        </w:tc>
      </w:tr>
      <w:tr>
        <w:trPr/>
        <w:tc>
          <w:tcPr>
            <w:tcW w:w="1760" w:type="dxa"/>
            <w:tcBorders/>
            <w:shd w:fill="FFFF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2028 and thereafter</w:t>
            </w:r>
          </w:p>
        </w:tc>
        <w:tc>
          <w:tcPr>
            <w:tcW w:w="60" w:type="dxa"/>
            <w:tcBorders/>
            <w:shd w:fill="FFFFFF" w:val="clear"/>
            <w:vAlign w:val="center"/>
          </w:tcPr>
          <w:p>
            <w:pPr>
              <w:pStyle w:val="TableContents"/>
              <w:spacing w:before="0" w:after="283"/>
              <w:rPr/>
            </w:pPr>
            <w:r>
              <w:rPr/>
              <w:t> </w:t>
            </w:r>
          </w:p>
        </w:tc>
        <w:tc>
          <w:tcPr>
            <w:tcW w:w="60"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86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1,289</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89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spacing w:before="0" w:after="283"/>
              <w:rPr/>
            </w:pPr>
            <w:r>
              <w:rPr/>
              <w:t> </w:t>
            </w:r>
          </w:p>
        </w:tc>
      </w:tr>
      <w:tr>
        <w:trPr/>
        <w:tc>
          <w:tcPr>
            <w:tcW w:w="1760" w:type="dxa"/>
            <w:tcBorders/>
            <w:shd w:fill="CCEE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Total lease payments</w:t>
            </w:r>
          </w:p>
        </w:tc>
        <w:tc>
          <w:tcPr>
            <w:tcW w:w="60" w:type="dxa"/>
            <w:tcBorders/>
            <w:shd w:fill="CCEEFF" w:val="clear"/>
            <w:vAlign w:val="center"/>
          </w:tcPr>
          <w:p>
            <w:pPr>
              <w:pStyle w:val="TableContents"/>
              <w:spacing w:before="0" w:after="283"/>
              <w:ind w:left="0" w:right="0" w:hanging="0"/>
              <w:rPr/>
            </w:pPr>
            <w:r>
              <w:rPr/>
              <w:t> </w:t>
            </w:r>
          </w:p>
        </w:tc>
        <w:tc>
          <w:tcPr>
            <w:tcW w:w="60" w:type="dxa"/>
            <w:tcBorders/>
            <w:shd w:fill="CCEEFF" w:val="clear"/>
            <w:vAlign w:val="center"/>
          </w:tcPr>
          <w:p>
            <w:pPr>
              <w:pStyle w:val="TableContents"/>
              <w:spacing w:before="0" w:after="283"/>
              <w:ind w:left="0" w:right="0" w:hanging="0"/>
              <w:rPr/>
            </w:pPr>
            <w:r>
              <w:rPr/>
              <w:t> </w:t>
            </w:r>
          </w:p>
        </w:tc>
        <w:tc>
          <w:tcPr>
            <w:tcW w:w="860"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6,971</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60" w:type="dxa"/>
            <w:tcBorders/>
            <w:shd w:fill="CCEEFF" w:val="clear"/>
            <w:vAlign w:val="center"/>
          </w:tcPr>
          <w:p>
            <w:pPr>
              <w:pStyle w:val="TableContents"/>
              <w:spacing w:before="0" w:after="283"/>
              <w:ind w:left="0" w:right="0" w:hanging="0"/>
              <w:rPr/>
            </w:pPr>
            <w:r>
              <w:rPr/>
              <w:t> </w:t>
            </w:r>
          </w:p>
        </w:tc>
        <w:tc>
          <w:tcPr>
            <w:tcW w:w="890"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95" w:type="dxa"/>
            <w:tcBorders/>
            <w:shd w:fill="CCEEFF" w:val="clear"/>
            <w:vAlign w:val="center"/>
          </w:tcPr>
          <w:p>
            <w:pPr>
              <w:pStyle w:val="TableContents"/>
              <w:spacing w:before="0" w:after="283"/>
              <w:rPr/>
            </w:pPr>
            <w:r>
              <w:rPr/>
              <w:t> </w:t>
            </w:r>
          </w:p>
        </w:tc>
      </w:tr>
      <w:tr>
        <w:trPr/>
        <w:tc>
          <w:tcPr>
            <w:tcW w:w="1760" w:type="dxa"/>
            <w:tcBorders/>
            <w:shd w:fill="FFFF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Less imputed interest</w:t>
            </w:r>
          </w:p>
        </w:tc>
        <w:tc>
          <w:tcPr>
            <w:tcW w:w="60" w:type="dxa"/>
            <w:tcBorders/>
            <w:shd w:fill="FFFFFF" w:val="clear"/>
            <w:vAlign w:val="center"/>
          </w:tcPr>
          <w:p>
            <w:pPr>
              <w:pStyle w:val="TableContents"/>
              <w:spacing w:before="0" w:after="283"/>
              <w:rPr/>
            </w:pPr>
            <w:r>
              <w:rPr/>
              <w:t> </w:t>
            </w:r>
          </w:p>
        </w:tc>
        <w:tc>
          <w:tcPr>
            <w:tcW w:w="60"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86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(629</w:t>
            </w:r>
          </w:p>
        </w:tc>
        <w:tc>
          <w:tcPr>
            <w:tcW w:w="8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spacing w:before="0" w:after="283"/>
              <w:rPr/>
            </w:pPr>
            <w:r>
              <w:rPr/>
              <w:t> </w:t>
            </w:r>
          </w:p>
        </w:tc>
        <w:tc>
          <w:tcPr>
            <w:tcW w:w="60"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89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9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r>
      <w:tr>
        <w:trPr/>
        <w:tc>
          <w:tcPr>
            <w:tcW w:w="1760" w:type="dxa"/>
            <w:tcBorders/>
            <w:shd w:fill="CCEE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Present value</w:t>
            </w:r>
          </w:p>
        </w:tc>
        <w:tc>
          <w:tcPr>
            <w:tcW w:w="60" w:type="dxa"/>
            <w:tcBorders/>
            <w:shd w:fill="CCEEFF" w:val="clear"/>
            <w:vAlign w:val="center"/>
          </w:tcPr>
          <w:p>
            <w:pPr>
              <w:pStyle w:val="TableContents"/>
              <w:spacing w:before="0" w:after="283"/>
              <w:ind w:left="0" w:right="0" w:hanging="0"/>
              <w:rPr/>
            </w:pPr>
            <w:r>
              <w:rPr/>
              <w:t> </w:t>
            </w:r>
          </w:p>
        </w:tc>
        <w:tc>
          <w:tcPr>
            <w:tcW w:w="60" w:type="dxa"/>
            <w:tcBorders>
              <w:bottom w:val="double" w:sz="6" w:space="0" w:color="000000"/>
            </w:tcBorders>
            <w:shd w:fill="CCEEFF" w:val="clear"/>
            <w:tcMar>
              <w:bottom w:w="28" w:type="dxa"/>
            </w:tcMar>
            <w:vAlign w:val="center"/>
          </w:tcPr>
          <w:p>
            <w:pPr>
              <w:pStyle w:val="TableContents"/>
              <w:spacing w:before="0" w:after="283"/>
              <w:ind w:left="0" w:right="0" w:hanging="0"/>
              <w:rPr/>
            </w:pPr>
            <w:r>
              <w:rPr/>
              <w:t> </w:t>
            </w:r>
          </w:p>
        </w:tc>
        <w:tc>
          <w:tcPr>
            <w:tcW w:w="86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6,342</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60" w:type="dxa"/>
            <w:tcBorders>
              <w:bottom w:val="double" w:sz="6" w:space="0" w:color="000000"/>
            </w:tcBorders>
            <w:shd w:fill="CCEEFF" w:val="clear"/>
            <w:tcMar>
              <w:bottom w:w="28" w:type="dxa"/>
            </w:tcMar>
            <w:vAlign w:val="center"/>
          </w:tcPr>
          <w:p>
            <w:pPr>
              <w:pStyle w:val="TableContents"/>
              <w:spacing w:before="0" w:after="283"/>
              <w:ind w:left="0" w:right="0" w:hanging="0"/>
              <w:rPr/>
            </w:pPr>
            <w:r>
              <w:rPr/>
              <w:t> </w:t>
            </w:r>
          </w:p>
        </w:tc>
        <w:tc>
          <w:tcPr>
            <w:tcW w:w="89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58</w:t>
            </w:r>
          </w:p>
        </w:tc>
        <w:tc>
          <w:tcPr>
            <w:tcW w:w="95" w:type="dxa"/>
            <w:tcBorders/>
            <w:shd w:fill="CCEEFF" w:val="clear"/>
            <w:vAlign w:val="center"/>
          </w:tcPr>
          <w:p>
            <w:pPr>
              <w:pStyle w:val="TableContents"/>
              <w:spacing w:before="0" w:after="283"/>
              <w:rPr/>
            </w:pPr>
            <w:r>
              <w:rPr/>
              <w:t> </w:t>
            </w:r>
          </w:p>
        </w:tc>
      </w:tr>
    </w:tbl>
    <w:p>
      <w:pPr>
        <w:pStyle w:val="TextBody"/>
        <w:spacing w:before="0" w:after="0"/>
        <w:ind w:left="0" w:right="0" w:firstLine="720"/>
        <w:jc w:val="left"/>
        <w:rPr/>
      </w:pPr>
      <w:r>
        <w:rPr/>
        <w:t>​</w:t>
      </w:r>
    </w:p>
    <w:p>
      <w:pPr>
        <w:pStyle w:val="TextBody"/>
        <w:spacing w:before="0" w:after="0"/>
        <w:jc w:val="center"/>
        <w:rPr/>
      </w:pPr>
      <w:r>
        <w:rPr>
          <w:rStyle w:val="Emphasis"/>
          <w:rFonts w:ascii="Times New Roman" w:hAnsi="Times New Roman"/>
          <w:sz w:val="20"/>
        </w:rPr>
        <w:t>11</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0" w:right="0" w:firstLine="720"/>
        <w:jc w:val="left"/>
        <w:rPr>
          <w:rFonts w:ascii="Times New Roman" w:hAnsi="Times New Roman"/>
          <w:sz w:val="20"/>
        </w:rPr>
      </w:pPr>
      <w:r>
        <w:rPr>
          <w:rFonts w:ascii="Times New Roman" w:hAnsi="Times New Roman"/>
          <w:sz w:val="20"/>
        </w:rPr>
        <w:t>The weighted average remaining lease term and discount rate for the leases were as follows for the periods indicated:</w:t>
      </w:r>
    </w:p>
    <w:p>
      <w:pPr>
        <w:pStyle w:val="TextBody"/>
        <w:spacing w:before="0" w:after="0"/>
        <w:ind w:left="0" w:right="0" w:hanging="0"/>
        <w:jc w:val="left"/>
        <w:rPr/>
      </w:pPr>
      <w:r>
        <w:rPr/>
        <w:t>​</w:t>
      </w:r>
    </w:p>
    <w:tbl>
      <w:tblPr>
        <w:tblW w:w="8352" w:type="dxa"/>
        <w:jc w:val="left"/>
        <w:tblInd w:w="0" w:type="dxa"/>
        <w:tblCellMar>
          <w:top w:w="0" w:type="dxa"/>
          <w:left w:w="0" w:type="dxa"/>
          <w:bottom w:w="0" w:type="dxa"/>
          <w:right w:w="0" w:type="dxa"/>
        </w:tblCellMar>
      </w:tblPr>
      <w:tblGrid>
        <w:gridCol w:w="5525"/>
        <w:gridCol w:w="60"/>
        <w:gridCol w:w="137"/>
        <w:gridCol w:w="873"/>
        <w:gridCol w:w="425"/>
        <w:gridCol w:w="137"/>
        <w:gridCol w:w="137"/>
        <w:gridCol w:w="873"/>
        <w:gridCol w:w="185"/>
      </w:tblGrid>
      <w:tr>
        <w:trPr/>
        <w:tc>
          <w:tcPr>
            <w:tcW w:w="552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582"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sz w:val="20"/>
              </w:rPr>
              <w:t>Three months ended March 31,</w:t>
            </w:r>
          </w:p>
        </w:tc>
        <w:tc>
          <w:tcPr>
            <w:tcW w:w="185" w:type="dxa"/>
            <w:tcBorders/>
            <w:shd w:fill="FFFFFF" w:val="clear"/>
            <w:vAlign w:val="center"/>
          </w:tcPr>
          <w:p>
            <w:pPr>
              <w:pStyle w:val="TableContents"/>
              <w:spacing w:before="0" w:after="283"/>
              <w:rPr/>
            </w:pPr>
            <w:r>
              <w:rPr/>
              <w:t> </w:t>
            </w:r>
          </w:p>
        </w:tc>
      </w:tr>
      <w:tr>
        <w:trPr/>
        <w:tc>
          <w:tcPr>
            <w:tcW w:w="5525" w:type="dxa"/>
            <w:tcBorders/>
            <w:shd w:fill="FFFFFF" w:val="clear"/>
            <w:vAlign w:val="center"/>
          </w:tcPr>
          <w:p>
            <w:pPr>
              <w:pStyle w:val="TableContents"/>
              <w:spacing w:before="0" w:after="0"/>
              <w:rPr/>
            </w:pPr>
            <w:r>
              <w:rPr/>
              <w:t>​</w:t>
            </w:r>
          </w:p>
        </w:tc>
        <w:tc>
          <w:tcPr>
            <w:tcW w:w="60" w:type="dxa"/>
            <w:tcBorders/>
            <w:shd w:fill="FFFFFF" w:val="clear"/>
            <w:vAlign w:val="center"/>
          </w:tcPr>
          <w:p>
            <w:pPr>
              <w:pStyle w:val="TableContents"/>
              <w:spacing w:before="0" w:after="283"/>
              <w:ind w:left="0" w:right="0" w:hanging="0"/>
              <w:rPr/>
            </w:pPr>
            <w:r>
              <w:rPr/>
              <w:t> </w:t>
            </w:r>
          </w:p>
        </w:tc>
        <w:tc>
          <w:tcPr>
            <w:tcW w:w="101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sz w:val="20"/>
              </w:rPr>
              <w:t>2023</w:t>
            </w:r>
          </w:p>
        </w:tc>
        <w:tc>
          <w:tcPr>
            <w:tcW w:w="425" w:type="dxa"/>
            <w:tcBorders/>
            <w:shd w:fill="FFFFFF" w:val="clear"/>
            <w:vAlign w:val="center"/>
          </w:tcPr>
          <w:p>
            <w:pPr>
              <w:pStyle w:val="TableContents"/>
              <w:spacing w:before="0" w:after="283"/>
              <w:rPr/>
            </w:pPr>
            <w:r>
              <w:rPr/>
              <w:t> </w:t>
            </w:r>
          </w:p>
        </w:tc>
        <w:tc>
          <w:tcPr>
            <w:tcW w:w="137" w:type="dxa"/>
            <w:tcBorders/>
            <w:shd w:fill="FFFFFF" w:val="clear"/>
            <w:vAlign w:val="center"/>
          </w:tcPr>
          <w:p>
            <w:pPr>
              <w:pStyle w:val="TableContents"/>
              <w:spacing w:before="0" w:after="283"/>
              <w:ind w:left="0" w:right="0" w:hanging="0"/>
              <w:rPr/>
            </w:pPr>
            <w:r>
              <w:rPr/>
              <w:t> </w:t>
            </w:r>
          </w:p>
        </w:tc>
        <w:tc>
          <w:tcPr>
            <w:tcW w:w="101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sz w:val="20"/>
              </w:rPr>
              <w:t>2022</w:t>
            </w:r>
          </w:p>
        </w:tc>
        <w:tc>
          <w:tcPr>
            <w:tcW w:w="185" w:type="dxa"/>
            <w:tcBorders/>
            <w:shd w:fill="FFFFFF" w:val="clear"/>
            <w:vAlign w:val="center"/>
          </w:tcPr>
          <w:p>
            <w:pPr>
              <w:pStyle w:val="TableContents"/>
              <w:spacing w:before="0" w:after="283"/>
              <w:rPr/>
            </w:pPr>
            <w:r>
              <w:rPr/>
              <w:t> </w:t>
            </w:r>
          </w:p>
        </w:tc>
      </w:tr>
      <w:tr>
        <w:trPr/>
        <w:tc>
          <w:tcPr>
            <w:tcW w:w="552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Weighted Average Remaining Lease Term (Years) - operating leases</w:t>
            </w:r>
          </w:p>
        </w:tc>
        <w:tc>
          <w:tcPr>
            <w:tcW w:w="60" w:type="dxa"/>
            <w:tcBorders/>
            <w:shd w:fill="CCEEFF" w:val="clear"/>
            <w:vAlign w:val="center"/>
          </w:tcPr>
          <w:p>
            <w:pPr>
              <w:pStyle w:val="TableContents"/>
              <w:spacing w:before="0" w:after="283"/>
              <w:rPr/>
            </w:pPr>
            <w:r>
              <w:rPr/>
              <w:t> </w:t>
            </w:r>
          </w:p>
        </w:tc>
        <w:tc>
          <w:tcPr>
            <w:tcW w:w="137" w:type="dxa"/>
            <w:tcBorders/>
            <w:shd w:fill="CCEEFF" w:val="clear"/>
            <w:vAlign w:val="center"/>
          </w:tcPr>
          <w:p>
            <w:pPr>
              <w:pStyle w:val="TableContents"/>
              <w:spacing w:before="0" w:after="283"/>
              <w:ind w:left="0" w:right="0" w:hanging="0"/>
              <w:rPr/>
            </w:pPr>
            <w:r>
              <w:rPr/>
              <w:t> </w:t>
            </w:r>
          </w:p>
        </w:tc>
        <w:tc>
          <w:tcPr>
            <w:tcW w:w="873"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5.96</w:t>
            </w:r>
          </w:p>
        </w:tc>
        <w:tc>
          <w:tcPr>
            <w:tcW w:w="425" w:type="dxa"/>
            <w:tcBorders/>
            <w:shd w:fill="CCEEFF" w:val="clear"/>
            <w:vAlign w:val="center"/>
          </w:tcPr>
          <w:p>
            <w:pPr>
              <w:pStyle w:val="TableContents"/>
              <w:spacing w:before="0" w:after="283"/>
              <w:rPr/>
            </w:pPr>
            <w:r>
              <w:rPr/>
              <w:t> </w:t>
            </w:r>
          </w:p>
        </w:tc>
        <w:tc>
          <w:tcPr>
            <w:tcW w:w="137" w:type="dxa"/>
            <w:tcBorders/>
            <w:shd w:fill="CCEEFF" w:val="clear"/>
            <w:vAlign w:val="center"/>
          </w:tcPr>
          <w:p>
            <w:pPr>
              <w:pStyle w:val="TableContents"/>
              <w:spacing w:before="0" w:after="283"/>
              <w:rPr/>
            </w:pPr>
            <w:r>
              <w:rPr/>
              <w:t> </w:t>
            </w:r>
          </w:p>
        </w:tc>
        <w:tc>
          <w:tcPr>
            <w:tcW w:w="137" w:type="dxa"/>
            <w:tcBorders/>
            <w:shd w:fill="CCEEFF" w:val="clear"/>
            <w:vAlign w:val="center"/>
          </w:tcPr>
          <w:p>
            <w:pPr>
              <w:pStyle w:val="TableContents"/>
              <w:spacing w:before="0" w:after="283"/>
              <w:ind w:left="0" w:right="0" w:hanging="0"/>
              <w:rPr/>
            </w:pPr>
            <w:r>
              <w:rPr/>
              <w:t> </w:t>
            </w:r>
          </w:p>
        </w:tc>
        <w:tc>
          <w:tcPr>
            <w:tcW w:w="873"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6.91</w:t>
            </w:r>
          </w:p>
        </w:tc>
        <w:tc>
          <w:tcPr>
            <w:tcW w:w="185" w:type="dxa"/>
            <w:tcBorders/>
            <w:shd w:fill="CCEEFF" w:val="clear"/>
            <w:vAlign w:val="center"/>
          </w:tcPr>
          <w:p>
            <w:pPr>
              <w:pStyle w:val="TableContents"/>
              <w:spacing w:before="0" w:after="283"/>
              <w:rPr/>
            </w:pPr>
            <w:r>
              <w:rPr/>
              <w:t> </w:t>
            </w:r>
          </w:p>
        </w:tc>
      </w:tr>
      <w:tr>
        <w:trPr/>
        <w:tc>
          <w:tcPr>
            <w:tcW w:w="5525" w:type="dxa"/>
            <w:tcBorders/>
            <w:shd w:fill="FFFFFF" w:val="clear"/>
            <w:vAlign w:val="center"/>
          </w:tcPr>
          <w:p>
            <w:pPr>
              <w:pStyle w:val="TableContents"/>
              <w:spacing w:before="0" w:after="0"/>
              <w:rPr>
                <w:rFonts w:ascii="Times New Roman" w:hAnsi="Times New Roman"/>
                <w:sz w:val="20"/>
              </w:rPr>
            </w:pPr>
            <w:r>
              <w:rPr>
                <w:rFonts w:ascii="Times New Roman" w:hAnsi="Times New Roman"/>
                <w:sz w:val="20"/>
              </w:rPr>
              <w:t>Weighted Average Remaining Lease Term (Years) - financing leases</w:t>
            </w:r>
          </w:p>
        </w:tc>
        <w:tc>
          <w:tcPr>
            <w:tcW w:w="60" w:type="dxa"/>
            <w:tcBorders/>
            <w:shd w:fill="FFFFFF" w:val="clear"/>
            <w:vAlign w:val="center"/>
          </w:tcPr>
          <w:p>
            <w:pPr>
              <w:pStyle w:val="TableContents"/>
              <w:spacing w:before="0" w:after="283"/>
              <w:rPr/>
            </w:pPr>
            <w:r>
              <w:rPr/>
              <w:t> </w:t>
            </w:r>
          </w:p>
        </w:tc>
        <w:tc>
          <w:tcPr>
            <w:tcW w:w="137" w:type="dxa"/>
            <w:tcBorders/>
            <w:shd w:fill="FFFFFF" w:val="clear"/>
            <w:vAlign w:val="center"/>
          </w:tcPr>
          <w:p>
            <w:pPr>
              <w:pStyle w:val="TableContents"/>
              <w:spacing w:before="0" w:after="283"/>
              <w:ind w:left="0" w:right="0" w:hanging="0"/>
              <w:rPr/>
            </w:pPr>
            <w:r>
              <w:rPr/>
              <w:t> </w:t>
            </w:r>
          </w:p>
        </w:tc>
        <w:tc>
          <w:tcPr>
            <w:tcW w:w="873"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0.58</w:t>
            </w:r>
          </w:p>
        </w:tc>
        <w:tc>
          <w:tcPr>
            <w:tcW w:w="425" w:type="dxa"/>
            <w:tcBorders/>
            <w:shd w:fill="FFFFFF" w:val="clear"/>
            <w:vAlign w:val="center"/>
          </w:tcPr>
          <w:p>
            <w:pPr>
              <w:pStyle w:val="TableContents"/>
              <w:spacing w:before="0" w:after="283"/>
              <w:rPr/>
            </w:pPr>
            <w:r>
              <w:rPr/>
              <w:t> </w:t>
            </w:r>
          </w:p>
        </w:tc>
        <w:tc>
          <w:tcPr>
            <w:tcW w:w="137" w:type="dxa"/>
            <w:tcBorders/>
            <w:shd w:fill="FFFFFF" w:val="clear"/>
            <w:vAlign w:val="center"/>
          </w:tcPr>
          <w:p>
            <w:pPr>
              <w:pStyle w:val="TableContents"/>
              <w:spacing w:before="0" w:after="283"/>
              <w:rPr/>
            </w:pPr>
            <w:r>
              <w:rPr/>
              <w:t> </w:t>
            </w:r>
          </w:p>
        </w:tc>
        <w:tc>
          <w:tcPr>
            <w:tcW w:w="137" w:type="dxa"/>
            <w:tcBorders/>
            <w:shd w:fill="FFFFFF" w:val="clear"/>
            <w:vAlign w:val="center"/>
          </w:tcPr>
          <w:p>
            <w:pPr>
              <w:pStyle w:val="TableContents"/>
              <w:spacing w:before="0" w:after="283"/>
              <w:ind w:left="0" w:right="0" w:hanging="0"/>
              <w:rPr/>
            </w:pPr>
            <w:r>
              <w:rPr/>
              <w:t> </w:t>
            </w:r>
          </w:p>
        </w:tc>
        <w:tc>
          <w:tcPr>
            <w:tcW w:w="873"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1.58</w:t>
            </w:r>
          </w:p>
        </w:tc>
        <w:tc>
          <w:tcPr>
            <w:tcW w:w="185" w:type="dxa"/>
            <w:tcBorders/>
            <w:shd w:fill="FFFFFF" w:val="clear"/>
            <w:vAlign w:val="center"/>
          </w:tcPr>
          <w:p>
            <w:pPr>
              <w:pStyle w:val="TableContents"/>
              <w:spacing w:before="0" w:after="283"/>
              <w:rPr/>
            </w:pPr>
            <w:r>
              <w:rPr/>
              <w:t> </w:t>
            </w:r>
          </w:p>
        </w:tc>
      </w:tr>
      <w:tr>
        <w:trPr/>
        <w:tc>
          <w:tcPr>
            <w:tcW w:w="552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Weighted Average Discount Rate - operating leases</w:t>
            </w:r>
          </w:p>
        </w:tc>
        <w:tc>
          <w:tcPr>
            <w:tcW w:w="60" w:type="dxa"/>
            <w:tcBorders/>
            <w:shd w:fill="CCEEFF" w:val="clear"/>
            <w:vAlign w:val="center"/>
          </w:tcPr>
          <w:p>
            <w:pPr>
              <w:pStyle w:val="TableContents"/>
              <w:spacing w:before="0" w:after="283"/>
              <w:rPr/>
            </w:pPr>
            <w:r>
              <w:rPr/>
              <w:t> </w:t>
            </w:r>
          </w:p>
        </w:tc>
        <w:tc>
          <w:tcPr>
            <w:tcW w:w="137" w:type="dxa"/>
            <w:tcBorders/>
            <w:shd w:fill="CCEEFF" w:val="clear"/>
            <w:vAlign w:val="center"/>
          </w:tcPr>
          <w:p>
            <w:pPr>
              <w:pStyle w:val="TableContents"/>
              <w:spacing w:before="0" w:after="283"/>
              <w:ind w:left="0" w:right="0" w:hanging="0"/>
              <w:rPr/>
            </w:pPr>
            <w:r>
              <w:rPr/>
              <w:t> </w:t>
            </w:r>
          </w:p>
        </w:tc>
        <w:tc>
          <w:tcPr>
            <w:tcW w:w="873"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3.20</w:t>
            </w:r>
          </w:p>
        </w:tc>
        <w:tc>
          <w:tcPr>
            <w:tcW w:w="42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137" w:type="dxa"/>
            <w:tcBorders/>
            <w:shd w:fill="CCEEFF" w:val="clear"/>
            <w:vAlign w:val="center"/>
          </w:tcPr>
          <w:p>
            <w:pPr>
              <w:pStyle w:val="TableContents"/>
              <w:spacing w:before="0" w:after="283"/>
              <w:rPr/>
            </w:pPr>
            <w:r>
              <w:rPr/>
              <w:t> </w:t>
            </w:r>
          </w:p>
        </w:tc>
        <w:tc>
          <w:tcPr>
            <w:tcW w:w="137" w:type="dxa"/>
            <w:tcBorders/>
            <w:shd w:fill="CCEEFF" w:val="clear"/>
            <w:vAlign w:val="center"/>
          </w:tcPr>
          <w:p>
            <w:pPr>
              <w:pStyle w:val="TableContents"/>
              <w:spacing w:before="0" w:after="283"/>
              <w:ind w:left="0" w:right="0" w:hanging="0"/>
              <w:rPr/>
            </w:pPr>
            <w:r>
              <w:rPr/>
              <w:t> </w:t>
            </w:r>
          </w:p>
        </w:tc>
        <w:tc>
          <w:tcPr>
            <w:tcW w:w="873"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3.22</w:t>
            </w:r>
          </w:p>
        </w:tc>
        <w:tc>
          <w:tcPr>
            <w:tcW w:w="18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5525" w:type="dxa"/>
            <w:tcBorders/>
            <w:shd w:fill="FFFFFF" w:val="clear"/>
            <w:vAlign w:val="center"/>
          </w:tcPr>
          <w:p>
            <w:pPr>
              <w:pStyle w:val="TableContents"/>
              <w:spacing w:before="0" w:after="0"/>
              <w:rPr>
                <w:rFonts w:ascii="Times New Roman" w:hAnsi="Times New Roman"/>
                <w:sz w:val="20"/>
              </w:rPr>
            </w:pPr>
            <w:r>
              <w:rPr>
                <w:rFonts w:ascii="Times New Roman" w:hAnsi="Times New Roman"/>
                <w:sz w:val="20"/>
              </w:rPr>
              <w:t>Weighted Average Discount Rate - financing leases</w:t>
            </w:r>
          </w:p>
        </w:tc>
        <w:tc>
          <w:tcPr>
            <w:tcW w:w="60" w:type="dxa"/>
            <w:tcBorders/>
            <w:shd w:fill="FFFFFF" w:val="clear"/>
            <w:vAlign w:val="center"/>
          </w:tcPr>
          <w:p>
            <w:pPr>
              <w:pStyle w:val="TableContents"/>
              <w:spacing w:before="0" w:after="283"/>
              <w:rPr/>
            </w:pPr>
            <w:r>
              <w:rPr/>
              <w:t> </w:t>
            </w:r>
          </w:p>
        </w:tc>
        <w:tc>
          <w:tcPr>
            <w:tcW w:w="137" w:type="dxa"/>
            <w:tcBorders/>
            <w:shd w:fill="FFFFFF" w:val="clear"/>
            <w:vAlign w:val="center"/>
          </w:tcPr>
          <w:p>
            <w:pPr>
              <w:pStyle w:val="TableContents"/>
              <w:spacing w:before="0" w:after="283"/>
              <w:ind w:left="0" w:right="0" w:hanging="0"/>
              <w:rPr/>
            </w:pPr>
            <w:r>
              <w:rPr/>
              <w:t> </w:t>
            </w:r>
          </w:p>
        </w:tc>
        <w:tc>
          <w:tcPr>
            <w:tcW w:w="873"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5.00</w:t>
            </w:r>
          </w:p>
        </w:tc>
        <w:tc>
          <w:tcPr>
            <w:tcW w:w="42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137" w:type="dxa"/>
            <w:tcBorders/>
            <w:shd w:fill="FFFFFF" w:val="clear"/>
            <w:vAlign w:val="center"/>
          </w:tcPr>
          <w:p>
            <w:pPr>
              <w:pStyle w:val="TableContents"/>
              <w:spacing w:before="0" w:after="283"/>
              <w:rPr/>
            </w:pPr>
            <w:r>
              <w:rPr/>
              <w:t> </w:t>
            </w:r>
          </w:p>
        </w:tc>
        <w:tc>
          <w:tcPr>
            <w:tcW w:w="137" w:type="dxa"/>
            <w:tcBorders/>
            <w:shd w:fill="FFFFFF" w:val="clear"/>
            <w:vAlign w:val="center"/>
          </w:tcPr>
          <w:p>
            <w:pPr>
              <w:pStyle w:val="TableContents"/>
              <w:spacing w:before="0" w:after="283"/>
              <w:ind w:left="0" w:right="0" w:hanging="0"/>
              <w:rPr/>
            </w:pPr>
            <w:r>
              <w:rPr/>
              <w:t> </w:t>
            </w:r>
          </w:p>
        </w:tc>
        <w:tc>
          <w:tcPr>
            <w:tcW w:w="873"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5.00</w:t>
            </w:r>
          </w:p>
        </w:tc>
        <w:tc>
          <w:tcPr>
            <w:tcW w:w="18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bl>
    <w:p>
      <w:pPr>
        <w:pStyle w:val="TextBody"/>
        <w:spacing w:before="0" w:after="0"/>
        <w:ind w:left="0" w:right="0" w:hanging="0"/>
        <w:jc w:val="left"/>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Supplemental cash flow information related to the leases was as follows for the periods indicated (in thousands):</w:t>
      </w:r>
    </w:p>
    <w:p>
      <w:pPr>
        <w:pStyle w:val="TextBody"/>
        <w:spacing w:before="0" w:after="0"/>
        <w:ind w:left="0" w:right="0" w:firstLine="720"/>
        <w:jc w:val="left"/>
        <w:rPr/>
      </w:pPr>
      <w:r>
        <w:rPr/>
        <w:t> </w:t>
      </w:r>
    </w:p>
    <w:tbl>
      <w:tblPr>
        <w:tblW w:w="8407" w:type="dxa"/>
        <w:jc w:val="left"/>
        <w:tblInd w:w="0" w:type="dxa"/>
        <w:tblCellMar>
          <w:top w:w="0" w:type="dxa"/>
          <w:left w:w="0" w:type="dxa"/>
          <w:bottom w:w="0" w:type="dxa"/>
          <w:right w:w="0" w:type="dxa"/>
        </w:tblCellMar>
      </w:tblPr>
      <w:tblGrid>
        <w:gridCol w:w="5705"/>
        <w:gridCol w:w="60"/>
        <w:gridCol w:w="170"/>
        <w:gridCol w:w="951"/>
        <w:gridCol w:w="170"/>
        <w:gridCol w:w="170"/>
        <w:gridCol w:w="170"/>
        <w:gridCol w:w="951"/>
        <w:gridCol w:w="60"/>
      </w:tblGrid>
      <w:tr>
        <w:trPr/>
        <w:tc>
          <w:tcPr>
            <w:tcW w:w="570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582"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sz w:val="20"/>
              </w:rPr>
              <w:t>Three months ended March 31,</w:t>
            </w:r>
          </w:p>
        </w:tc>
        <w:tc>
          <w:tcPr>
            <w:tcW w:w="60" w:type="dxa"/>
            <w:tcBorders/>
            <w:shd w:fill="FFFFFF" w:val="clear"/>
            <w:vAlign w:val="center"/>
          </w:tcPr>
          <w:p>
            <w:pPr>
              <w:pStyle w:val="TableContents"/>
              <w:spacing w:before="0" w:after="283"/>
              <w:rPr/>
            </w:pPr>
            <w:r>
              <w:rPr/>
              <w:t> </w:t>
            </w:r>
          </w:p>
        </w:tc>
      </w:tr>
      <w:tr>
        <w:trPr/>
        <w:tc>
          <w:tcPr>
            <w:tcW w:w="5705" w:type="dxa"/>
            <w:tcBorders/>
            <w:shd w:fill="FFFFFF" w:val="clear"/>
            <w:vAlign w:val="center"/>
          </w:tcPr>
          <w:p>
            <w:pPr>
              <w:pStyle w:val="TableContents"/>
              <w:spacing w:before="0" w:after="0"/>
              <w:rPr/>
            </w:pPr>
            <w:r>
              <w:rPr/>
              <w:t>​</w:t>
            </w:r>
          </w:p>
        </w:tc>
        <w:tc>
          <w:tcPr>
            <w:tcW w:w="60" w:type="dxa"/>
            <w:tcBorders/>
            <w:shd w:fill="FFFFFF" w:val="clear"/>
            <w:vAlign w:val="center"/>
          </w:tcPr>
          <w:p>
            <w:pPr>
              <w:pStyle w:val="TableContents"/>
              <w:spacing w:before="0" w:after="283"/>
              <w:ind w:left="0" w:right="0" w:hanging="0"/>
              <w:rPr/>
            </w:pPr>
            <w:r>
              <w:rPr/>
              <w:t> </w:t>
            </w:r>
          </w:p>
        </w:tc>
        <w:tc>
          <w:tcPr>
            <w:tcW w:w="1121"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sz w:val="20"/>
              </w:rPr>
              <w:t>2023</w:t>
            </w:r>
          </w:p>
        </w:tc>
        <w:tc>
          <w:tcPr>
            <w:tcW w:w="170" w:type="dxa"/>
            <w:tcBorders/>
            <w:shd w:fill="FFFFFF" w:val="clear"/>
            <w:vAlign w:val="center"/>
          </w:tcPr>
          <w:p>
            <w:pPr>
              <w:pStyle w:val="TableContents"/>
              <w:spacing w:before="0" w:after="283"/>
              <w:rPr/>
            </w:pPr>
            <w:r>
              <w:rPr/>
              <w:t> </w:t>
            </w:r>
          </w:p>
        </w:tc>
        <w:tc>
          <w:tcPr>
            <w:tcW w:w="170" w:type="dxa"/>
            <w:tcBorders/>
            <w:shd w:fill="FFFFFF" w:val="clear"/>
            <w:vAlign w:val="center"/>
          </w:tcPr>
          <w:p>
            <w:pPr>
              <w:pStyle w:val="TableContents"/>
              <w:spacing w:before="0" w:after="283"/>
              <w:ind w:left="0" w:right="0" w:hanging="0"/>
              <w:rPr/>
            </w:pPr>
            <w:r>
              <w:rPr/>
              <w:t> </w:t>
            </w:r>
          </w:p>
        </w:tc>
        <w:tc>
          <w:tcPr>
            <w:tcW w:w="1121"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sz w:val="20"/>
              </w:rPr>
              <w:t>2022</w:t>
            </w:r>
          </w:p>
        </w:tc>
        <w:tc>
          <w:tcPr>
            <w:tcW w:w="60" w:type="dxa"/>
            <w:tcBorders/>
            <w:shd w:fill="FFFFFF" w:val="clear"/>
            <w:vAlign w:val="center"/>
          </w:tcPr>
          <w:p>
            <w:pPr>
              <w:pStyle w:val="TableContents"/>
              <w:spacing w:before="0" w:after="283"/>
              <w:rPr/>
            </w:pPr>
            <w:r>
              <w:rPr/>
              <w:t> </w:t>
            </w:r>
          </w:p>
        </w:tc>
      </w:tr>
      <w:tr>
        <w:trPr/>
        <w:tc>
          <w:tcPr>
            <w:tcW w:w="570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Cash paid for amounts included in the measurement of lease liabilities</w:t>
            </w:r>
          </w:p>
        </w:tc>
        <w:tc>
          <w:tcPr>
            <w:tcW w:w="60" w:type="dxa"/>
            <w:tcBorders/>
            <w:shd w:fill="CCEEFF" w:val="clear"/>
            <w:vAlign w:val="center"/>
          </w:tcPr>
          <w:p>
            <w:pPr>
              <w:pStyle w:val="TableContents"/>
              <w:spacing w:before="0" w:after="283"/>
              <w:ind w:left="0" w:right="0" w:hanging="0"/>
              <w:rPr/>
            </w:pPr>
            <w:r>
              <w:rPr/>
              <w:t> </w:t>
            </w:r>
          </w:p>
        </w:tc>
        <w:tc>
          <w:tcPr>
            <w:tcW w:w="1121" w:type="dxa"/>
            <w:gridSpan w:val="2"/>
            <w:tcBorders/>
            <w:shd w:fill="CCEEFF" w:val="clear"/>
            <w:vAlign w:val="center"/>
          </w:tcPr>
          <w:p>
            <w:pPr>
              <w:pStyle w:val="TableContents"/>
              <w:spacing w:before="0" w:after="0"/>
              <w:ind w:left="0" w:right="0" w:hanging="0"/>
              <w:jc w:val="left"/>
              <w:rPr/>
            </w:pPr>
            <w:r>
              <w:rPr/>
              <w:t>​</w:t>
            </w:r>
          </w:p>
        </w:tc>
        <w:tc>
          <w:tcPr>
            <w:tcW w:w="17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ind w:left="0" w:right="0" w:hanging="0"/>
              <w:rPr/>
            </w:pPr>
            <w:r>
              <w:rPr/>
              <w:t> </w:t>
            </w:r>
          </w:p>
        </w:tc>
        <w:tc>
          <w:tcPr>
            <w:tcW w:w="1121" w:type="dxa"/>
            <w:gridSpan w:val="2"/>
            <w:tcBorders/>
            <w:shd w:fill="CCEEFF" w:val="clear"/>
            <w:vAlign w:val="center"/>
          </w:tcPr>
          <w:p>
            <w:pPr>
              <w:pStyle w:val="TableContents"/>
              <w:spacing w:before="0" w:after="0"/>
              <w:ind w:left="0" w:right="0" w:hanging="0"/>
              <w:jc w:val="left"/>
              <w:rPr/>
            </w:pPr>
            <w:r>
              <w:rPr/>
              <w:t>​</w:t>
            </w:r>
          </w:p>
        </w:tc>
        <w:tc>
          <w:tcPr>
            <w:tcW w:w="60" w:type="dxa"/>
            <w:tcBorders/>
            <w:shd w:fill="CCEEFF" w:val="clear"/>
            <w:vAlign w:val="center"/>
          </w:tcPr>
          <w:p>
            <w:pPr>
              <w:pStyle w:val="TableContents"/>
              <w:spacing w:before="0" w:after="283"/>
              <w:rPr/>
            </w:pPr>
            <w:r>
              <w:rPr/>
              <w:t> </w:t>
            </w:r>
          </w:p>
        </w:tc>
      </w:tr>
      <w:tr>
        <w:trPr/>
        <w:tc>
          <w:tcPr>
            <w:tcW w:w="5705" w:type="dxa"/>
            <w:tcBorders/>
            <w:shd w:fill="FFFFFF" w:val="clear"/>
            <w:vAlign w:val="center"/>
          </w:tcPr>
          <w:p>
            <w:pPr>
              <w:pStyle w:val="TableContents"/>
              <w:spacing w:before="0" w:after="0"/>
              <w:ind w:left="180" w:right="0" w:hanging="0"/>
              <w:rPr>
                <w:rFonts w:ascii="Times New Roman" w:hAnsi="Times New Roman"/>
                <w:sz w:val="20"/>
              </w:rPr>
            </w:pPr>
            <w:r>
              <w:rPr>
                <w:rFonts w:ascii="Times New Roman" w:hAnsi="Times New Roman"/>
                <w:sz w:val="20"/>
              </w:rPr>
              <w:t>Operating cash flows from operating leases</w:t>
            </w:r>
          </w:p>
        </w:tc>
        <w:tc>
          <w:tcPr>
            <w:tcW w:w="60" w:type="dxa"/>
            <w:tcBorders/>
            <w:shd w:fill="FFFFFF" w:val="clear"/>
            <w:vAlign w:val="center"/>
          </w:tcPr>
          <w:p>
            <w:pPr>
              <w:pStyle w:val="TableContents"/>
              <w:spacing w:before="0" w:after="283"/>
              <w:rPr/>
            </w:pPr>
            <w:r>
              <w:rPr/>
              <w:t> </w:t>
            </w:r>
          </w:p>
        </w:tc>
        <w:tc>
          <w:tcPr>
            <w:tcW w:w="170" w:type="dxa"/>
            <w:tcBorders/>
            <w:shd w:fill="FFFFFF" w:val="clear"/>
            <w:vAlign w:val="center"/>
          </w:tcPr>
          <w:p>
            <w:pPr>
              <w:pStyle w:val="TableContents"/>
              <w:spacing w:before="0" w:after="283"/>
              <w:ind w:left="0" w:right="0" w:hanging="0"/>
              <w:rPr/>
            </w:pPr>
            <w:r>
              <w:rPr/>
              <w:t> </w:t>
            </w:r>
          </w:p>
        </w:tc>
        <w:tc>
          <w:tcPr>
            <w:tcW w:w="951"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309</w:t>
            </w:r>
          </w:p>
        </w:tc>
        <w:tc>
          <w:tcPr>
            <w:tcW w:w="170" w:type="dxa"/>
            <w:tcBorders/>
            <w:shd w:fill="FFFFFF" w:val="clear"/>
            <w:vAlign w:val="center"/>
          </w:tcPr>
          <w:p>
            <w:pPr>
              <w:pStyle w:val="TableContents"/>
              <w:spacing w:before="0" w:after="283"/>
              <w:rPr/>
            </w:pPr>
            <w:r>
              <w:rPr/>
              <w:t> </w:t>
            </w:r>
          </w:p>
        </w:tc>
        <w:tc>
          <w:tcPr>
            <w:tcW w:w="170" w:type="dxa"/>
            <w:tcBorders/>
            <w:shd w:fill="FFFFFF" w:val="clear"/>
            <w:vAlign w:val="center"/>
          </w:tcPr>
          <w:p>
            <w:pPr>
              <w:pStyle w:val="TableContents"/>
              <w:spacing w:before="0" w:after="283"/>
              <w:rPr/>
            </w:pPr>
            <w:r>
              <w:rPr/>
              <w:t> </w:t>
            </w:r>
          </w:p>
        </w:tc>
        <w:tc>
          <w:tcPr>
            <w:tcW w:w="170" w:type="dxa"/>
            <w:tcBorders/>
            <w:shd w:fill="FFFFFF" w:val="clear"/>
            <w:vAlign w:val="center"/>
          </w:tcPr>
          <w:p>
            <w:pPr>
              <w:pStyle w:val="TableContents"/>
              <w:spacing w:before="0" w:after="283"/>
              <w:ind w:left="0" w:right="0" w:hanging="0"/>
              <w:rPr/>
            </w:pPr>
            <w:r>
              <w:rPr/>
              <w:t> </w:t>
            </w:r>
          </w:p>
        </w:tc>
        <w:tc>
          <w:tcPr>
            <w:tcW w:w="951"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314</w:t>
            </w:r>
          </w:p>
        </w:tc>
        <w:tc>
          <w:tcPr>
            <w:tcW w:w="60" w:type="dxa"/>
            <w:tcBorders/>
            <w:shd w:fill="FFFFFF" w:val="clear"/>
            <w:vAlign w:val="center"/>
          </w:tcPr>
          <w:p>
            <w:pPr>
              <w:pStyle w:val="TableContents"/>
              <w:spacing w:before="0" w:after="283"/>
              <w:rPr/>
            </w:pPr>
            <w:r>
              <w:rPr/>
              <w:t> </w:t>
            </w:r>
          </w:p>
        </w:tc>
      </w:tr>
      <w:tr>
        <w:trPr/>
        <w:tc>
          <w:tcPr>
            <w:tcW w:w="5705" w:type="dxa"/>
            <w:tcBorders/>
            <w:shd w:fill="CCEEFF" w:val="clear"/>
            <w:vAlign w:val="center"/>
          </w:tcPr>
          <w:p>
            <w:pPr>
              <w:pStyle w:val="TableContents"/>
              <w:spacing w:before="0" w:after="0"/>
              <w:ind w:left="180" w:right="0" w:hanging="0"/>
              <w:rPr>
                <w:rFonts w:ascii="Times New Roman" w:hAnsi="Times New Roman"/>
                <w:sz w:val="20"/>
              </w:rPr>
            </w:pPr>
            <w:r>
              <w:rPr>
                <w:rFonts w:ascii="Times New Roman" w:hAnsi="Times New Roman"/>
                <w:sz w:val="20"/>
              </w:rPr>
              <w:t>Operating cash flows from financing lease</w:t>
            </w:r>
          </w:p>
        </w:tc>
        <w:tc>
          <w:tcPr>
            <w:tcW w:w="6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ind w:left="0" w:right="0" w:hanging="0"/>
              <w:rPr/>
            </w:pPr>
            <w:r>
              <w:rPr/>
              <w:t> </w:t>
            </w:r>
          </w:p>
        </w:tc>
        <w:tc>
          <w:tcPr>
            <w:tcW w:w="951"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w:t>
            </w:r>
          </w:p>
        </w:tc>
        <w:tc>
          <w:tcPr>
            <w:tcW w:w="17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ind w:left="0" w:right="0" w:hanging="0"/>
              <w:rPr/>
            </w:pPr>
            <w:r>
              <w:rPr/>
              <w:t> </w:t>
            </w:r>
          </w:p>
        </w:tc>
        <w:tc>
          <w:tcPr>
            <w:tcW w:w="951"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w:t>
            </w:r>
          </w:p>
        </w:tc>
        <w:tc>
          <w:tcPr>
            <w:tcW w:w="60" w:type="dxa"/>
            <w:tcBorders/>
            <w:shd w:fill="CCEEFF" w:val="clear"/>
            <w:vAlign w:val="center"/>
          </w:tcPr>
          <w:p>
            <w:pPr>
              <w:pStyle w:val="TableContents"/>
              <w:spacing w:before="0" w:after="283"/>
              <w:rPr/>
            </w:pPr>
            <w:r>
              <w:rPr/>
              <w:t> </w:t>
            </w:r>
          </w:p>
        </w:tc>
      </w:tr>
      <w:tr>
        <w:trPr/>
        <w:tc>
          <w:tcPr>
            <w:tcW w:w="5705" w:type="dxa"/>
            <w:tcBorders/>
            <w:shd w:fill="FFFFFF" w:val="clear"/>
            <w:vAlign w:val="center"/>
          </w:tcPr>
          <w:p>
            <w:pPr>
              <w:pStyle w:val="TableContents"/>
              <w:spacing w:before="0" w:after="0"/>
              <w:ind w:left="180" w:right="0" w:hanging="0"/>
              <w:rPr>
                <w:rFonts w:ascii="Times New Roman" w:hAnsi="Times New Roman"/>
                <w:sz w:val="20"/>
              </w:rPr>
            </w:pPr>
            <w:r>
              <w:rPr>
                <w:rFonts w:ascii="Times New Roman" w:hAnsi="Times New Roman"/>
                <w:sz w:val="20"/>
              </w:rPr>
              <w:t>Financing cash flows from financing lease</w:t>
            </w:r>
          </w:p>
        </w:tc>
        <w:tc>
          <w:tcPr>
            <w:tcW w:w="60" w:type="dxa"/>
            <w:tcBorders/>
            <w:shd w:fill="FFFFFF" w:val="clear"/>
            <w:vAlign w:val="center"/>
          </w:tcPr>
          <w:p>
            <w:pPr>
              <w:pStyle w:val="TableContents"/>
              <w:spacing w:before="0" w:after="283"/>
              <w:rPr/>
            </w:pPr>
            <w:r>
              <w:rPr/>
              <w:t> </w:t>
            </w:r>
          </w:p>
        </w:tc>
        <w:tc>
          <w:tcPr>
            <w:tcW w:w="170" w:type="dxa"/>
            <w:tcBorders/>
            <w:shd w:fill="FFFFFF" w:val="clear"/>
            <w:vAlign w:val="center"/>
          </w:tcPr>
          <w:p>
            <w:pPr>
              <w:pStyle w:val="TableContents"/>
              <w:spacing w:before="0" w:after="283"/>
              <w:ind w:left="0" w:right="0" w:hanging="0"/>
              <w:rPr/>
            </w:pPr>
            <w:r>
              <w:rPr/>
              <w:t> </w:t>
            </w:r>
          </w:p>
        </w:tc>
        <w:tc>
          <w:tcPr>
            <w:tcW w:w="951"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w:t>
            </w:r>
          </w:p>
        </w:tc>
        <w:tc>
          <w:tcPr>
            <w:tcW w:w="170" w:type="dxa"/>
            <w:tcBorders/>
            <w:shd w:fill="FFFFFF" w:val="clear"/>
            <w:vAlign w:val="center"/>
          </w:tcPr>
          <w:p>
            <w:pPr>
              <w:pStyle w:val="TableContents"/>
              <w:spacing w:before="0" w:after="283"/>
              <w:rPr/>
            </w:pPr>
            <w:r>
              <w:rPr/>
              <w:t> </w:t>
            </w:r>
          </w:p>
        </w:tc>
        <w:tc>
          <w:tcPr>
            <w:tcW w:w="170" w:type="dxa"/>
            <w:tcBorders/>
            <w:shd w:fill="FFFFFF" w:val="clear"/>
            <w:vAlign w:val="center"/>
          </w:tcPr>
          <w:p>
            <w:pPr>
              <w:pStyle w:val="TableContents"/>
              <w:spacing w:before="0" w:after="283"/>
              <w:rPr/>
            </w:pPr>
            <w:r>
              <w:rPr/>
              <w:t> </w:t>
            </w:r>
          </w:p>
        </w:tc>
        <w:tc>
          <w:tcPr>
            <w:tcW w:w="170" w:type="dxa"/>
            <w:tcBorders/>
            <w:shd w:fill="FFFFFF" w:val="clear"/>
            <w:vAlign w:val="center"/>
          </w:tcPr>
          <w:p>
            <w:pPr>
              <w:pStyle w:val="TableContents"/>
              <w:spacing w:before="0" w:after="283"/>
              <w:ind w:left="0" w:right="0" w:hanging="0"/>
              <w:rPr/>
            </w:pPr>
            <w:r>
              <w:rPr/>
              <w:t> </w:t>
            </w:r>
          </w:p>
        </w:tc>
        <w:tc>
          <w:tcPr>
            <w:tcW w:w="951"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w:t>
            </w:r>
          </w:p>
        </w:tc>
        <w:tc>
          <w:tcPr>
            <w:tcW w:w="60" w:type="dxa"/>
            <w:tcBorders/>
            <w:shd w:fill="FFFFFF" w:val="clear"/>
            <w:vAlign w:val="center"/>
          </w:tcPr>
          <w:p>
            <w:pPr>
              <w:pStyle w:val="TableContents"/>
              <w:spacing w:before="0" w:after="283"/>
              <w:rPr/>
            </w:pPr>
            <w:r>
              <w:rPr/>
              <w:t> </w:t>
            </w:r>
          </w:p>
        </w:tc>
      </w:tr>
    </w:tbl>
    <w:p>
      <w:pPr>
        <w:pStyle w:val="TextBody"/>
        <w:spacing w:before="0" w:after="0"/>
        <w:ind w:left="0" w:right="0" w:firstLine="720"/>
        <w:jc w:val="left"/>
        <w:rPr/>
      </w:pPr>
      <w:r>
        <w:rPr/>
        <w:t>​</w:t>
      </w:r>
    </w:p>
    <w:p>
      <w:pPr>
        <w:pStyle w:val="TextBody"/>
        <w:rPr/>
      </w:pPr>
      <w:r>
        <w:rPr/>
        <w:t xml:space="preserve">  </w:t>
      </w:r>
    </w:p>
    <w:p>
      <w:pPr>
        <w:pStyle w:val="TextBody"/>
        <w:spacing w:before="0" w:after="0"/>
        <w:ind w:left="0" w:right="0" w:hanging="0"/>
        <w:jc w:val="left"/>
        <w:rPr/>
      </w:pPr>
      <w:r>
        <w:rPr>
          <w:rFonts w:ascii="Times New Roman" w:hAnsi="Times New Roman"/>
          <w:b/>
          <w:sz w:val="20"/>
        </w:rPr>
        <w:t xml:space="preserve">Note </w:t>
      </w:r>
      <w:r>
        <w:rPr>
          <w:rStyle w:val="Emphasis"/>
          <w:rFonts w:ascii="Times New Roman" w:hAnsi="Times New Roman"/>
          <w:b/>
          <w:sz w:val="20"/>
        </w:rPr>
        <w:t>5.</w:t>
      </w:r>
      <w:r>
        <w:rPr>
          <w:rFonts w:ascii="Times New Roman" w:hAnsi="Times New Roman"/>
          <w:b/>
          <w:sz w:val="20"/>
        </w:rPr>
        <w:t>  Cash, Cash Equivalents and Restricted Cash</w:t>
      </w:r>
    </w:p>
    <w:p>
      <w:pPr>
        <w:pStyle w:val="TextBody"/>
        <w:spacing w:before="0" w:after="0"/>
        <w:ind w:left="0" w:right="0" w:hanging="0"/>
        <w:jc w:val="left"/>
        <w:rPr/>
      </w:pPr>
      <w:r>
        <w:rPr/>
        <w:t>​</w:t>
      </w:r>
    </w:p>
    <w:p>
      <w:pPr>
        <w:pStyle w:val="TextBody"/>
        <w:spacing w:before="0" w:after="0"/>
        <w:ind w:left="0" w:right="0" w:firstLine="720"/>
        <w:jc w:val="left"/>
        <w:rPr>
          <w:rFonts w:ascii="Times New Roman" w:hAnsi="Times New Roman"/>
          <w:sz w:val="20"/>
        </w:rPr>
      </w:pPr>
      <w:r>
        <w:rPr>
          <w:rFonts w:ascii="Times New Roman" w:hAnsi="Times New Roman"/>
          <w:sz w:val="20"/>
        </w:rPr>
        <w:t>The following table provides a reconciliation of c</w:t>
      </w:r>
      <w:r>
        <w:rPr>
          <w:rFonts w:ascii="Times New Roman" w:hAnsi="Times New Roman"/>
          <w:sz w:val="20"/>
          <w:highlight w:val="white"/>
        </w:rPr>
        <w:t>ash, cash equivalents and r</w:t>
      </w:r>
      <w:r>
        <w:rPr>
          <w:rFonts w:ascii="Times New Roman" w:hAnsi="Times New Roman"/>
          <w:sz w:val="20"/>
        </w:rPr>
        <w:t>estricted cash reported within the statement of financial position that sum to the total of the same such amounts in the statement of cash flows (in thousands):</w:t>
      </w:r>
    </w:p>
    <w:p>
      <w:pPr>
        <w:pStyle w:val="TextBody"/>
        <w:spacing w:before="0" w:after="0"/>
        <w:ind w:left="0" w:right="0" w:firstLine="720"/>
        <w:jc w:val="left"/>
        <w:rPr/>
      </w:pPr>
      <w:r>
        <w:rPr/>
        <w:t> </w:t>
      </w:r>
    </w:p>
    <w:tbl>
      <w:tblPr>
        <w:tblW w:w="9103" w:type="dxa"/>
        <w:jc w:val="left"/>
        <w:tblInd w:w="0" w:type="dxa"/>
        <w:tblCellMar>
          <w:top w:w="0" w:type="dxa"/>
          <w:left w:w="0" w:type="dxa"/>
          <w:bottom w:w="0" w:type="dxa"/>
          <w:right w:w="0" w:type="dxa"/>
        </w:tblCellMar>
      </w:tblPr>
      <w:tblGrid>
        <w:gridCol w:w="6845"/>
        <w:gridCol w:w="60"/>
        <w:gridCol w:w="152"/>
        <w:gridCol w:w="722"/>
        <w:gridCol w:w="60"/>
        <w:gridCol w:w="60"/>
        <w:gridCol w:w="199"/>
        <w:gridCol w:w="945"/>
        <w:gridCol w:w="60"/>
      </w:tblGrid>
      <w:tr>
        <w:trPr/>
        <w:tc>
          <w:tcPr>
            <w:tcW w:w="684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74"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sz w:val="20"/>
              </w:rPr>
              <w:t>March 31,</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44"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sz w:val="20"/>
              </w:rPr>
              <w:t>December 31,</w:t>
            </w:r>
          </w:p>
        </w:tc>
        <w:tc>
          <w:tcPr>
            <w:tcW w:w="60" w:type="dxa"/>
            <w:tcBorders/>
            <w:shd w:fill="FFFFFF" w:val="clear"/>
            <w:vAlign w:val="center"/>
          </w:tcPr>
          <w:p>
            <w:pPr>
              <w:pStyle w:val="TableContents"/>
              <w:spacing w:before="0" w:after="283"/>
              <w:rPr/>
            </w:pPr>
            <w:r>
              <w:rPr/>
              <w:t> </w:t>
            </w:r>
          </w:p>
        </w:tc>
      </w:tr>
      <w:tr>
        <w:trPr/>
        <w:tc>
          <w:tcPr>
            <w:tcW w:w="6845" w:type="dxa"/>
            <w:tcBorders/>
            <w:shd w:fill="FFFFFF" w:val="clear"/>
            <w:vAlign w:val="center"/>
          </w:tcPr>
          <w:p>
            <w:pPr>
              <w:pStyle w:val="TableContents"/>
              <w:spacing w:before="0" w:after="0"/>
              <w:rPr/>
            </w:pPr>
            <w:r>
              <w:rPr/>
              <w:t>​</w:t>
            </w:r>
          </w:p>
        </w:tc>
        <w:tc>
          <w:tcPr>
            <w:tcW w:w="60" w:type="dxa"/>
            <w:tcBorders/>
            <w:shd w:fill="FFFFFF" w:val="clear"/>
            <w:vAlign w:val="center"/>
          </w:tcPr>
          <w:p>
            <w:pPr>
              <w:pStyle w:val="TableContents"/>
              <w:spacing w:before="0" w:after="283"/>
              <w:ind w:left="0" w:right="0" w:hanging="0"/>
              <w:rPr/>
            </w:pPr>
            <w:r>
              <w:rPr/>
              <w:t> </w:t>
            </w:r>
          </w:p>
        </w:tc>
        <w:tc>
          <w:tcPr>
            <w:tcW w:w="87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sz w:val="20"/>
              </w:rPr>
              <w:t>2023</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4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sz w:val="20"/>
              </w:rPr>
              <w:t>2022</w:t>
            </w:r>
          </w:p>
        </w:tc>
        <w:tc>
          <w:tcPr>
            <w:tcW w:w="60" w:type="dxa"/>
            <w:tcBorders/>
            <w:shd w:fill="FFFFFF" w:val="clear"/>
            <w:vAlign w:val="center"/>
          </w:tcPr>
          <w:p>
            <w:pPr>
              <w:pStyle w:val="TableContents"/>
              <w:spacing w:before="0" w:after="283"/>
              <w:rPr/>
            </w:pPr>
            <w:r>
              <w:rPr/>
              <w:t> </w:t>
            </w:r>
          </w:p>
        </w:tc>
      </w:tr>
      <w:tr>
        <w:trPr/>
        <w:tc>
          <w:tcPr>
            <w:tcW w:w="684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Cash and cash equivalents</w:t>
            </w:r>
          </w:p>
        </w:tc>
        <w:tc>
          <w:tcPr>
            <w:tcW w:w="60" w:type="dxa"/>
            <w:tcBorders/>
            <w:shd w:fill="CCEEFF" w:val="clear"/>
            <w:vAlign w:val="center"/>
          </w:tcPr>
          <w:p>
            <w:pPr>
              <w:pStyle w:val="TableContents"/>
              <w:spacing w:before="0" w:after="283"/>
              <w:ind w:left="0" w:right="0" w:hanging="0"/>
              <w:rPr/>
            </w:pPr>
            <w:r>
              <w:rPr/>
              <w:t> </w:t>
            </w:r>
          </w:p>
        </w:tc>
        <w:tc>
          <w:tcPr>
            <w:tcW w:w="152"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22"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16,103</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99"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4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24,685</w:t>
            </w:r>
          </w:p>
        </w:tc>
        <w:tc>
          <w:tcPr>
            <w:tcW w:w="60" w:type="dxa"/>
            <w:tcBorders/>
            <w:shd w:fill="CCEEFF" w:val="clear"/>
            <w:vAlign w:val="center"/>
          </w:tcPr>
          <w:p>
            <w:pPr>
              <w:pStyle w:val="TableContents"/>
              <w:spacing w:before="0" w:after="283"/>
              <w:rPr/>
            </w:pPr>
            <w:r>
              <w:rPr/>
              <w:t> </w:t>
            </w:r>
          </w:p>
        </w:tc>
      </w:tr>
      <w:tr>
        <w:trPr/>
        <w:tc>
          <w:tcPr>
            <w:tcW w:w="6845" w:type="dxa"/>
            <w:tcBorders/>
            <w:shd w:fill="FFFFFF" w:val="clear"/>
            <w:vAlign w:val="center"/>
          </w:tcPr>
          <w:p>
            <w:pPr>
              <w:pStyle w:val="TableContents"/>
              <w:spacing w:before="0" w:after="0"/>
              <w:rPr>
                <w:rFonts w:ascii="Times New Roman" w:hAnsi="Times New Roman"/>
                <w:sz w:val="20"/>
              </w:rPr>
            </w:pPr>
            <w:r>
              <w:rPr>
                <w:rFonts w:ascii="Times New Roman" w:hAnsi="Times New Roman"/>
                <w:sz w:val="20"/>
              </w:rPr>
              <w:t>Restricted cash</w:t>
            </w:r>
          </w:p>
        </w:tc>
        <w:tc>
          <w:tcPr>
            <w:tcW w:w="60" w:type="dxa"/>
            <w:tcBorders/>
            <w:shd w:fill="FFFFFF" w:val="clear"/>
            <w:vAlign w:val="center"/>
          </w:tcPr>
          <w:p>
            <w:pPr>
              <w:pStyle w:val="TableContents"/>
              <w:spacing w:before="0" w:after="283"/>
              <w:rPr/>
            </w:pPr>
            <w:r>
              <w:rPr/>
              <w:t> </w:t>
            </w:r>
          </w:p>
        </w:tc>
        <w:tc>
          <w:tcPr>
            <w:tcW w:w="152"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722"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10,845</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99"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94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10,902</w:t>
            </w:r>
          </w:p>
        </w:tc>
        <w:tc>
          <w:tcPr>
            <w:tcW w:w="60" w:type="dxa"/>
            <w:tcBorders/>
            <w:shd w:fill="FFFFFF" w:val="clear"/>
            <w:vAlign w:val="center"/>
          </w:tcPr>
          <w:p>
            <w:pPr>
              <w:pStyle w:val="TableContents"/>
              <w:spacing w:before="0" w:after="283"/>
              <w:rPr/>
            </w:pPr>
            <w:r>
              <w:rPr/>
              <w:t> </w:t>
            </w:r>
          </w:p>
        </w:tc>
      </w:tr>
      <w:tr>
        <w:trPr/>
        <w:tc>
          <w:tcPr>
            <w:tcW w:w="684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Total cash, cash equivalents and restricted cash shown in the statement of cash flows</w:t>
            </w:r>
          </w:p>
        </w:tc>
        <w:tc>
          <w:tcPr>
            <w:tcW w:w="60" w:type="dxa"/>
            <w:tcBorders/>
            <w:shd w:fill="CCEEFF" w:val="clear"/>
            <w:vAlign w:val="center"/>
          </w:tcPr>
          <w:p>
            <w:pPr>
              <w:pStyle w:val="TableContents"/>
              <w:spacing w:before="0" w:after="283"/>
              <w:ind w:left="0" w:right="0" w:hanging="0"/>
              <w:rPr/>
            </w:pPr>
            <w:r>
              <w:rPr/>
              <w:t> </w:t>
            </w:r>
          </w:p>
        </w:tc>
        <w:tc>
          <w:tcPr>
            <w:tcW w:w="152"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22"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26,948</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99"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45"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35,587</w:t>
            </w:r>
          </w:p>
        </w:tc>
        <w:tc>
          <w:tcPr>
            <w:tcW w:w="60" w:type="dxa"/>
            <w:tcBorders/>
            <w:shd w:fill="CCEEFF" w:val="clear"/>
            <w:vAlign w:val="center"/>
          </w:tcPr>
          <w:p>
            <w:pPr>
              <w:pStyle w:val="TableContents"/>
              <w:spacing w:before="0" w:after="283"/>
              <w:rPr/>
            </w:pPr>
            <w:r>
              <w:rPr/>
              <w:t> </w:t>
            </w:r>
          </w:p>
        </w:tc>
      </w:tr>
    </w:tbl>
    <w:p>
      <w:pPr>
        <w:pStyle w:val="TextBody"/>
        <w:spacing w:before="0" w:after="0"/>
        <w:ind w:left="0" w:right="0" w:firstLine="720"/>
        <w:jc w:val="left"/>
        <w:rPr/>
      </w:pPr>
      <w:r>
        <w:rPr/>
        <w:t>​</w:t>
      </w:r>
    </w:p>
    <w:p>
      <w:pPr>
        <w:pStyle w:val="TextBody"/>
        <w:spacing w:before="0" w:after="0"/>
        <w:ind w:left="0" w:right="0" w:firstLine="720"/>
        <w:jc w:val="left"/>
        <w:rPr/>
      </w:pPr>
      <w:r>
        <w:rPr>
          <w:rFonts w:ascii="Times New Roman" w:hAnsi="Times New Roman"/>
          <w:sz w:val="20"/>
        </w:rPr>
        <w:t xml:space="preserve">Restricted cash includes guarantee deposits for customs duties, China government subsidy fund, and compensating balances associated with certain credit facilities. As of </w:t>
      </w:r>
      <w:r>
        <w:rPr>
          <w:rStyle w:val="Emphasis"/>
          <w:rFonts w:ascii="Times New Roman" w:hAnsi="Times New Roman"/>
          <w:sz w:val="20"/>
        </w:rPr>
        <w:t>March 31, 2023</w:t>
      </w:r>
      <w:r>
        <w:rPr>
          <w:rFonts w:ascii="Times New Roman" w:hAnsi="Times New Roman"/>
          <w:sz w:val="20"/>
        </w:rPr>
        <w:t xml:space="preserve"> and </w:t>
      </w:r>
      <w:r>
        <w:rPr>
          <w:rStyle w:val="Emphasis"/>
          <w:rFonts w:ascii="Times New Roman" w:hAnsi="Times New Roman"/>
          <w:sz w:val="20"/>
        </w:rPr>
        <w:t>December 31, 2022</w:t>
      </w:r>
      <w:r>
        <w:rPr>
          <w:rFonts w:ascii="Times New Roman" w:hAnsi="Times New Roman"/>
          <w:sz w:val="20"/>
        </w:rPr>
        <w:t xml:space="preserve">, there was $8.4 million and $8.7 million of restricted cash required for bank acceptance notes issued to vendors, respectively. In addition, there was $1.0 million and $1.1 million certificate of deposit associated with credit facilities with a bank in China as of </w:t>
      </w:r>
      <w:r>
        <w:rPr>
          <w:rStyle w:val="Emphasis"/>
          <w:rFonts w:ascii="Times New Roman" w:hAnsi="Times New Roman"/>
          <w:sz w:val="20"/>
        </w:rPr>
        <w:t>March 31, 2023</w:t>
      </w:r>
      <w:r>
        <w:rPr>
          <w:rFonts w:ascii="Times New Roman" w:hAnsi="Times New Roman"/>
          <w:sz w:val="20"/>
        </w:rPr>
        <w:t xml:space="preserve"> and </w:t>
      </w:r>
      <w:r>
        <w:rPr>
          <w:rStyle w:val="Emphasis"/>
          <w:rFonts w:ascii="Times New Roman" w:hAnsi="Times New Roman"/>
          <w:sz w:val="20"/>
        </w:rPr>
        <w:t>December 31, 2022</w:t>
      </w:r>
      <w:r>
        <w:rPr>
          <w:rFonts w:ascii="Times New Roman" w:hAnsi="Times New Roman"/>
          <w:sz w:val="20"/>
        </w:rPr>
        <w:t>, respectively. There was $1.4 million and $1.0 million guarantee deposits for customs duties as of </w:t>
      </w:r>
      <w:r>
        <w:rPr>
          <w:rStyle w:val="Emphasis"/>
          <w:rFonts w:ascii="Times New Roman" w:hAnsi="Times New Roman"/>
          <w:sz w:val="20"/>
        </w:rPr>
        <w:t xml:space="preserve"> March 31, 2023</w:t>
      </w:r>
      <w:r>
        <w:rPr>
          <w:rFonts w:ascii="Times New Roman" w:hAnsi="Times New Roman"/>
          <w:sz w:val="20"/>
        </w:rPr>
        <w:t xml:space="preserve"> and </w:t>
      </w:r>
      <w:r>
        <w:rPr>
          <w:rStyle w:val="Emphasis"/>
          <w:rFonts w:ascii="Times New Roman" w:hAnsi="Times New Roman"/>
          <w:sz w:val="20"/>
        </w:rPr>
        <w:t>December 31, 2022</w:t>
      </w:r>
      <w:r>
        <w:rPr>
          <w:rFonts w:ascii="Times New Roman" w:hAnsi="Times New Roman"/>
          <w:sz w:val="20"/>
        </w:rPr>
        <w:t>, respectively.</w:t>
      </w:r>
    </w:p>
    <w:p>
      <w:pPr>
        <w:pStyle w:val="TextBody"/>
        <w:spacing w:before="0" w:after="0"/>
        <w:ind w:left="0" w:right="0" w:hanging="0"/>
        <w:jc w:val="left"/>
        <w:rPr/>
      </w:pPr>
      <w:r>
        <w:rPr/>
        <w:t>​</w:t>
      </w:r>
    </w:p>
    <w:p>
      <w:pPr>
        <w:pStyle w:val="TextBody"/>
        <w:rPr/>
      </w:pPr>
      <w:r>
        <w:rPr/>
        <w:t xml:space="preserve">  </w:t>
      </w:r>
    </w:p>
    <w:p>
      <w:pPr>
        <w:pStyle w:val="TextBody"/>
        <w:spacing w:before="0" w:after="0"/>
        <w:ind w:left="0" w:right="0" w:hanging="0"/>
        <w:jc w:val="left"/>
        <w:rPr/>
      </w:pPr>
      <w:r>
        <w:rPr>
          <w:rFonts w:ascii="Times New Roman;Times;serif" w:hAnsi="Times New Roman;Times;serif"/>
          <w:b/>
          <w:sz w:val="20"/>
        </w:rPr>
        <w:t xml:space="preserve">Note </w:t>
      </w:r>
      <w:r>
        <w:rPr>
          <w:rStyle w:val="Emphasis"/>
          <w:rFonts w:ascii="Times New Roman;Times;serif" w:hAnsi="Times New Roman;Times;serif"/>
          <w:b/>
          <w:sz w:val="20"/>
        </w:rPr>
        <w:t>6.</w:t>
      </w:r>
      <w:r>
        <w:rPr>
          <w:rFonts w:ascii="Times New Roman;Times;serif" w:hAnsi="Times New Roman;Times;serif"/>
          <w:b/>
          <w:sz w:val="20"/>
        </w:rPr>
        <w:t>  Earnings (Loss) Per Share</w:t>
      </w:r>
    </w:p>
    <w:p>
      <w:pPr>
        <w:pStyle w:val="TextBody"/>
        <w:spacing w:before="0" w:after="0"/>
        <w:ind w:left="0" w:right="0" w:hanging="0"/>
        <w:jc w:val="left"/>
        <w:rPr/>
      </w:pPr>
      <w:r>
        <w:rPr/>
        <w:t>​</w:t>
      </w:r>
    </w:p>
    <w:p>
      <w:pPr>
        <w:pStyle w:val="TextBody"/>
        <w:spacing w:before="0" w:after="0"/>
        <w:ind w:left="0" w:right="0" w:firstLine="720"/>
        <w:jc w:val="left"/>
        <w:rPr>
          <w:rFonts w:ascii="Times New Roman;Times;serif" w:hAnsi="Times New Roman;Times;serif"/>
          <w:sz w:val="20"/>
        </w:rPr>
      </w:pPr>
      <w:r>
        <w:rPr>
          <w:rFonts w:ascii="Times New Roman;Times;serif" w:hAnsi="Times New Roman;Times;serif"/>
          <w:sz w:val="20"/>
        </w:rPr>
        <w:t>Basic net loss per share has been computed using the weighted-average number of shares of common stock outstanding during the period. Diluted net loss per share has been computed using the weighted-average number of shares of common stock and dilutive potential common shares from stock options, restricted stock units and senior convertible notes outstanding during the period. In periods with net losses, normally dilutive shares become anti-dilutive. Therefore, basic and diluted loss per share are the same.</w:t>
      </w:r>
    </w:p>
    <w:p>
      <w:pPr>
        <w:pStyle w:val="TextBody"/>
        <w:spacing w:before="0" w:after="0"/>
        <w:ind w:left="0" w:right="0" w:firstLine="720"/>
        <w:jc w:val="left"/>
        <w:rPr/>
      </w:pPr>
      <w:r>
        <w:rPr/>
        <w:t>​</w:t>
      </w:r>
    </w:p>
    <w:p>
      <w:pPr>
        <w:pStyle w:val="TextBody"/>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sets forth the computation of the basic and diluted net loss per share for the periods indicated (in thousands):</w:t>
      </w:r>
    </w:p>
    <w:p>
      <w:pPr>
        <w:pStyle w:val="TextBody"/>
        <w:spacing w:before="0" w:after="0"/>
        <w:ind w:left="0" w:right="0" w:hanging="0"/>
        <w:jc w:val="left"/>
        <w:rPr/>
      </w:pPr>
      <w:r>
        <w:rPr/>
        <w:t>​</w:t>
      </w:r>
    </w:p>
    <w:tbl>
      <w:tblPr>
        <w:tblW w:w="7558" w:type="dxa"/>
        <w:jc w:val="left"/>
        <w:tblInd w:w="0" w:type="dxa"/>
        <w:tblCellMar>
          <w:top w:w="0" w:type="dxa"/>
          <w:left w:w="0" w:type="dxa"/>
          <w:bottom w:w="0" w:type="dxa"/>
          <w:right w:w="0" w:type="dxa"/>
        </w:tblCellMar>
      </w:tblPr>
      <w:tblGrid>
        <w:gridCol w:w="4835"/>
        <w:gridCol w:w="60"/>
        <w:gridCol w:w="191"/>
        <w:gridCol w:w="994"/>
        <w:gridCol w:w="122"/>
        <w:gridCol w:w="91"/>
        <w:gridCol w:w="191"/>
        <w:gridCol w:w="994"/>
        <w:gridCol w:w="80"/>
      </w:tblGrid>
      <w:tr>
        <w:trPr/>
        <w:tc>
          <w:tcPr>
            <w:tcW w:w="483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583"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Three months ended March 31,</w:t>
            </w:r>
          </w:p>
        </w:tc>
        <w:tc>
          <w:tcPr>
            <w:tcW w:w="80" w:type="dxa"/>
            <w:tcBorders/>
            <w:shd w:fill="FFFFFF" w:val="clear"/>
            <w:vAlign w:val="center"/>
          </w:tcPr>
          <w:p>
            <w:pPr>
              <w:pStyle w:val="TableContents"/>
              <w:spacing w:before="0" w:after="283"/>
              <w:rPr/>
            </w:pPr>
            <w:r>
              <w:rPr/>
              <w:t> </w:t>
            </w:r>
          </w:p>
        </w:tc>
      </w:tr>
      <w:tr>
        <w:trPr/>
        <w:tc>
          <w:tcPr>
            <w:tcW w:w="4835" w:type="dxa"/>
            <w:tcBorders/>
            <w:shd w:fill="FFFFFF" w:val="clear"/>
            <w:vAlign w:val="center"/>
          </w:tcPr>
          <w:p>
            <w:pPr>
              <w:pStyle w:val="TableContents"/>
              <w:spacing w:before="0" w:after="0"/>
              <w:rPr>
                <w:caps w:val="false"/>
                <w:smallCaps w:val="false"/>
              </w:rPr>
            </w:pPr>
            <w:r>
              <w:rPr>
                <w:caps w:val="false"/>
                <w:smallCaps w:val="false"/>
              </w:rPr>
              <w:t>​</w:t>
            </w:r>
          </w:p>
        </w:tc>
        <w:tc>
          <w:tcPr>
            <w:tcW w:w="60" w:type="dxa"/>
            <w:tcBorders/>
            <w:shd w:fill="FFFFFF" w:val="clear"/>
            <w:vAlign w:val="center"/>
          </w:tcPr>
          <w:p>
            <w:pPr>
              <w:pStyle w:val="TableContents"/>
              <w:spacing w:before="0" w:after="283"/>
              <w:ind w:left="0" w:right="0" w:hanging="0"/>
              <w:rPr/>
            </w:pPr>
            <w:r>
              <w:rPr/>
              <w:t> </w:t>
            </w:r>
          </w:p>
        </w:tc>
        <w:tc>
          <w:tcPr>
            <w:tcW w:w="118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2023</w:t>
            </w:r>
          </w:p>
        </w:tc>
        <w:tc>
          <w:tcPr>
            <w:tcW w:w="122" w:type="dxa"/>
            <w:tcBorders/>
            <w:shd w:fill="FFFFFF" w:val="clear"/>
            <w:vAlign w:val="center"/>
          </w:tcPr>
          <w:p>
            <w:pPr>
              <w:pStyle w:val="TableContents"/>
              <w:spacing w:before="0" w:after="283"/>
              <w:rPr/>
            </w:pPr>
            <w:r>
              <w:rPr/>
              <w:t> </w:t>
            </w:r>
          </w:p>
        </w:tc>
        <w:tc>
          <w:tcPr>
            <w:tcW w:w="91" w:type="dxa"/>
            <w:tcBorders/>
            <w:shd w:fill="FFFFFF" w:val="clear"/>
            <w:vAlign w:val="center"/>
          </w:tcPr>
          <w:p>
            <w:pPr>
              <w:pStyle w:val="TableContents"/>
              <w:spacing w:before="0" w:after="283"/>
              <w:ind w:left="0" w:right="0" w:hanging="0"/>
              <w:rPr/>
            </w:pPr>
            <w:r>
              <w:rPr/>
              <w:t> </w:t>
            </w:r>
          </w:p>
        </w:tc>
        <w:tc>
          <w:tcPr>
            <w:tcW w:w="118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2022</w:t>
            </w:r>
          </w:p>
        </w:tc>
        <w:tc>
          <w:tcPr>
            <w:tcW w:w="80" w:type="dxa"/>
            <w:tcBorders/>
            <w:shd w:fill="FFFFFF" w:val="clear"/>
            <w:vAlign w:val="center"/>
          </w:tcPr>
          <w:p>
            <w:pPr>
              <w:pStyle w:val="TableContents"/>
              <w:spacing w:before="0" w:after="283"/>
              <w:rPr/>
            </w:pPr>
            <w:r>
              <w:rPr/>
              <w:t> </w:t>
            </w:r>
          </w:p>
        </w:tc>
      </w:tr>
      <w:tr>
        <w:trPr/>
        <w:tc>
          <w:tcPr>
            <w:tcW w:w="483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Numerator:</w:t>
            </w:r>
          </w:p>
        </w:tc>
        <w:tc>
          <w:tcPr>
            <w:tcW w:w="60" w:type="dxa"/>
            <w:tcBorders/>
            <w:shd w:fill="CCEEFF" w:val="clear"/>
            <w:vAlign w:val="center"/>
          </w:tcPr>
          <w:p>
            <w:pPr>
              <w:pStyle w:val="TableContents"/>
              <w:spacing w:before="0" w:after="283"/>
              <w:ind w:left="0" w:right="0" w:hanging="0"/>
              <w:rPr/>
            </w:pPr>
            <w:r>
              <w:rPr/>
              <w:t> </w:t>
            </w:r>
          </w:p>
        </w:tc>
        <w:tc>
          <w:tcPr>
            <w:tcW w:w="1185" w:type="dxa"/>
            <w:gridSpan w:val="2"/>
            <w:tcBorders/>
            <w:shd w:fill="CCEEFF" w:val="clear"/>
            <w:vAlign w:val="center"/>
          </w:tcPr>
          <w:p>
            <w:pPr>
              <w:pStyle w:val="TableContents"/>
              <w:spacing w:before="0" w:after="0"/>
              <w:ind w:left="0" w:right="0" w:hanging="0"/>
              <w:rPr>
                <w:caps w:val="false"/>
                <w:smallCaps w:val="false"/>
              </w:rPr>
            </w:pPr>
            <w:r>
              <w:rPr>
                <w:caps w:val="false"/>
                <w:smallCaps w:val="false"/>
              </w:rPr>
              <w:t>​</w:t>
            </w:r>
          </w:p>
        </w:tc>
        <w:tc>
          <w:tcPr>
            <w:tcW w:w="122" w:type="dxa"/>
            <w:tcBorders/>
            <w:shd w:fill="CCEEFF" w:val="clear"/>
            <w:vAlign w:val="center"/>
          </w:tcPr>
          <w:p>
            <w:pPr>
              <w:pStyle w:val="TableContents"/>
              <w:spacing w:before="0" w:after="283"/>
              <w:rPr/>
            </w:pPr>
            <w:r>
              <w:rPr/>
              <w:t> </w:t>
            </w:r>
          </w:p>
        </w:tc>
        <w:tc>
          <w:tcPr>
            <w:tcW w:w="91" w:type="dxa"/>
            <w:tcBorders/>
            <w:shd w:fill="CCEEFF" w:val="clear"/>
            <w:vAlign w:val="center"/>
          </w:tcPr>
          <w:p>
            <w:pPr>
              <w:pStyle w:val="TableContents"/>
              <w:spacing w:before="0" w:after="283"/>
              <w:ind w:left="0" w:right="0" w:hanging="0"/>
              <w:rPr/>
            </w:pPr>
            <w:r>
              <w:rPr/>
              <w:t> </w:t>
            </w:r>
          </w:p>
        </w:tc>
        <w:tc>
          <w:tcPr>
            <w:tcW w:w="1185" w:type="dxa"/>
            <w:gridSpan w:val="2"/>
            <w:tcBorders/>
            <w:shd w:fill="CCEEFF" w:val="clear"/>
            <w:vAlign w:val="center"/>
          </w:tcPr>
          <w:p>
            <w:pPr>
              <w:pStyle w:val="TableContents"/>
              <w:spacing w:before="0" w:after="0"/>
              <w:ind w:left="0" w:right="0" w:hanging="0"/>
              <w:rPr>
                <w:caps w:val="false"/>
                <w:smallCaps w:val="false"/>
              </w:rPr>
            </w:pPr>
            <w:r>
              <w:rPr>
                <w:caps w:val="false"/>
                <w:smallCaps w:val="false"/>
              </w:rPr>
              <w:t>​</w:t>
            </w:r>
          </w:p>
        </w:tc>
        <w:tc>
          <w:tcPr>
            <w:tcW w:w="80" w:type="dxa"/>
            <w:tcBorders/>
            <w:shd w:fill="CCEEFF" w:val="clear"/>
            <w:vAlign w:val="center"/>
          </w:tcPr>
          <w:p>
            <w:pPr>
              <w:pStyle w:val="TableContents"/>
              <w:spacing w:before="0" w:after="283"/>
              <w:rPr/>
            </w:pPr>
            <w:r>
              <w:rPr/>
              <w:t> </w:t>
            </w:r>
          </w:p>
        </w:tc>
      </w:tr>
      <w:tr>
        <w:trPr/>
        <w:tc>
          <w:tcPr>
            <w:tcW w:w="4835"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FFFFFF" w:val="clear"/>
            <w:vAlign w:val="center"/>
          </w:tcPr>
          <w:p>
            <w:pPr>
              <w:pStyle w:val="TableContents"/>
              <w:spacing w:before="0" w:after="283"/>
              <w:ind w:left="0" w:right="0" w:hanging="0"/>
              <w:rPr/>
            </w:pPr>
            <w:r>
              <w:rPr/>
              <w:t> </w:t>
            </w:r>
          </w:p>
        </w:tc>
        <w:tc>
          <w:tcPr>
            <w:tcW w:w="191" w:type="dxa"/>
            <w:tcBorders>
              <w:bottom w:val="single" w:sz="2"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94"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(16,292</w:t>
            </w:r>
          </w:p>
        </w:tc>
        <w:tc>
          <w:tcPr>
            <w:tcW w:w="122"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91" w:type="dxa"/>
            <w:tcBorders/>
            <w:shd w:fill="FFFFFF" w:val="clear"/>
            <w:vAlign w:val="center"/>
          </w:tcPr>
          <w:p>
            <w:pPr>
              <w:pStyle w:val="TableContents"/>
              <w:spacing w:before="0" w:after="283"/>
              <w:ind w:left="0" w:right="0" w:hanging="0"/>
              <w:rPr/>
            </w:pPr>
            <w:r>
              <w:rPr/>
              <w:t> </w:t>
            </w:r>
          </w:p>
        </w:tc>
        <w:tc>
          <w:tcPr>
            <w:tcW w:w="191" w:type="dxa"/>
            <w:tcBorders>
              <w:bottom w:val="single" w:sz="2"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94"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(16,062</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483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Denominator:</w:t>
            </w:r>
          </w:p>
        </w:tc>
        <w:tc>
          <w:tcPr>
            <w:tcW w:w="60" w:type="dxa"/>
            <w:tcBorders/>
            <w:shd w:fill="CCEEFF" w:val="clear"/>
            <w:vAlign w:val="center"/>
          </w:tcPr>
          <w:p>
            <w:pPr>
              <w:pStyle w:val="TableContents"/>
              <w:spacing w:before="0" w:after="283"/>
              <w:ind w:left="0" w:right="0" w:hanging="0"/>
              <w:rPr/>
            </w:pPr>
            <w:r>
              <w:rPr/>
              <w:t> </w:t>
            </w:r>
          </w:p>
        </w:tc>
        <w:tc>
          <w:tcPr>
            <w:tcW w:w="1185" w:type="dxa"/>
            <w:gridSpan w:val="2"/>
            <w:tcBorders/>
            <w:shd w:fill="CCEEFF" w:val="clear"/>
            <w:vAlign w:val="center"/>
          </w:tcPr>
          <w:p>
            <w:pPr>
              <w:pStyle w:val="TableContents"/>
              <w:spacing w:before="0" w:after="0"/>
              <w:ind w:left="0" w:right="0" w:hanging="0"/>
              <w:rPr>
                <w:caps w:val="false"/>
                <w:smallCaps w:val="false"/>
              </w:rPr>
            </w:pPr>
            <w:r>
              <w:rPr>
                <w:caps w:val="false"/>
                <w:smallCaps w:val="false"/>
              </w:rPr>
              <w:t>​</w:t>
            </w:r>
          </w:p>
        </w:tc>
        <w:tc>
          <w:tcPr>
            <w:tcW w:w="122" w:type="dxa"/>
            <w:tcBorders/>
            <w:shd w:fill="CCEEFF" w:val="clear"/>
            <w:vAlign w:val="center"/>
          </w:tcPr>
          <w:p>
            <w:pPr>
              <w:pStyle w:val="TableContents"/>
              <w:spacing w:before="0" w:after="283"/>
              <w:rPr/>
            </w:pPr>
            <w:r>
              <w:rPr/>
              <w:t> </w:t>
            </w:r>
          </w:p>
        </w:tc>
        <w:tc>
          <w:tcPr>
            <w:tcW w:w="91" w:type="dxa"/>
            <w:tcBorders/>
            <w:shd w:fill="CCEEFF" w:val="clear"/>
            <w:vAlign w:val="center"/>
          </w:tcPr>
          <w:p>
            <w:pPr>
              <w:pStyle w:val="TableContents"/>
              <w:spacing w:before="0" w:after="283"/>
              <w:ind w:left="0" w:right="0" w:hanging="0"/>
              <w:rPr/>
            </w:pPr>
            <w:r>
              <w:rPr/>
              <w:t> </w:t>
            </w:r>
          </w:p>
        </w:tc>
        <w:tc>
          <w:tcPr>
            <w:tcW w:w="1185" w:type="dxa"/>
            <w:gridSpan w:val="2"/>
            <w:tcBorders/>
            <w:shd w:fill="CCEEFF" w:val="clear"/>
            <w:vAlign w:val="center"/>
          </w:tcPr>
          <w:p>
            <w:pPr>
              <w:pStyle w:val="TableContents"/>
              <w:spacing w:before="0" w:after="0"/>
              <w:ind w:left="0" w:right="0" w:hanging="0"/>
              <w:rPr>
                <w:caps w:val="false"/>
                <w:smallCaps w:val="false"/>
              </w:rPr>
            </w:pPr>
            <w:r>
              <w:rPr>
                <w:caps w:val="false"/>
                <w:smallCaps w:val="false"/>
              </w:rPr>
              <w:t>​</w:t>
            </w:r>
          </w:p>
        </w:tc>
        <w:tc>
          <w:tcPr>
            <w:tcW w:w="80" w:type="dxa"/>
            <w:tcBorders/>
            <w:shd w:fill="CCEEFF" w:val="clear"/>
            <w:vAlign w:val="center"/>
          </w:tcPr>
          <w:p>
            <w:pPr>
              <w:pStyle w:val="TableContents"/>
              <w:spacing w:before="0" w:after="283"/>
              <w:rPr/>
            </w:pPr>
            <w:r>
              <w:rPr/>
              <w:t> </w:t>
            </w:r>
          </w:p>
        </w:tc>
      </w:tr>
      <w:tr>
        <w:trPr/>
        <w:tc>
          <w:tcPr>
            <w:tcW w:w="4835"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Weighted average shares used to compute net loss per share</w:t>
            </w:r>
          </w:p>
        </w:tc>
        <w:tc>
          <w:tcPr>
            <w:tcW w:w="60" w:type="dxa"/>
            <w:tcBorders/>
            <w:shd w:fill="FFFFFF" w:val="clear"/>
            <w:vAlign w:val="center"/>
          </w:tcPr>
          <w:p>
            <w:pPr>
              <w:pStyle w:val="TableContents"/>
              <w:spacing w:before="0" w:after="283"/>
              <w:ind w:left="0" w:right="0" w:hanging="0"/>
              <w:rPr/>
            </w:pPr>
            <w:r>
              <w:rPr/>
              <w:t> </w:t>
            </w:r>
          </w:p>
        </w:tc>
        <w:tc>
          <w:tcPr>
            <w:tcW w:w="1185" w:type="dxa"/>
            <w:gridSpan w:val="2"/>
            <w:tcBorders/>
            <w:shd w:fill="FFFFFF" w:val="clear"/>
            <w:vAlign w:val="center"/>
          </w:tcPr>
          <w:p>
            <w:pPr>
              <w:pStyle w:val="TableContents"/>
              <w:spacing w:before="0" w:after="0"/>
              <w:ind w:left="0" w:right="0" w:hanging="0"/>
              <w:rPr>
                <w:caps w:val="false"/>
                <w:smallCaps w:val="false"/>
              </w:rPr>
            </w:pPr>
            <w:r>
              <w:rPr>
                <w:caps w:val="false"/>
                <w:smallCaps w:val="false"/>
              </w:rPr>
              <w:t>​</w:t>
            </w:r>
          </w:p>
        </w:tc>
        <w:tc>
          <w:tcPr>
            <w:tcW w:w="122" w:type="dxa"/>
            <w:tcBorders/>
            <w:shd w:fill="FFFFFF" w:val="clear"/>
            <w:vAlign w:val="center"/>
          </w:tcPr>
          <w:p>
            <w:pPr>
              <w:pStyle w:val="TableContents"/>
              <w:spacing w:before="0" w:after="283"/>
              <w:rPr/>
            </w:pPr>
            <w:r>
              <w:rPr/>
              <w:t> </w:t>
            </w:r>
          </w:p>
        </w:tc>
        <w:tc>
          <w:tcPr>
            <w:tcW w:w="91" w:type="dxa"/>
            <w:tcBorders/>
            <w:shd w:fill="FFFFFF" w:val="clear"/>
            <w:vAlign w:val="center"/>
          </w:tcPr>
          <w:p>
            <w:pPr>
              <w:pStyle w:val="TableContents"/>
              <w:spacing w:before="0" w:after="283"/>
              <w:ind w:left="0" w:right="0" w:hanging="0"/>
              <w:rPr/>
            </w:pPr>
            <w:r>
              <w:rPr/>
              <w:t> </w:t>
            </w:r>
          </w:p>
        </w:tc>
        <w:tc>
          <w:tcPr>
            <w:tcW w:w="1185" w:type="dxa"/>
            <w:gridSpan w:val="2"/>
            <w:tcBorders/>
            <w:shd w:fill="FFFFFF" w:val="clear"/>
            <w:vAlign w:val="center"/>
          </w:tcPr>
          <w:p>
            <w:pPr>
              <w:pStyle w:val="TableContents"/>
              <w:spacing w:before="0" w:after="0"/>
              <w:ind w:left="0" w:right="0" w:hanging="0"/>
              <w:rPr>
                <w:caps w:val="false"/>
                <w:smallCaps w:val="false"/>
              </w:rPr>
            </w:pPr>
            <w:r>
              <w:rPr>
                <w:caps w:val="false"/>
                <w:smallCaps w:val="false"/>
              </w:rPr>
              <w:t>​</w:t>
            </w:r>
          </w:p>
        </w:tc>
        <w:tc>
          <w:tcPr>
            <w:tcW w:w="80" w:type="dxa"/>
            <w:tcBorders/>
            <w:shd w:fill="FFFFFF" w:val="clear"/>
            <w:vAlign w:val="center"/>
          </w:tcPr>
          <w:p>
            <w:pPr>
              <w:pStyle w:val="TableContents"/>
              <w:spacing w:before="0" w:after="283"/>
              <w:rPr/>
            </w:pPr>
            <w:r>
              <w:rPr/>
              <w:t> </w:t>
            </w:r>
          </w:p>
        </w:tc>
      </w:tr>
      <w:tr>
        <w:trPr/>
        <w:tc>
          <w:tcPr>
            <w:tcW w:w="483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Basic</w:t>
            </w:r>
          </w:p>
        </w:tc>
        <w:tc>
          <w:tcPr>
            <w:tcW w:w="60" w:type="dxa"/>
            <w:tcBorders/>
            <w:shd w:fill="CCEEFF" w:val="clear"/>
            <w:vAlign w:val="center"/>
          </w:tcPr>
          <w:p>
            <w:pPr>
              <w:pStyle w:val="TableContents"/>
              <w:spacing w:before="0" w:after="283"/>
              <w:rPr/>
            </w:pPr>
            <w:r>
              <w:rPr/>
              <w:t> </w:t>
            </w:r>
          </w:p>
        </w:tc>
        <w:tc>
          <w:tcPr>
            <w:tcW w:w="191" w:type="dxa"/>
            <w:tcBorders/>
            <w:shd w:fill="CCEEFF" w:val="clear"/>
            <w:vAlign w:val="center"/>
          </w:tcPr>
          <w:p>
            <w:pPr>
              <w:pStyle w:val="TableContents"/>
              <w:spacing w:before="0" w:after="283"/>
              <w:ind w:left="0" w:right="0" w:hanging="0"/>
              <w:rPr/>
            </w:pPr>
            <w:r>
              <w:rPr/>
              <w:t> </w:t>
            </w:r>
          </w:p>
        </w:tc>
        <w:tc>
          <w:tcPr>
            <w:tcW w:w="994"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28,872</w:t>
            </w:r>
          </w:p>
        </w:tc>
        <w:tc>
          <w:tcPr>
            <w:tcW w:w="122" w:type="dxa"/>
            <w:tcBorders/>
            <w:shd w:fill="CCEEFF" w:val="clear"/>
            <w:vAlign w:val="center"/>
          </w:tcPr>
          <w:p>
            <w:pPr>
              <w:pStyle w:val="TableContents"/>
              <w:spacing w:before="0" w:after="283"/>
              <w:rPr/>
            </w:pPr>
            <w:r>
              <w:rPr/>
              <w:t> </w:t>
            </w:r>
          </w:p>
        </w:tc>
        <w:tc>
          <w:tcPr>
            <w:tcW w:w="91" w:type="dxa"/>
            <w:tcBorders/>
            <w:shd w:fill="CCEEFF" w:val="clear"/>
            <w:vAlign w:val="center"/>
          </w:tcPr>
          <w:p>
            <w:pPr>
              <w:pStyle w:val="TableContents"/>
              <w:spacing w:before="0" w:after="283"/>
              <w:rPr/>
            </w:pPr>
            <w:r>
              <w:rPr/>
              <w:t> </w:t>
            </w:r>
          </w:p>
        </w:tc>
        <w:tc>
          <w:tcPr>
            <w:tcW w:w="191" w:type="dxa"/>
            <w:tcBorders/>
            <w:shd w:fill="CCEEFF" w:val="clear"/>
            <w:vAlign w:val="center"/>
          </w:tcPr>
          <w:p>
            <w:pPr>
              <w:pStyle w:val="TableContents"/>
              <w:spacing w:before="0" w:after="283"/>
              <w:ind w:left="0" w:right="0" w:hanging="0"/>
              <w:rPr/>
            </w:pPr>
            <w:r>
              <w:rPr/>
              <w:t> </w:t>
            </w:r>
          </w:p>
        </w:tc>
        <w:tc>
          <w:tcPr>
            <w:tcW w:w="994"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27,463</w:t>
            </w:r>
          </w:p>
        </w:tc>
        <w:tc>
          <w:tcPr>
            <w:tcW w:w="80" w:type="dxa"/>
            <w:tcBorders/>
            <w:shd w:fill="CCEEFF" w:val="clear"/>
            <w:vAlign w:val="center"/>
          </w:tcPr>
          <w:p>
            <w:pPr>
              <w:pStyle w:val="TableContents"/>
              <w:spacing w:before="0" w:after="283"/>
              <w:rPr/>
            </w:pPr>
            <w:r>
              <w:rPr/>
              <w:t> </w:t>
            </w:r>
          </w:p>
        </w:tc>
      </w:tr>
      <w:tr>
        <w:trPr/>
        <w:tc>
          <w:tcPr>
            <w:tcW w:w="4835"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Diluted</w:t>
            </w:r>
          </w:p>
        </w:tc>
        <w:tc>
          <w:tcPr>
            <w:tcW w:w="60" w:type="dxa"/>
            <w:tcBorders/>
            <w:shd w:fill="FFFFFF" w:val="clear"/>
            <w:vAlign w:val="center"/>
          </w:tcPr>
          <w:p>
            <w:pPr>
              <w:pStyle w:val="TableContents"/>
              <w:spacing w:before="0" w:after="283"/>
              <w:rPr/>
            </w:pPr>
            <w:r>
              <w:rPr/>
              <w:t> </w:t>
            </w:r>
          </w:p>
        </w:tc>
        <w:tc>
          <w:tcPr>
            <w:tcW w:w="191" w:type="dxa"/>
            <w:tcBorders/>
            <w:shd w:fill="FFFFFF" w:val="clear"/>
            <w:vAlign w:val="center"/>
          </w:tcPr>
          <w:p>
            <w:pPr>
              <w:pStyle w:val="TableContents"/>
              <w:spacing w:before="0" w:after="283"/>
              <w:ind w:left="0" w:right="0" w:hanging="0"/>
              <w:rPr/>
            </w:pPr>
            <w:r>
              <w:rPr/>
              <w:t> </w:t>
            </w:r>
          </w:p>
        </w:tc>
        <w:tc>
          <w:tcPr>
            <w:tcW w:w="994"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28,872</w:t>
            </w:r>
          </w:p>
        </w:tc>
        <w:tc>
          <w:tcPr>
            <w:tcW w:w="122" w:type="dxa"/>
            <w:tcBorders/>
            <w:shd w:fill="FFFFFF" w:val="clear"/>
            <w:vAlign w:val="center"/>
          </w:tcPr>
          <w:p>
            <w:pPr>
              <w:pStyle w:val="TableContents"/>
              <w:spacing w:before="0" w:after="283"/>
              <w:rPr/>
            </w:pPr>
            <w:r>
              <w:rPr/>
              <w:t> </w:t>
            </w:r>
          </w:p>
        </w:tc>
        <w:tc>
          <w:tcPr>
            <w:tcW w:w="91" w:type="dxa"/>
            <w:tcBorders/>
            <w:shd w:fill="FFFFFF" w:val="clear"/>
            <w:vAlign w:val="center"/>
          </w:tcPr>
          <w:p>
            <w:pPr>
              <w:pStyle w:val="TableContents"/>
              <w:spacing w:before="0" w:after="283"/>
              <w:rPr/>
            </w:pPr>
            <w:r>
              <w:rPr/>
              <w:t> </w:t>
            </w:r>
          </w:p>
        </w:tc>
        <w:tc>
          <w:tcPr>
            <w:tcW w:w="191" w:type="dxa"/>
            <w:tcBorders/>
            <w:shd w:fill="FFFFFF" w:val="clear"/>
            <w:vAlign w:val="center"/>
          </w:tcPr>
          <w:p>
            <w:pPr>
              <w:pStyle w:val="TableContents"/>
              <w:spacing w:before="0" w:after="283"/>
              <w:ind w:left="0" w:right="0" w:hanging="0"/>
              <w:rPr/>
            </w:pPr>
            <w:r>
              <w:rPr/>
              <w:t> </w:t>
            </w:r>
          </w:p>
        </w:tc>
        <w:tc>
          <w:tcPr>
            <w:tcW w:w="994"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27,463</w:t>
            </w:r>
          </w:p>
        </w:tc>
        <w:tc>
          <w:tcPr>
            <w:tcW w:w="80" w:type="dxa"/>
            <w:tcBorders/>
            <w:shd w:fill="FFFFFF" w:val="clear"/>
            <w:vAlign w:val="center"/>
          </w:tcPr>
          <w:p>
            <w:pPr>
              <w:pStyle w:val="TableContents"/>
              <w:spacing w:before="0" w:after="283"/>
              <w:rPr/>
            </w:pPr>
            <w:r>
              <w:rPr/>
              <w:t> </w:t>
            </w:r>
          </w:p>
        </w:tc>
      </w:tr>
      <w:tr>
        <w:trPr/>
        <w:tc>
          <w:tcPr>
            <w:tcW w:w="483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Net loss per share</w:t>
            </w:r>
          </w:p>
        </w:tc>
        <w:tc>
          <w:tcPr>
            <w:tcW w:w="60" w:type="dxa"/>
            <w:tcBorders/>
            <w:shd w:fill="CCEEFF" w:val="clear"/>
            <w:vAlign w:val="center"/>
          </w:tcPr>
          <w:p>
            <w:pPr>
              <w:pStyle w:val="TableContents"/>
              <w:spacing w:before="0" w:after="283"/>
              <w:ind w:left="0" w:right="0" w:hanging="0"/>
              <w:rPr/>
            </w:pPr>
            <w:r>
              <w:rPr/>
              <w:t> </w:t>
            </w:r>
          </w:p>
        </w:tc>
        <w:tc>
          <w:tcPr>
            <w:tcW w:w="1185" w:type="dxa"/>
            <w:gridSpan w:val="2"/>
            <w:tcBorders/>
            <w:shd w:fill="CCEEFF" w:val="clear"/>
            <w:vAlign w:val="center"/>
          </w:tcPr>
          <w:p>
            <w:pPr>
              <w:pStyle w:val="TableContents"/>
              <w:spacing w:before="0" w:after="0"/>
              <w:ind w:left="0" w:right="0" w:hanging="0"/>
              <w:rPr>
                <w:caps w:val="false"/>
                <w:smallCaps w:val="false"/>
              </w:rPr>
            </w:pPr>
            <w:r>
              <w:rPr>
                <w:caps w:val="false"/>
                <w:smallCaps w:val="false"/>
              </w:rPr>
              <w:t>​</w:t>
            </w:r>
          </w:p>
        </w:tc>
        <w:tc>
          <w:tcPr>
            <w:tcW w:w="122" w:type="dxa"/>
            <w:tcBorders/>
            <w:shd w:fill="CCEEFF" w:val="clear"/>
            <w:vAlign w:val="center"/>
          </w:tcPr>
          <w:p>
            <w:pPr>
              <w:pStyle w:val="TableContents"/>
              <w:spacing w:before="0" w:after="283"/>
              <w:rPr/>
            </w:pPr>
            <w:r>
              <w:rPr/>
              <w:t> </w:t>
            </w:r>
          </w:p>
        </w:tc>
        <w:tc>
          <w:tcPr>
            <w:tcW w:w="91" w:type="dxa"/>
            <w:tcBorders/>
            <w:shd w:fill="CCEEFF" w:val="clear"/>
            <w:vAlign w:val="center"/>
          </w:tcPr>
          <w:p>
            <w:pPr>
              <w:pStyle w:val="TableContents"/>
              <w:spacing w:before="0" w:after="283"/>
              <w:ind w:left="0" w:right="0" w:hanging="0"/>
              <w:rPr/>
            </w:pPr>
            <w:r>
              <w:rPr/>
              <w:t> </w:t>
            </w:r>
          </w:p>
        </w:tc>
        <w:tc>
          <w:tcPr>
            <w:tcW w:w="1185" w:type="dxa"/>
            <w:gridSpan w:val="2"/>
            <w:tcBorders/>
            <w:shd w:fill="CCEEFF" w:val="clear"/>
            <w:vAlign w:val="center"/>
          </w:tcPr>
          <w:p>
            <w:pPr>
              <w:pStyle w:val="TableContents"/>
              <w:spacing w:before="0" w:after="0"/>
              <w:ind w:left="0" w:right="0" w:hanging="0"/>
              <w:rPr>
                <w:caps w:val="false"/>
                <w:smallCaps w:val="false"/>
              </w:rPr>
            </w:pPr>
            <w:r>
              <w:rPr>
                <w:caps w:val="false"/>
                <w:smallCaps w:val="false"/>
              </w:rPr>
              <w:t>​</w:t>
            </w:r>
          </w:p>
        </w:tc>
        <w:tc>
          <w:tcPr>
            <w:tcW w:w="80" w:type="dxa"/>
            <w:tcBorders/>
            <w:shd w:fill="CCEEFF" w:val="clear"/>
            <w:vAlign w:val="center"/>
          </w:tcPr>
          <w:p>
            <w:pPr>
              <w:pStyle w:val="TableContents"/>
              <w:spacing w:before="0" w:after="283"/>
              <w:rPr/>
            </w:pPr>
            <w:r>
              <w:rPr/>
              <w:t> </w:t>
            </w:r>
          </w:p>
        </w:tc>
      </w:tr>
      <w:tr>
        <w:trPr/>
        <w:tc>
          <w:tcPr>
            <w:tcW w:w="4835"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Basic</w:t>
            </w:r>
          </w:p>
        </w:tc>
        <w:tc>
          <w:tcPr>
            <w:tcW w:w="60" w:type="dxa"/>
            <w:tcBorders/>
            <w:shd w:fill="FFFFFF" w:val="clear"/>
            <w:vAlign w:val="center"/>
          </w:tcPr>
          <w:p>
            <w:pPr>
              <w:pStyle w:val="TableContents"/>
              <w:spacing w:before="0" w:after="283"/>
              <w:ind w:left="0" w:right="0" w:hanging="0"/>
              <w:rPr/>
            </w:pPr>
            <w:r>
              <w:rPr/>
              <w:t> </w:t>
            </w:r>
          </w:p>
        </w:tc>
        <w:tc>
          <w:tcPr>
            <w:tcW w:w="191"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94"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(0.56</w:t>
            </w:r>
          </w:p>
        </w:tc>
        <w:tc>
          <w:tcPr>
            <w:tcW w:w="122"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91" w:type="dxa"/>
            <w:tcBorders/>
            <w:shd w:fill="FFFFFF" w:val="clear"/>
            <w:vAlign w:val="center"/>
          </w:tcPr>
          <w:p>
            <w:pPr>
              <w:pStyle w:val="TableContents"/>
              <w:spacing w:before="0" w:after="283"/>
              <w:ind w:left="0" w:right="0" w:hanging="0"/>
              <w:rPr/>
            </w:pPr>
            <w:r>
              <w:rPr/>
              <w:t> </w:t>
            </w:r>
          </w:p>
        </w:tc>
        <w:tc>
          <w:tcPr>
            <w:tcW w:w="191"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94"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(0.58</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483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Diluted</w:t>
            </w:r>
          </w:p>
        </w:tc>
        <w:tc>
          <w:tcPr>
            <w:tcW w:w="60" w:type="dxa"/>
            <w:tcBorders/>
            <w:shd w:fill="CCEEFF" w:val="clear"/>
            <w:vAlign w:val="center"/>
          </w:tcPr>
          <w:p>
            <w:pPr>
              <w:pStyle w:val="TableContents"/>
              <w:spacing w:before="0" w:after="283"/>
              <w:ind w:left="0" w:right="0" w:hanging="0"/>
              <w:rPr/>
            </w:pPr>
            <w:r>
              <w:rPr/>
              <w:t> </w:t>
            </w:r>
          </w:p>
        </w:tc>
        <w:tc>
          <w:tcPr>
            <w:tcW w:w="191"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94"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(0.56</w:t>
            </w:r>
          </w:p>
        </w:tc>
        <w:tc>
          <w:tcPr>
            <w:tcW w:w="122"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91" w:type="dxa"/>
            <w:tcBorders/>
            <w:shd w:fill="CCEEFF" w:val="clear"/>
            <w:vAlign w:val="center"/>
          </w:tcPr>
          <w:p>
            <w:pPr>
              <w:pStyle w:val="TableContents"/>
              <w:spacing w:before="0" w:after="283"/>
              <w:ind w:left="0" w:right="0" w:hanging="0"/>
              <w:rPr/>
            </w:pPr>
            <w:r>
              <w:rPr/>
              <w:t> </w:t>
            </w:r>
          </w:p>
        </w:tc>
        <w:tc>
          <w:tcPr>
            <w:tcW w:w="191"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94"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(0.58</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bl>
    <w:p>
      <w:pPr>
        <w:pStyle w:val="TextBody"/>
        <w:spacing w:before="0" w:after="0"/>
        <w:ind w:left="0" w:right="0" w:firstLine="720"/>
        <w:jc w:val="left"/>
        <w:rPr/>
      </w:pPr>
      <w:r>
        <w:rPr/>
        <w:t> </w:t>
      </w:r>
    </w:p>
    <w:p>
      <w:pPr>
        <w:pStyle w:val="TextBody"/>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potentially dilutive securities were excluded from the diluted net loss per share as their effect would have been antidilutive (in thousands):</w:t>
      </w:r>
    </w:p>
    <w:p>
      <w:pPr>
        <w:pStyle w:val="TextBody"/>
        <w:spacing w:before="0" w:after="0"/>
        <w:ind w:left="0" w:right="0" w:firstLine="720"/>
        <w:jc w:val="left"/>
        <w:rPr/>
      </w:pPr>
      <w:r>
        <w:rPr/>
        <w:t>​</w:t>
      </w:r>
    </w:p>
    <w:tbl>
      <w:tblPr>
        <w:tblW w:w="5514" w:type="dxa"/>
        <w:jc w:val="left"/>
        <w:tblInd w:w="0" w:type="dxa"/>
        <w:tblCellMar>
          <w:top w:w="0" w:type="dxa"/>
          <w:left w:w="0" w:type="dxa"/>
          <w:bottom w:w="0" w:type="dxa"/>
          <w:right w:w="0" w:type="dxa"/>
        </w:tblCellMar>
      </w:tblPr>
      <w:tblGrid>
        <w:gridCol w:w="2810"/>
        <w:gridCol w:w="60"/>
        <w:gridCol w:w="128"/>
        <w:gridCol w:w="1036"/>
        <w:gridCol w:w="128"/>
        <w:gridCol w:w="128"/>
        <w:gridCol w:w="128"/>
        <w:gridCol w:w="1036"/>
        <w:gridCol w:w="60"/>
      </w:tblGrid>
      <w:tr>
        <w:trPr/>
        <w:tc>
          <w:tcPr>
            <w:tcW w:w="281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584"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Three months ended March 31,</w:t>
            </w:r>
          </w:p>
        </w:tc>
        <w:tc>
          <w:tcPr>
            <w:tcW w:w="60" w:type="dxa"/>
            <w:tcBorders/>
            <w:shd w:fill="FFFFFF" w:val="clear"/>
            <w:vAlign w:val="center"/>
          </w:tcPr>
          <w:p>
            <w:pPr>
              <w:pStyle w:val="TableContents"/>
              <w:spacing w:before="0" w:after="283"/>
              <w:rPr/>
            </w:pPr>
            <w:r>
              <w:rPr/>
              <w:t> </w:t>
            </w:r>
          </w:p>
        </w:tc>
      </w:tr>
      <w:tr>
        <w:trPr/>
        <w:tc>
          <w:tcPr>
            <w:tcW w:w="2810" w:type="dxa"/>
            <w:tcBorders/>
            <w:shd w:fill="FFFFFF" w:val="clear"/>
            <w:vAlign w:val="center"/>
          </w:tcPr>
          <w:p>
            <w:pPr>
              <w:pStyle w:val="TableContents"/>
              <w:spacing w:before="0" w:after="0"/>
              <w:rPr>
                <w:caps w:val="false"/>
                <w:smallCaps w:val="false"/>
              </w:rPr>
            </w:pPr>
            <w:r>
              <w:rPr>
                <w:caps w:val="false"/>
                <w:smallCaps w:val="false"/>
              </w:rPr>
              <w:t>​</w:t>
            </w:r>
          </w:p>
        </w:tc>
        <w:tc>
          <w:tcPr>
            <w:tcW w:w="60" w:type="dxa"/>
            <w:tcBorders/>
            <w:shd w:fill="FFFFFF" w:val="clear"/>
            <w:vAlign w:val="center"/>
          </w:tcPr>
          <w:p>
            <w:pPr>
              <w:pStyle w:val="TableContents"/>
              <w:spacing w:before="0" w:after="283"/>
              <w:ind w:left="0" w:right="0" w:hanging="0"/>
              <w:rPr/>
            </w:pPr>
            <w:r>
              <w:rPr/>
              <w:t> </w:t>
            </w:r>
          </w:p>
        </w:tc>
        <w:tc>
          <w:tcPr>
            <w:tcW w:w="116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2023</w:t>
            </w:r>
          </w:p>
        </w:tc>
        <w:tc>
          <w:tcPr>
            <w:tcW w:w="128" w:type="dxa"/>
            <w:tcBorders/>
            <w:shd w:fill="FFFFFF" w:val="clear"/>
            <w:vAlign w:val="center"/>
          </w:tcPr>
          <w:p>
            <w:pPr>
              <w:pStyle w:val="TableContents"/>
              <w:spacing w:before="0" w:after="283"/>
              <w:rPr/>
            </w:pPr>
            <w:r>
              <w:rPr/>
              <w:t> </w:t>
            </w:r>
          </w:p>
        </w:tc>
        <w:tc>
          <w:tcPr>
            <w:tcW w:w="128" w:type="dxa"/>
            <w:tcBorders/>
            <w:shd w:fill="FFFFFF" w:val="clear"/>
            <w:vAlign w:val="center"/>
          </w:tcPr>
          <w:p>
            <w:pPr>
              <w:pStyle w:val="TableContents"/>
              <w:spacing w:before="0" w:after="283"/>
              <w:ind w:left="0" w:right="0" w:hanging="0"/>
              <w:rPr/>
            </w:pPr>
            <w:r>
              <w:rPr/>
              <w:t> </w:t>
            </w:r>
          </w:p>
        </w:tc>
        <w:tc>
          <w:tcPr>
            <w:tcW w:w="116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2022</w:t>
            </w:r>
          </w:p>
        </w:tc>
        <w:tc>
          <w:tcPr>
            <w:tcW w:w="60" w:type="dxa"/>
            <w:tcBorders/>
            <w:shd w:fill="FFFFFF" w:val="clear"/>
            <w:vAlign w:val="center"/>
          </w:tcPr>
          <w:p>
            <w:pPr>
              <w:pStyle w:val="TableContents"/>
              <w:spacing w:before="0" w:after="283"/>
              <w:rPr/>
            </w:pPr>
            <w:r>
              <w:rPr/>
              <w:t> </w:t>
            </w:r>
          </w:p>
        </w:tc>
      </w:tr>
      <w:tr>
        <w:trPr/>
        <w:tc>
          <w:tcPr>
            <w:tcW w:w="281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Employee stock options</w:t>
            </w:r>
          </w:p>
        </w:tc>
        <w:tc>
          <w:tcPr>
            <w:tcW w:w="60" w:type="dxa"/>
            <w:tcBorders/>
            <w:shd w:fill="CCEEFF" w:val="clear"/>
            <w:vAlign w:val="center"/>
          </w:tcPr>
          <w:p>
            <w:pPr>
              <w:pStyle w:val="TableContents"/>
              <w:spacing w:before="0" w:after="283"/>
              <w:rPr/>
            </w:pPr>
            <w:r>
              <w:rPr/>
              <w:t> </w:t>
            </w:r>
          </w:p>
        </w:tc>
        <w:tc>
          <w:tcPr>
            <w:tcW w:w="128" w:type="dxa"/>
            <w:tcBorders/>
            <w:shd w:fill="CCEEFF" w:val="clear"/>
            <w:vAlign w:val="center"/>
          </w:tcPr>
          <w:p>
            <w:pPr>
              <w:pStyle w:val="TableContents"/>
              <w:spacing w:before="0" w:after="283"/>
              <w:ind w:left="0" w:right="0" w:hanging="0"/>
              <w:rPr/>
            </w:pPr>
            <w:r>
              <w:rPr/>
              <w:t> </w:t>
            </w:r>
          </w:p>
        </w:tc>
        <w:tc>
          <w:tcPr>
            <w:tcW w:w="1036" w:type="dxa"/>
            <w:tcBorders/>
            <w:shd w:fill="CCEEFF" w:val="clear"/>
            <w:vAlign w:val="center"/>
          </w:tcPr>
          <w:p>
            <w:pPr>
              <w:pStyle w:val="TableContents"/>
              <w:spacing w:before="0" w:after="283"/>
              <w:ind w:left="0" w:right="0" w:hanging="0"/>
              <w:jc w:val="right"/>
              <w:rPr/>
            </w:pPr>
            <w:r>
              <w:rPr>
                <w:rStyle w:val="Emphasis"/>
              </w:rPr>
              <w:t>—</w:t>
            </w:r>
          </w:p>
        </w:tc>
        <w:tc>
          <w:tcPr>
            <w:tcW w:w="128" w:type="dxa"/>
            <w:tcBorders/>
            <w:shd w:fill="CCEEFF" w:val="clear"/>
            <w:vAlign w:val="center"/>
          </w:tcPr>
          <w:p>
            <w:pPr>
              <w:pStyle w:val="TableContents"/>
              <w:spacing w:before="0" w:after="283"/>
              <w:rPr/>
            </w:pPr>
            <w:r>
              <w:rPr/>
              <w:t> </w:t>
            </w:r>
          </w:p>
        </w:tc>
        <w:tc>
          <w:tcPr>
            <w:tcW w:w="128" w:type="dxa"/>
            <w:tcBorders/>
            <w:shd w:fill="CCEEFF" w:val="clear"/>
            <w:vAlign w:val="center"/>
          </w:tcPr>
          <w:p>
            <w:pPr>
              <w:pStyle w:val="TableContents"/>
              <w:spacing w:before="0" w:after="283"/>
              <w:rPr/>
            </w:pPr>
            <w:r>
              <w:rPr/>
              <w:t> </w:t>
            </w:r>
          </w:p>
        </w:tc>
        <w:tc>
          <w:tcPr>
            <w:tcW w:w="128" w:type="dxa"/>
            <w:tcBorders/>
            <w:shd w:fill="CCEEFF" w:val="clear"/>
            <w:vAlign w:val="center"/>
          </w:tcPr>
          <w:p>
            <w:pPr>
              <w:pStyle w:val="TableContents"/>
              <w:spacing w:before="0" w:after="283"/>
              <w:ind w:left="0" w:right="0" w:hanging="0"/>
              <w:rPr/>
            </w:pPr>
            <w:r>
              <w:rPr/>
              <w:t> </w:t>
            </w:r>
          </w:p>
        </w:tc>
        <w:tc>
          <w:tcPr>
            <w:tcW w:w="1036" w:type="dxa"/>
            <w:tcBorders/>
            <w:shd w:fill="CCEEFF" w:val="clear"/>
            <w:vAlign w:val="center"/>
          </w:tcPr>
          <w:p>
            <w:pPr>
              <w:pStyle w:val="TableContents"/>
              <w:spacing w:before="0" w:after="283"/>
              <w:ind w:left="0" w:right="0" w:hanging="0"/>
              <w:jc w:val="right"/>
              <w:rPr/>
            </w:pPr>
            <w:r>
              <w:rPr>
                <w:rStyle w:val="Emphasis"/>
                <w:rFonts w:ascii="Times New Roman" w:hAnsi="Times New Roman"/>
                <w:sz w:val="20"/>
              </w:rPr>
              <w:t>__</w:t>
            </w:r>
          </w:p>
        </w:tc>
        <w:tc>
          <w:tcPr>
            <w:tcW w:w="60" w:type="dxa"/>
            <w:tcBorders/>
            <w:shd w:fill="CCEEFF" w:val="clear"/>
            <w:vAlign w:val="center"/>
          </w:tcPr>
          <w:p>
            <w:pPr>
              <w:pStyle w:val="TableContents"/>
              <w:spacing w:before="0" w:after="283"/>
              <w:rPr/>
            </w:pPr>
            <w:r>
              <w:rPr/>
              <w:t> </w:t>
            </w:r>
          </w:p>
        </w:tc>
      </w:tr>
      <w:tr>
        <w:trPr/>
        <w:tc>
          <w:tcPr>
            <w:tcW w:w="2810"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Restricted stock units</w:t>
            </w:r>
          </w:p>
        </w:tc>
        <w:tc>
          <w:tcPr>
            <w:tcW w:w="60" w:type="dxa"/>
            <w:tcBorders/>
            <w:shd w:fill="FFFFFF" w:val="clear"/>
            <w:vAlign w:val="center"/>
          </w:tcPr>
          <w:p>
            <w:pPr>
              <w:pStyle w:val="TableContents"/>
              <w:spacing w:before="0" w:after="283"/>
              <w:rPr/>
            </w:pPr>
            <w:r>
              <w:rPr/>
              <w:t> </w:t>
            </w:r>
          </w:p>
        </w:tc>
        <w:tc>
          <w:tcPr>
            <w:tcW w:w="128" w:type="dxa"/>
            <w:tcBorders/>
            <w:shd w:fill="FFFFFF" w:val="clear"/>
            <w:vAlign w:val="center"/>
          </w:tcPr>
          <w:p>
            <w:pPr>
              <w:pStyle w:val="TableContents"/>
              <w:spacing w:before="0" w:after="283"/>
              <w:ind w:left="0" w:right="0" w:hanging="0"/>
              <w:rPr/>
            </w:pPr>
            <w:r>
              <w:rPr/>
              <w:t> </w:t>
            </w:r>
          </w:p>
        </w:tc>
        <w:tc>
          <w:tcPr>
            <w:tcW w:w="103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458</w:t>
            </w:r>
          </w:p>
        </w:tc>
        <w:tc>
          <w:tcPr>
            <w:tcW w:w="128" w:type="dxa"/>
            <w:tcBorders/>
            <w:shd w:fill="FFFFFF" w:val="clear"/>
            <w:vAlign w:val="center"/>
          </w:tcPr>
          <w:p>
            <w:pPr>
              <w:pStyle w:val="TableContents"/>
              <w:spacing w:before="0" w:after="283"/>
              <w:rPr/>
            </w:pPr>
            <w:r>
              <w:rPr/>
              <w:t> </w:t>
            </w:r>
          </w:p>
        </w:tc>
        <w:tc>
          <w:tcPr>
            <w:tcW w:w="128" w:type="dxa"/>
            <w:tcBorders/>
            <w:shd w:fill="FFFFFF" w:val="clear"/>
            <w:vAlign w:val="center"/>
          </w:tcPr>
          <w:p>
            <w:pPr>
              <w:pStyle w:val="TableContents"/>
              <w:spacing w:before="0" w:after="283"/>
              <w:rPr/>
            </w:pPr>
            <w:r>
              <w:rPr/>
              <w:t> </w:t>
            </w:r>
          </w:p>
        </w:tc>
        <w:tc>
          <w:tcPr>
            <w:tcW w:w="128" w:type="dxa"/>
            <w:tcBorders/>
            <w:shd w:fill="FFFFFF" w:val="clear"/>
            <w:vAlign w:val="center"/>
          </w:tcPr>
          <w:p>
            <w:pPr>
              <w:pStyle w:val="TableContents"/>
              <w:spacing w:before="0" w:after="283"/>
              <w:ind w:left="0" w:right="0" w:hanging="0"/>
              <w:rPr/>
            </w:pPr>
            <w:r>
              <w:rPr/>
              <w:t> </w:t>
            </w:r>
          </w:p>
        </w:tc>
        <w:tc>
          <w:tcPr>
            <w:tcW w:w="1036" w:type="dxa"/>
            <w:tcBorders/>
            <w:shd w:fill="FFFFFF" w:val="clear"/>
            <w:vAlign w:val="center"/>
          </w:tcPr>
          <w:p>
            <w:pPr>
              <w:pStyle w:val="TableContents"/>
              <w:spacing w:before="0" w:after="283"/>
              <w:ind w:left="0" w:right="0" w:hanging="0"/>
              <w:jc w:val="right"/>
              <w:rPr/>
            </w:pPr>
            <w:r>
              <w:rPr>
                <w:rStyle w:val="Emphasis"/>
                <w:rFonts w:ascii="Times New Roman" w:hAnsi="Times New Roman"/>
                <w:sz w:val="20"/>
              </w:rPr>
              <w:t>__</w:t>
            </w:r>
          </w:p>
        </w:tc>
        <w:tc>
          <w:tcPr>
            <w:tcW w:w="60" w:type="dxa"/>
            <w:tcBorders/>
            <w:shd w:fill="FFFFFF" w:val="clear"/>
            <w:vAlign w:val="center"/>
          </w:tcPr>
          <w:p>
            <w:pPr>
              <w:pStyle w:val="TableContents"/>
              <w:spacing w:before="0" w:after="283"/>
              <w:rPr/>
            </w:pPr>
            <w:r>
              <w:rPr/>
              <w:t> </w:t>
            </w:r>
          </w:p>
        </w:tc>
      </w:tr>
      <w:tr>
        <w:trPr/>
        <w:tc>
          <w:tcPr>
            <w:tcW w:w="281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Shares for convertible senior notes</w:t>
            </w:r>
          </w:p>
        </w:tc>
        <w:tc>
          <w:tcPr>
            <w:tcW w:w="60" w:type="dxa"/>
            <w:tcBorders/>
            <w:shd w:fill="CCEEFF" w:val="clear"/>
            <w:vAlign w:val="center"/>
          </w:tcPr>
          <w:p>
            <w:pPr>
              <w:pStyle w:val="TableContents"/>
              <w:spacing w:before="0" w:after="283"/>
              <w:rPr/>
            </w:pPr>
            <w:r>
              <w:rPr/>
              <w:t> </w:t>
            </w:r>
          </w:p>
        </w:tc>
        <w:tc>
          <w:tcPr>
            <w:tcW w:w="128"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1036"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4,587</w:t>
            </w:r>
          </w:p>
        </w:tc>
        <w:tc>
          <w:tcPr>
            <w:tcW w:w="128" w:type="dxa"/>
            <w:tcBorders/>
            <w:shd w:fill="CCEEFF" w:val="clear"/>
            <w:vAlign w:val="center"/>
          </w:tcPr>
          <w:p>
            <w:pPr>
              <w:pStyle w:val="TableContents"/>
              <w:spacing w:before="0" w:after="283"/>
              <w:rPr/>
            </w:pPr>
            <w:r>
              <w:rPr/>
              <w:t> </w:t>
            </w:r>
          </w:p>
        </w:tc>
        <w:tc>
          <w:tcPr>
            <w:tcW w:w="128" w:type="dxa"/>
            <w:tcBorders/>
            <w:shd w:fill="CCEEFF" w:val="clear"/>
            <w:vAlign w:val="center"/>
          </w:tcPr>
          <w:p>
            <w:pPr>
              <w:pStyle w:val="TableContents"/>
              <w:spacing w:before="0" w:after="283"/>
              <w:rPr/>
            </w:pPr>
            <w:r>
              <w:rPr/>
              <w:t> </w:t>
            </w:r>
          </w:p>
        </w:tc>
        <w:tc>
          <w:tcPr>
            <w:tcW w:w="128"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1036"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4,587</w:t>
            </w:r>
          </w:p>
        </w:tc>
        <w:tc>
          <w:tcPr>
            <w:tcW w:w="60" w:type="dxa"/>
            <w:tcBorders/>
            <w:shd w:fill="CCEEFF" w:val="clear"/>
            <w:vAlign w:val="center"/>
          </w:tcPr>
          <w:p>
            <w:pPr>
              <w:pStyle w:val="TableContents"/>
              <w:spacing w:before="0" w:after="283"/>
              <w:rPr/>
            </w:pPr>
            <w:r>
              <w:rPr/>
              <w:t> </w:t>
            </w:r>
          </w:p>
        </w:tc>
      </w:tr>
      <w:tr>
        <w:trPr/>
        <w:tc>
          <w:tcPr>
            <w:tcW w:w="2810"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Total antidilutive shares</w:t>
            </w:r>
          </w:p>
        </w:tc>
        <w:tc>
          <w:tcPr>
            <w:tcW w:w="60" w:type="dxa"/>
            <w:tcBorders/>
            <w:shd w:fill="FFFFFF" w:val="clear"/>
            <w:vAlign w:val="center"/>
          </w:tcPr>
          <w:p>
            <w:pPr>
              <w:pStyle w:val="TableContents"/>
              <w:spacing w:before="0" w:after="283"/>
              <w:rPr/>
            </w:pPr>
            <w:r>
              <w:rPr/>
              <w:t> </w:t>
            </w:r>
          </w:p>
        </w:tc>
        <w:tc>
          <w:tcPr>
            <w:tcW w:w="128" w:type="dxa"/>
            <w:tcBorders>
              <w:bottom w:val="double" w:sz="6" w:space="0" w:color="000000"/>
            </w:tcBorders>
            <w:shd w:fill="FFFFFF" w:val="clear"/>
            <w:tcMar>
              <w:bottom w:w="28" w:type="dxa"/>
            </w:tcMar>
            <w:vAlign w:val="center"/>
          </w:tcPr>
          <w:p>
            <w:pPr>
              <w:pStyle w:val="TableContents"/>
              <w:spacing w:before="0" w:after="283"/>
              <w:ind w:left="0" w:right="0" w:hanging="0"/>
              <w:rPr/>
            </w:pPr>
            <w:r>
              <w:rPr/>
              <w:t> </w:t>
            </w:r>
          </w:p>
        </w:tc>
        <w:tc>
          <w:tcPr>
            <w:tcW w:w="1036"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5,045</w:t>
            </w:r>
          </w:p>
        </w:tc>
        <w:tc>
          <w:tcPr>
            <w:tcW w:w="128" w:type="dxa"/>
            <w:tcBorders/>
            <w:shd w:fill="FFFFFF" w:val="clear"/>
            <w:vAlign w:val="center"/>
          </w:tcPr>
          <w:p>
            <w:pPr>
              <w:pStyle w:val="TableContents"/>
              <w:spacing w:before="0" w:after="283"/>
              <w:rPr/>
            </w:pPr>
            <w:r>
              <w:rPr/>
              <w:t> </w:t>
            </w:r>
          </w:p>
        </w:tc>
        <w:tc>
          <w:tcPr>
            <w:tcW w:w="128" w:type="dxa"/>
            <w:tcBorders/>
            <w:shd w:fill="FFFFFF" w:val="clear"/>
            <w:vAlign w:val="center"/>
          </w:tcPr>
          <w:p>
            <w:pPr>
              <w:pStyle w:val="TableContents"/>
              <w:spacing w:before="0" w:after="283"/>
              <w:rPr/>
            </w:pPr>
            <w:r>
              <w:rPr/>
              <w:t> </w:t>
            </w:r>
          </w:p>
        </w:tc>
        <w:tc>
          <w:tcPr>
            <w:tcW w:w="128" w:type="dxa"/>
            <w:tcBorders>
              <w:bottom w:val="double" w:sz="6" w:space="0" w:color="000000"/>
            </w:tcBorders>
            <w:shd w:fill="FFFFFF" w:val="clear"/>
            <w:tcMar>
              <w:bottom w:w="28" w:type="dxa"/>
            </w:tcMar>
            <w:vAlign w:val="center"/>
          </w:tcPr>
          <w:p>
            <w:pPr>
              <w:pStyle w:val="TableContents"/>
              <w:spacing w:before="0" w:after="283"/>
              <w:ind w:left="0" w:right="0" w:hanging="0"/>
              <w:rPr/>
            </w:pPr>
            <w:r>
              <w:rPr/>
              <w:t> </w:t>
            </w:r>
          </w:p>
        </w:tc>
        <w:tc>
          <w:tcPr>
            <w:tcW w:w="1036"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4,587</w:t>
            </w:r>
          </w:p>
        </w:tc>
        <w:tc>
          <w:tcPr>
            <w:tcW w:w="60" w:type="dxa"/>
            <w:tcBorders/>
            <w:shd w:fill="FFFFFF" w:val="clear"/>
            <w:vAlign w:val="center"/>
          </w:tcPr>
          <w:p>
            <w:pPr>
              <w:pStyle w:val="TableContents"/>
              <w:spacing w:before="0" w:after="283"/>
              <w:rPr/>
            </w:pPr>
            <w:r>
              <w:rPr/>
              <w:t> </w:t>
            </w:r>
          </w:p>
        </w:tc>
      </w:tr>
    </w:tbl>
    <w:p>
      <w:pPr>
        <w:pStyle w:val="TextBody"/>
        <w:spacing w:before="0" w:after="0"/>
        <w:ind w:left="0" w:right="0" w:hanging="0"/>
        <w:jc w:val="left"/>
        <w:rPr/>
      </w:pPr>
      <w:r>
        <w:rPr/>
        <w:t>​</w:t>
      </w:r>
    </w:p>
    <w:p>
      <w:pPr>
        <w:pStyle w:val="TextBody"/>
        <w:spacing w:before="0" w:after="0"/>
        <w:jc w:val="center"/>
        <w:rPr/>
      </w:pPr>
      <w:r>
        <w:rPr>
          <w:rStyle w:val="Emphasis"/>
          <w:rFonts w:ascii="Times New Roman" w:hAnsi="Times New Roman"/>
          <w:sz w:val="20"/>
        </w:rPr>
        <w:t>12</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rPr/>
      </w:pPr>
      <w:r>
        <w:rPr/>
        <w:t xml:space="preserve">  </w:t>
      </w:r>
    </w:p>
    <w:p>
      <w:pPr>
        <w:pStyle w:val="TextBody"/>
        <w:rPr/>
      </w:pPr>
      <w:r>
        <w:rPr/>
        <w:t xml:space="preserve">  </w:t>
      </w:r>
    </w:p>
    <w:p>
      <w:pPr>
        <w:pStyle w:val="TextBody"/>
        <w:spacing w:before="0" w:after="0"/>
        <w:ind w:left="0" w:right="0" w:hanging="0"/>
        <w:jc w:val="left"/>
        <w:rPr/>
      </w:pPr>
      <w:r>
        <w:rPr>
          <w:rFonts w:ascii="Times New Roman" w:hAnsi="Times New Roman"/>
          <w:b/>
          <w:sz w:val="20"/>
        </w:rPr>
        <w:t xml:space="preserve">Note </w:t>
      </w:r>
      <w:r>
        <w:rPr>
          <w:rStyle w:val="Emphasis"/>
          <w:rFonts w:ascii="Times New Roman" w:hAnsi="Times New Roman"/>
          <w:b/>
          <w:sz w:val="20"/>
        </w:rPr>
        <w:t>7.</w:t>
      </w:r>
      <w:r>
        <w:rPr>
          <w:rFonts w:ascii="Times New Roman" w:hAnsi="Times New Roman"/>
          <w:b/>
          <w:sz w:val="20"/>
        </w:rPr>
        <w:t>  Inventories</w:t>
      </w:r>
    </w:p>
    <w:p>
      <w:pPr>
        <w:pStyle w:val="TextBody"/>
        <w:spacing w:before="0" w:after="0"/>
        <w:ind w:left="0" w:right="0" w:hanging="0"/>
        <w:jc w:val="left"/>
        <w:rPr/>
      </w:pPr>
      <w:r>
        <w:rPr/>
        <w:t>​</w:t>
      </w:r>
    </w:p>
    <w:p>
      <w:pPr>
        <w:pStyle w:val="TextBody"/>
        <w:spacing w:before="0" w:after="0"/>
        <w:ind w:left="0" w:right="0" w:firstLine="720"/>
        <w:jc w:val="left"/>
        <w:rPr>
          <w:rFonts w:ascii="Times New Roman" w:hAnsi="Times New Roman"/>
          <w:sz w:val="20"/>
        </w:rPr>
      </w:pPr>
      <w:r>
        <w:rPr>
          <w:rFonts w:ascii="Times New Roman" w:hAnsi="Times New Roman"/>
          <w:sz w:val="20"/>
        </w:rPr>
        <w:t>Inventories, net of inventory write-downs, consist of the following for the periods indicated (in thousands):</w:t>
      </w:r>
    </w:p>
    <w:p>
      <w:pPr>
        <w:pStyle w:val="TextBody"/>
        <w:spacing w:before="0" w:after="0"/>
        <w:ind w:left="0" w:right="0" w:firstLine="720"/>
        <w:jc w:val="left"/>
        <w:rPr/>
      </w:pPr>
      <w:r>
        <w:rPr/>
        <w:t>​</w:t>
      </w:r>
    </w:p>
    <w:tbl>
      <w:tblPr>
        <w:tblW w:w="6118" w:type="dxa"/>
        <w:jc w:val="left"/>
        <w:tblInd w:w="0" w:type="dxa"/>
        <w:tblCellMar>
          <w:top w:w="0" w:type="dxa"/>
          <w:left w:w="0" w:type="dxa"/>
          <w:bottom w:w="0" w:type="dxa"/>
          <w:right w:w="0" w:type="dxa"/>
        </w:tblCellMar>
      </w:tblPr>
      <w:tblGrid>
        <w:gridCol w:w="2930"/>
        <w:gridCol w:w="60"/>
        <w:gridCol w:w="234"/>
        <w:gridCol w:w="1105"/>
        <w:gridCol w:w="60"/>
        <w:gridCol w:w="60"/>
        <w:gridCol w:w="280"/>
        <w:gridCol w:w="1329"/>
        <w:gridCol w:w="60"/>
      </w:tblGrid>
      <w:tr>
        <w:trPr/>
        <w:tc>
          <w:tcPr>
            <w:tcW w:w="2930" w:type="dxa"/>
            <w:tcBorders/>
            <w:shd w:fill="FFFFFF" w:val="clear"/>
            <w:vAlign w:val="center"/>
          </w:tcPr>
          <w:p>
            <w:pPr>
              <w:pStyle w:val="TableContents"/>
              <w:spacing w:before="0" w:after="0"/>
              <w:rPr/>
            </w:pPr>
            <w:r>
              <w:rPr/>
              <w:t>​</w:t>
            </w:r>
          </w:p>
        </w:tc>
        <w:tc>
          <w:tcPr>
            <w:tcW w:w="60" w:type="dxa"/>
            <w:tcBorders/>
            <w:shd w:fill="FFFFFF" w:val="clear"/>
            <w:vAlign w:val="center"/>
          </w:tcPr>
          <w:p>
            <w:pPr>
              <w:pStyle w:val="TableContents"/>
              <w:spacing w:before="0" w:after="283"/>
              <w:ind w:left="0" w:right="0" w:hanging="0"/>
              <w:rPr/>
            </w:pPr>
            <w:r>
              <w:rPr/>
              <w:t> </w:t>
            </w:r>
          </w:p>
        </w:tc>
        <w:tc>
          <w:tcPr>
            <w:tcW w:w="1339"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sz w:val="20"/>
              </w:rPr>
              <w:t>March 31, 2023</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609"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sz w:val="20"/>
              </w:rPr>
              <w:t>December 31, 2022</w:t>
            </w:r>
          </w:p>
        </w:tc>
        <w:tc>
          <w:tcPr>
            <w:tcW w:w="60" w:type="dxa"/>
            <w:tcBorders/>
            <w:shd w:fill="FFFFFF" w:val="clear"/>
            <w:vAlign w:val="center"/>
          </w:tcPr>
          <w:p>
            <w:pPr>
              <w:pStyle w:val="TableContents"/>
              <w:spacing w:before="0" w:after="283"/>
              <w:rPr/>
            </w:pPr>
            <w:r>
              <w:rPr/>
              <w:t> </w:t>
            </w:r>
          </w:p>
        </w:tc>
      </w:tr>
      <w:tr>
        <w:trPr/>
        <w:tc>
          <w:tcPr>
            <w:tcW w:w="293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Raw materials</w:t>
            </w:r>
          </w:p>
        </w:tc>
        <w:tc>
          <w:tcPr>
            <w:tcW w:w="60" w:type="dxa"/>
            <w:tcBorders/>
            <w:shd w:fill="CCEEFF" w:val="clear"/>
            <w:vAlign w:val="center"/>
          </w:tcPr>
          <w:p>
            <w:pPr>
              <w:pStyle w:val="TableContents"/>
              <w:spacing w:before="0" w:after="283"/>
              <w:ind w:left="0" w:right="0" w:hanging="0"/>
              <w:rPr/>
            </w:pPr>
            <w:r>
              <w:rPr/>
              <w:t> </w:t>
            </w:r>
          </w:p>
        </w:tc>
        <w:tc>
          <w:tcPr>
            <w:tcW w:w="234"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10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21,315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80"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329"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25,732</w:t>
            </w:r>
          </w:p>
        </w:tc>
        <w:tc>
          <w:tcPr>
            <w:tcW w:w="60" w:type="dxa"/>
            <w:tcBorders/>
            <w:shd w:fill="CCEEFF" w:val="clear"/>
            <w:vAlign w:val="center"/>
          </w:tcPr>
          <w:p>
            <w:pPr>
              <w:pStyle w:val="TableContents"/>
              <w:spacing w:before="0" w:after="283"/>
              <w:rPr/>
            </w:pPr>
            <w:r>
              <w:rPr/>
              <w:t> </w:t>
            </w:r>
          </w:p>
        </w:tc>
      </w:tr>
      <w:tr>
        <w:trPr/>
        <w:tc>
          <w:tcPr>
            <w:tcW w:w="2930" w:type="dxa"/>
            <w:tcBorders/>
            <w:shd w:fill="FFFFFF" w:val="clear"/>
            <w:vAlign w:val="center"/>
          </w:tcPr>
          <w:p>
            <w:pPr>
              <w:pStyle w:val="TableContents"/>
              <w:spacing w:before="0" w:after="0"/>
              <w:rPr>
                <w:rFonts w:ascii="Times New Roman" w:hAnsi="Times New Roman"/>
                <w:sz w:val="20"/>
              </w:rPr>
            </w:pPr>
            <w:r>
              <w:rPr>
                <w:rFonts w:ascii="Times New Roman" w:hAnsi="Times New Roman"/>
                <w:sz w:val="20"/>
              </w:rPr>
              <w:t>Work in process and sub-assemblies</w:t>
            </w:r>
          </w:p>
        </w:tc>
        <w:tc>
          <w:tcPr>
            <w:tcW w:w="60" w:type="dxa"/>
            <w:tcBorders/>
            <w:shd w:fill="FFFFFF" w:val="clear"/>
            <w:vAlign w:val="center"/>
          </w:tcPr>
          <w:p>
            <w:pPr>
              <w:pStyle w:val="TableContents"/>
              <w:spacing w:before="0" w:after="283"/>
              <w:rPr/>
            </w:pPr>
            <w:r>
              <w:rPr/>
              <w:t> </w:t>
            </w:r>
          </w:p>
        </w:tc>
        <w:tc>
          <w:tcPr>
            <w:tcW w:w="234" w:type="dxa"/>
            <w:tcBorders/>
            <w:shd w:fill="FFFFFF" w:val="clear"/>
            <w:vAlign w:val="center"/>
          </w:tcPr>
          <w:p>
            <w:pPr>
              <w:pStyle w:val="TableContents"/>
              <w:spacing w:before="0" w:after="283"/>
              <w:ind w:left="0" w:right="0" w:hanging="0"/>
              <w:rPr/>
            </w:pPr>
            <w:r>
              <w:rPr/>
              <w:t> </w:t>
            </w:r>
          </w:p>
        </w:tc>
        <w:tc>
          <w:tcPr>
            <w:tcW w:w="110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33,614</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80" w:type="dxa"/>
            <w:tcBorders/>
            <w:shd w:fill="FFFFFF" w:val="clear"/>
            <w:vAlign w:val="center"/>
          </w:tcPr>
          <w:p>
            <w:pPr>
              <w:pStyle w:val="TableContents"/>
              <w:spacing w:before="0" w:after="283"/>
              <w:ind w:left="0" w:right="0" w:hanging="0"/>
              <w:rPr/>
            </w:pPr>
            <w:r>
              <w:rPr/>
              <w:t> </w:t>
            </w:r>
          </w:p>
        </w:tc>
        <w:tc>
          <w:tcPr>
            <w:tcW w:w="1329"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39,563</w:t>
            </w:r>
          </w:p>
        </w:tc>
        <w:tc>
          <w:tcPr>
            <w:tcW w:w="60" w:type="dxa"/>
            <w:tcBorders/>
            <w:shd w:fill="FFFFFF" w:val="clear"/>
            <w:vAlign w:val="center"/>
          </w:tcPr>
          <w:p>
            <w:pPr>
              <w:pStyle w:val="TableContents"/>
              <w:spacing w:before="0" w:after="283"/>
              <w:rPr/>
            </w:pPr>
            <w:r>
              <w:rPr/>
              <w:t> </w:t>
            </w:r>
          </w:p>
        </w:tc>
      </w:tr>
      <w:tr>
        <w:trPr/>
        <w:tc>
          <w:tcPr>
            <w:tcW w:w="293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Finished goods</w:t>
            </w:r>
          </w:p>
        </w:tc>
        <w:tc>
          <w:tcPr>
            <w:tcW w:w="60" w:type="dxa"/>
            <w:tcBorders/>
            <w:shd w:fill="CCEEFF" w:val="clear"/>
            <w:vAlign w:val="center"/>
          </w:tcPr>
          <w:p>
            <w:pPr>
              <w:pStyle w:val="TableContents"/>
              <w:spacing w:before="0" w:after="283"/>
              <w:rPr/>
            </w:pPr>
            <w:r>
              <w:rPr/>
              <w:t> </w:t>
            </w:r>
          </w:p>
        </w:tc>
        <w:tc>
          <w:tcPr>
            <w:tcW w:w="234"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110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15,257</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80"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1329"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14,384</w:t>
            </w:r>
          </w:p>
        </w:tc>
        <w:tc>
          <w:tcPr>
            <w:tcW w:w="60" w:type="dxa"/>
            <w:tcBorders/>
            <w:shd w:fill="CCEEFF" w:val="clear"/>
            <w:vAlign w:val="center"/>
          </w:tcPr>
          <w:p>
            <w:pPr>
              <w:pStyle w:val="TableContents"/>
              <w:spacing w:before="0" w:after="283"/>
              <w:rPr/>
            </w:pPr>
            <w:r>
              <w:rPr/>
              <w:t> </w:t>
            </w:r>
          </w:p>
        </w:tc>
      </w:tr>
      <w:tr>
        <w:trPr/>
        <w:tc>
          <w:tcPr>
            <w:tcW w:w="2930" w:type="dxa"/>
            <w:tcBorders/>
            <w:shd w:fill="FFFFFF" w:val="clear"/>
            <w:vAlign w:val="center"/>
          </w:tcPr>
          <w:p>
            <w:pPr>
              <w:pStyle w:val="TableContents"/>
              <w:spacing w:before="0" w:after="0"/>
              <w:rPr>
                <w:rFonts w:ascii="Times New Roman" w:hAnsi="Times New Roman"/>
                <w:sz w:val="20"/>
              </w:rPr>
            </w:pPr>
            <w:r>
              <w:rPr>
                <w:rFonts w:ascii="Times New Roman" w:hAnsi="Times New Roman"/>
                <w:sz w:val="20"/>
              </w:rPr>
              <w:t>Total inventories</w:t>
            </w:r>
          </w:p>
        </w:tc>
        <w:tc>
          <w:tcPr>
            <w:tcW w:w="60" w:type="dxa"/>
            <w:tcBorders/>
            <w:shd w:fill="FFFFFF" w:val="clear"/>
            <w:vAlign w:val="center"/>
          </w:tcPr>
          <w:p>
            <w:pPr>
              <w:pStyle w:val="TableContents"/>
              <w:spacing w:before="0" w:after="283"/>
              <w:ind w:left="0" w:right="0" w:hanging="0"/>
              <w:rPr/>
            </w:pPr>
            <w:r>
              <w:rPr/>
              <w:t> </w:t>
            </w:r>
          </w:p>
        </w:tc>
        <w:tc>
          <w:tcPr>
            <w:tcW w:w="234"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10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70,186</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80"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329"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79,679</w:t>
            </w:r>
          </w:p>
        </w:tc>
        <w:tc>
          <w:tcPr>
            <w:tcW w:w="60" w:type="dxa"/>
            <w:tcBorders/>
            <w:shd w:fill="FFFFFF" w:val="clear"/>
            <w:vAlign w:val="center"/>
          </w:tcPr>
          <w:p>
            <w:pPr>
              <w:pStyle w:val="TableContents"/>
              <w:spacing w:before="0" w:after="283"/>
              <w:rPr/>
            </w:pPr>
            <w:r>
              <w:rPr/>
              <w:t> </w:t>
            </w:r>
          </w:p>
        </w:tc>
      </w:tr>
    </w:tbl>
    <w:p>
      <w:pPr>
        <w:pStyle w:val="TextBody"/>
        <w:spacing w:before="0" w:after="0"/>
        <w:ind w:left="0" w:right="0" w:hanging="0"/>
        <w:jc w:val="left"/>
        <w:rPr/>
      </w:pPr>
      <w:r>
        <w:rPr/>
        <w:t>​</w:t>
      </w:r>
    </w:p>
    <w:p>
      <w:pPr>
        <w:pStyle w:val="TextBody"/>
        <w:spacing w:before="0" w:after="0"/>
        <w:ind w:left="160" w:right="0" w:firstLine="540"/>
        <w:rPr/>
      </w:pPr>
      <w:r>
        <w:rPr>
          <w:rFonts w:ascii="Times New Roman" w:hAnsi="Times New Roman"/>
          <w:caps w:val="false"/>
          <w:smallCaps w:val="false"/>
          <w:sz w:val="20"/>
        </w:rPr>
        <w:t xml:space="preserve">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the inventory reserve adjustment expensed for inventory was $2.6 million, and $2.0 million, respectively.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 the direct inventory write-offs related to scrap, discontinued products, and damaged inventories were $3.8 million, and $1.0 million, respectively.</w:t>
      </w:r>
    </w:p>
    <w:p>
      <w:pPr>
        <w:pStyle w:val="TextBody"/>
        <w:spacing w:before="0" w:after="0"/>
        <w:ind w:left="0" w:right="0" w:hanging="0"/>
        <w:jc w:val="left"/>
        <w:rPr>
          <w:highlight w:val="white"/>
        </w:rPr>
      </w:pPr>
      <w:r>
        <w:rPr>
          <w:highlight w:val="white"/>
        </w:rPr>
        <w:t>​</w:t>
      </w:r>
    </w:p>
    <w:p>
      <w:pPr>
        <w:pStyle w:val="TextBody"/>
        <w:rPr/>
      </w:pPr>
      <w:r>
        <w:rPr/>
        <w:t xml:space="preserve">  </w:t>
      </w:r>
    </w:p>
    <w:p>
      <w:pPr>
        <w:pStyle w:val="TextBody"/>
        <w:spacing w:before="0" w:after="0"/>
        <w:ind w:left="0" w:right="0" w:hanging="0"/>
        <w:jc w:val="left"/>
        <w:rPr/>
      </w:pPr>
      <w:r>
        <w:rPr>
          <w:rFonts w:ascii="Times New Roman;Times;serif" w:hAnsi="Times New Roman;Times;serif"/>
          <w:b/>
          <w:sz w:val="20"/>
        </w:rPr>
        <w:t xml:space="preserve">Note </w:t>
      </w:r>
      <w:r>
        <w:rPr>
          <w:rStyle w:val="Emphasis"/>
          <w:rFonts w:ascii="Times New Roman;Times;serif" w:hAnsi="Times New Roman;Times;serif"/>
          <w:b/>
          <w:sz w:val="20"/>
        </w:rPr>
        <w:t>8.</w:t>
      </w:r>
      <w:r>
        <w:rPr>
          <w:rFonts w:ascii="Times New Roman;Times;serif" w:hAnsi="Times New Roman;Times;serif"/>
          <w:b/>
          <w:sz w:val="20"/>
        </w:rPr>
        <w:t>  Property, Plant &amp; Equipment</w:t>
      </w:r>
    </w:p>
    <w:p>
      <w:pPr>
        <w:pStyle w:val="TextBody"/>
        <w:spacing w:before="0" w:after="0"/>
        <w:ind w:left="0" w:right="0" w:hanging="0"/>
        <w:jc w:val="left"/>
        <w:rPr/>
      </w:pPr>
      <w:r>
        <w:rPr/>
        <w:t>​</w:t>
      </w:r>
    </w:p>
    <w:p>
      <w:pPr>
        <w:pStyle w:val="TextBody"/>
        <w:spacing w:before="0" w:after="0"/>
        <w:ind w:left="0" w:right="0" w:firstLine="720"/>
        <w:jc w:val="left"/>
        <w:rPr>
          <w:rFonts w:ascii="Times New Roman;Times;serif" w:hAnsi="Times New Roman;Times;serif"/>
          <w:sz w:val="20"/>
        </w:rPr>
      </w:pPr>
      <w:r>
        <w:rPr>
          <w:rFonts w:ascii="Times New Roman;Times;serif" w:hAnsi="Times New Roman;Times;serif"/>
          <w:sz w:val="20"/>
        </w:rPr>
        <w:t>Property, plant and equipment consisted of the following for the periods indicated (in thousands):</w:t>
      </w:r>
    </w:p>
    <w:p>
      <w:pPr>
        <w:pStyle w:val="TextBody"/>
        <w:spacing w:before="0" w:after="0"/>
        <w:ind w:left="0" w:right="0" w:firstLine="720"/>
        <w:jc w:val="left"/>
        <w:rPr/>
      </w:pPr>
      <w:r>
        <w:rPr/>
        <w:t>​</w:t>
      </w:r>
    </w:p>
    <w:tbl>
      <w:tblPr>
        <w:tblW w:w="7178" w:type="dxa"/>
        <w:jc w:val="left"/>
        <w:tblInd w:w="0" w:type="dxa"/>
        <w:tblCellMar>
          <w:top w:w="0" w:type="dxa"/>
          <w:left w:w="0" w:type="dxa"/>
          <w:bottom w:w="0" w:type="dxa"/>
          <w:right w:w="0" w:type="dxa"/>
        </w:tblCellMar>
      </w:tblPr>
      <w:tblGrid>
        <w:gridCol w:w="3950"/>
        <w:gridCol w:w="60"/>
        <w:gridCol w:w="190"/>
        <w:gridCol w:w="1149"/>
        <w:gridCol w:w="80"/>
        <w:gridCol w:w="60"/>
        <w:gridCol w:w="228"/>
        <w:gridCol w:w="1381"/>
        <w:gridCol w:w="80"/>
      </w:tblGrid>
      <w:tr>
        <w:trPr/>
        <w:tc>
          <w:tcPr>
            <w:tcW w:w="3950" w:type="dxa"/>
            <w:tcBorders/>
            <w:shd w:fill="FFFFFF" w:val="clear"/>
            <w:vAlign w:val="center"/>
          </w:tcPr>
          <w:p>
            <w:pPr>
              <w:pStyle w:val="TableContents"/>
              <w:spacing w:before="0" w:after="0"/>
              <w:rPr/>
            </w:pPr>
            <w:r>
              <w:rPr/>
              <w:t>​</w:t>
            </w:r>
          </w:p>
        </w:tc>
        <w:tc>
          <w:tcPr>
            <w:tcW w:w="60" w:type="dxa"/>
            <w:tcBorders/>
            <w:shd w:fill="FFFFFF" w:val="clear"/>
            <w:vAlign w:val="center"/>
          </w:tcPr>
          <w:p>
            <w:pPr>
              <w:pStyle w:val="TableContents"/>
              <w:spacing w:before="0" w:after="283"/>
              <w:ind w:left="0" w:right="0" w:hanging="0"/>
              <w:rPr/>
            </w:pPr>
            <w:r>
              <w:rPr/>
              <w:t> </w:t>
            </w:r>
          </w:p>
        </w:tc>
        <w:tc>
          <w:tcPr>
            <w:tcW w:w="1339"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sz w:val="20"/>
              </w:rPr>
              <w:t>March 31, 2023</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609"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sz w:val="20"/>
              </w:rPr>
              <w:t>December 31, 2022</w:t>
            </w:r>
          </w:p>
        </w:tc>
        <w:tc>
          <w:tcPr>
            <w:tcW w:w="80" w:type="dxa"/>
            <w:tcBorders/>
            <w:shd w:fill="FFFFFF" w:val="clear"/>
            <w:vAlign w:val="center"/>
          </w:tcPr>
          <w:p>
            <w:pPr>
              <w:pStyle w:val="TableContents"/>
              <w:spacing w:before="0" w:after="283"/>
              <w:rPr/>
            </w:pPr>
            <w:r>
              <w:rPr/>
              <w:t> </w:t>
            </w:r>
          </w:p>
        </w:tc>
      </w:tr>
      <w:tr>
        <w:trPr/>
        <w:tc>
          <w:tcPr>
            <w:tcW w:w="3950" w:type="dxa"/>
            <w:tcBorders/>
            <w:shd w:fill="CCEE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Land improvements</w:t>
            </w:r>
          </w:p>
        </w:tc>
        <w:tc>
          <w:tcPr>
            <w:tcW w:w="60" w:type="dxa"/>
            <w:tcBorders/>
            <w:shd w:fill="CCEEFF" w:val="clear"/>
            <w:vAlign w:val="center"/>
          </w:tcPr>
          <w:p>
            <w:pPr>
              <w:pStyle w:val="TableContents"/>
              <w:spacing w:before="0" w:after="283"/>
              <w:ind w:left="0" w:right="0" w:hanging="0"/>
              <w:rPr/>
            </w:pPr>
            <w:r>
              <w:rPr/>
              <w:t> </w:t>
            </w:r>
          </w:p>
        </w:tc>
        <w:tc>
          <w:tcPr>
            <w:tcW w:w="190" w:type="dxa"/>
            <w:tcBorders/>
            <w:shd w:fill="CCEEFF" w:val="cle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1149"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806</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28" w:type="dxa"/>
            <w:tcBorders/>
            <w:shd w:fill="CCEEFF" w:val="cle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1381"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806</w:t>
            </w:r>
          </w:p>
        </w:tc>
        <w:tc>
          <w:tcPr>
            <w:tcW w:w="80" w:type="dxa"/>
            <w:tcBorders/>
            <w:shd w:fill="CCEEFF" w:val="clear"/>
            <w:vAlign w:val="center"/>
          </w:tcPr>
          <w:p>
            <w:pPr>
              <w:pStyle w:val="TableContents"/>
              <w:spacing w:before="0" w:after="283"/>
              <w:rPr/>
            </w:pPr>
            <w:r>
              <w:rPr/>
              <w:t> </w:t>
            </w:r>
          </w:p>
        </w:tc>
      </w:tr>
      <w:tr>
        <w:trPr/>
        <w:tc>
          <w:tcPr>
            <w:tcW w:w="3950" w:type="dxa"/>
            <w:tcBorders/>
            <w:shd w:fill="FFFF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Buildings and improvements</w:t>
            </w:r>
          </w:p>
        </w:tc>
        <w:tc>
          <w:tcPr>
            <w:tcW w:w="60" w:type="dxa"/>
            <w:tcBorders/>
            <w:shd w:fill="FFFFFF" w:val="clear"/>
            <w:vAlign w:val="center"/>
          </w:tcPr>
          <w:p>
            <w:pPr>
              <w:pStyle w:val="TableContents"/>
              <w:spacing w:before="0" w:after="283"/>
              <w:rPr/>
            </w:pPr>
            <w:r>
              <w:rPr/>
              <w:t> </w:t>
            </w:r>
          </w:p>
        </w:tc>
        <w:tc>
          <w:tcPr>
            <w:tcW w:w="190" w:type="dxa"/>
            <w:tcBorders/>
            <w:shd w:fill="FFFFFF" w:val="clear"/>
            <w:vAlign w:val="center"/>
          </w:tcPr>
          <w:p>
            <w:pPr>
              <w:pStyle w:val="TableContents"/>
              <w:spacing w:before="0" w:after="283"/>
              <w:ind w:left="0" w:right="0" w:hanging="0"/>
              <w:rPr/>
            </w:pPr>
            <w:r>
              <w:rPr/>
              <w:t> </w:t>
            </w:r>
          </w:p>
        </w:tc>
        <w:tc>
          <w:tcPr>
            <w:tcW w:w="1149"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86,889</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28" w:type="dxa"/>
            <w:tcBorders/>
            <w:shd w:fill="FFFFFF" w:val="clear"/>
            <w:vAlign w:val="center"/>
          </w:tcPr>
          <w:p>
            <w:pPr>
              <w:pStyle w:val="TableContents"/>
              <w:spacing w:before="0" w:after="283"/>
              <w:ind w:left="0" w:right="0" w:hanging="0"/>
              <w:rPr/>
            </w:pPr>
            <w:r>
              <w:rPr/>
              <w:t> </w:t>
            </w:r>
          </w:p>
        </w:tc>
        <w:tc>
          <w:tcPr>
            <w:tcW w:w="1381"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86,372</w:t>
            </w:r>
          </w:p>
        </w:tc>
        <w:tc>
          <w:tcPr>
            <w:tcW w:w="80" w:type="dxa"/>
            <w:tcBorders/>
            <w:shd w:fill="FFFFFF" w:val="clear"/>
            <w:vAlign w:val="center"/>
          </w:tcPr>
          <w:p>
            <w:pPr>
              <w:pStyle w:val="TableContents"/>
              <w:spacing w:before="0" w:after="283"/>
              <w:rPr/>
            </w:pPr>
            <w:r>
              <w:rPr/>
              <w:t> </w:t>
            </w:r>
          </w:p>
        </w:tc>
      </w:tr>
      <w:tr>
        <w:trPr/>
        <w:tc>
          <w:tcPr>
            <w:tcW w:w="3950" w:type="dxa"/>
            <w:tcBorders/>
            <w:shd w:fill="CCEE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Machinery and equipment</w:t>
            </w:r>
          </w:p>
        </w:tc>
        <w:tc>
          <w:tcPr>
            <w:tcW w:w="60" w:type="dxa"/>
            <w:tcBorders/>
            <w:shd w:fill="CCEEFF" w:val="clear"/>
            <w:vAlign w:val="center"/>
          </w:tcPr>
          <w:p>
            <w:pPr>
              <w:pStyle w:val="TableContents"/>
              <w:spacing w:before="0" w:after="283"/>
              <w:rPr/>
            </w:pPr>
            <w:r>
              <w:rPr/>
              <w:t> </w:t>
            </w:r>
          </w:p>
        </w:tc>
        <w:tc>
          <w:tcPr>
            <w:tcW w:w="190" w:type="dxa"/>
            <w:tcBorders/>
            <w:shd w:fill="CCEEFF" w:val="clear"/>
            <w:vAlign w:val="center"/>
          </w:tcPr>
          <w:p>
            <w:pPr>
              <w:pStyle w:val="TableContents"/>
              <w:spacing w:before="0" w:after="283"/>
              <w:ind w:left="0" w:right="0" w:hanging="0"/>
              <w:rPr/>
            </w:pPr>
            <w:r>
              <w:rPr/>
              <w:t> </w:t>
            </w:r>
          </w:p>
        </w:tc>
        <w:tc>
          <w:tcPr>
            <w:tcW w:w="1149"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252,892</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28" w:type="dxa"/>
            <w:tcBorders/>
            <w:shd w:fill="CCEEFF" w:val="clear"/>
            <w:vAlign w:val="center"/>
          </w:tcPr>
          <w:p>
            <w:pPr>
              <w:pStyle w:val="TableContents"/>
              <w:spacing w:before="0" w:after="283"/>
              <w:ind w:left="0" w:right="0" w:hanging="0"/>
              <w:rPr/>
            </w:pPr>
            <w:r>
              <w:rPr/>
              <w:t> </w:t>
            </w:r>
          </w:p>
        </w:tc>
        <w:tc>
          <w:tcPr>
            <w:tcW w:w="1381"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251,216</w:t>
            </w:r>
          </w:p>
        </w:tc>
        <w:tc>
          <w:tcPr>
            <w:tcW w:w="80" w:type="dxa"/>
            <w:tcBorders/>
            <w:shd w:fill="CCEEFF" w:val="clear"/>
            <w:vAlign w:val="center"/>
          </w:tcPr>
          <w:p>
            <w:pPr>
              <w:pStyle w:val="TableContents"/>
              <w:spacing w:before="0" w:after="283"/>
              <w:rPr/>
            </w:pPr>
            <w:r>
              <w:rPr/>
              <w:t> </w:t>
            </w:r>
          </w:p>
        </w:tc>
      </w:tr>
      <w:tr>
        <w:trPr/>
        <w:tc>
          <w:tcPr>
            <w:tcW w:w="3950" w:type="dxa"/>
            <w:tcBorders/>
            <w:shd w:fill="FFFF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Furniture and fixtures</w:t>
            </w:r>
          </w:p>
        </w:tc>
        <w:tc>
          <w:tcPr>
            <w:tcW w:w="60" w:type="dxa"/>
            <w:tcBorders/>
            <w:shd w:fill="FFFFFF" w:val="clear"/>
            <w:vAlign w:val="center"/>
          </w:tcPr>
          <w:p>
            <w:pPr>
              <w:pStyle w:val="TableContents"/>
              <w:spacing w:before="0" w:after="283"/>
              <w:rPr/>
            </w:pPr>
            <w:r>
              <w:rPr/>
              <w:t> </w:t>
            </w:r>
          </w:p>
        </w:tc>
        <w:tc>
          <w:tcPr>
            <w:tcW w:w="190" w:type="dxa"/>
            <w:tcBorders/>
            <w:shd w:fill="FFFFFF" w:val="clear"/>
            <w:vAlign w:val="center"/>
          </w:tcPr>
          <w:p>
            <w:pPr>
              <w:pStyle w:val="TableContents"/>
              <w:spacing w:before="0" w:after="283"/>
              <w:ind w:left="0" w:right="0" w:hanging="0"/>
              <w:rPr/>
            </w:pPr>
            <w:r>
              <w:rPr/>
              <w:t> </w:t>
            </w:r>
          </w:p>
        </w:tc>
        <w:tc>
          <w:tcPr>
            <w:tcW w:w="1149"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5,434</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28" w:type="dxa"/>
            <w:tcBorders/>
            <w:shd w:fill="FFFFFF" w:val="clear"/>
            <w:vAlign w:val="center"/>
          </w:tcPr>
          <w:p>
            <w:pPr>
              <w:pStyle w:val="TableContents"/>
              <w:spacing w:before="0" w:after="283"/>
              <w:ind w:left="0" w:right="0" w:hanging="0"/>
              <w:rPr/>
            </w:pPr>
            <w:r>
              <w:rPr/>
              <w:t> </w:t>
            </w:r>
          </w:p>
        </w:tc>
        <w:tc>
          <w:tcPr>
            <w:tcW w:w="1381"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5,382</w:t>
            </w:r>
          </w:p>
        </w:tc>
        <w:tc>
          <w:tcPr>
            <w:tcW w:w="80" w:type="dxa"/>
            <w:tcBorders/>
            <w:shd w:fill="FFFFFF" w:val="clear"/>
            <w:vAlign w:val="center"/>
          </w:tcPr>
          <w:p>
            <w:pPr>
              <w:pStyle w:val="TableContents"/>
              <w:spacing w:before="0" w:after="283"/>
              <w:rPr/>
            </w:pPr>
            <w:r>
              <w:rPr/>
              <w:t> </w:t>
            </w:r>
          </w:p>
        </w:tc>
      </w:tr>
      <w:tr>
        <w:trPr/>
        <w:tc>
          <w:tcPr>
            <w:tcW w:w="3950" w:type="dxa"/>
            <w:tcBorders/>
            <w:shd w:fill="CCEE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Computer equipment and software</w:t>
            </w:r>
          </w:p>
        </w:tc>
        <w:tc>
          <w:tcPr>
            <w:tcW w:w="60" w:type="dxa"/>
            <w:tcBorders/>
            <w:shd w:fill="CCEEFF" w:val="clear"/>
            <w:vAlign w:val="center"/>
          </w:tcPr>
          <w:p>
            <w:pPr>
              <w:pStyle w:val="TableContents"/>
              <w:spacing w:before="0" w:after="283"/>
              <w:rPr/>
            </w:pPr>
            <w:r>
              <w:rPr/>
              <w:t> </w:t>
            </w:r>
          </w:p>
        </w:tc>
        <w:tc>
          <w:tcPr>
            <w:tcW w:w="190" w:type="dxa"/>
            <w:tcBorders/>
            <w:shd w:fill="CCEEFF" w:val="clear"/>
            <w:vAlign w:val="center"/>
          </w:tcPr>
          <w:p>
            <w:pPr>
              <w:pStyle w:val="TableContents"/>
              <w:spacing w:before="0" w:after="283"/>
              <w:ind w:left="0" w:right="0" w:hanging="0"/>
              <w:rPr/>
            </w:pPr>
            <w:r>
              <w:rPr/>
              <w:t> </w:t>
            </w:r>
          </w:p>
        </w:tc>
        <w:tc>
          <w:tcPr>
            <w:tcW w:w="1149"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11,815</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28" w:type="dxa"/>
            <w:tcBorders/>
            <w:shd w:fill="CCEEFF" w:val="clear"/>
            <w:vAlign w:val="center"/>
          </w:tcPr>
          <w:p>
            <w:pPr>
              <w:pStyle w:val="TableContents"/>
              <w:spacing w:before="0" w:after="283"/>
              <w:ind w:left="0" w:right="0" w:hanging="0"/>
              <w:rPr/>
            </w:pPr>
            <w:r>
              <w:rPr/>
              <w:t> </w:t>
            </w:r>
          </w:p>
        </w:tc>
        <w:tc>
          <w:tcPr>
            <w:tcW w:w="1381"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11,713</w:t>
            </w:r>
          </w:p>
        </w:tc>
        <w:tc>
          <w:tcPr>
            <w:tcW w:w="80" w:type="dxa"/>
            <w:tcBorders/>
            <w:shd w:fill="CCEEFF" w:val="clear"/>
            <w:vAlign w:val="center"/>
          </w:tcPr>
          <w:p>
            <w:pPr>
              <w:pStyle w:val="TableContents"/>
              <w:spacing w:before="0" w:after="283"/>
              <w:rPr/>
            </w:pPr>
            <w:r>
              <w:rPr/>
              <w:t> </w:t>
            </w:r>
          </w:p>
        </w:tc>
      </w:tr>
      <w:tr>
        <w:trPr/>
        <w:tc>
          <w:tcPr>
            <w:tcW w:w="3950" w:type="dxa"/>
            <w:tcBorders/>
            <w:shd w:fill="FFFF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Transportation equipment</w:t>
            </w:r>
          </w:p>
        </w:tc>
        <w:tc>
          <w:tcPr>
            <w:tcW w:w="60" w:type="dxa"/>
            <w:tcBorders/>
            <w:shd w:fill="FFFFFF" w:val="clear"/>
            <w:vAlign w:val="center"/>
          </w:tcPr>
          <w:p>
            <w:pPr>
              <w:pStyle w:val="TableContents"/>
              <w:spacing w:before="0" w:after="283"/>
              <w:rPr/>
            </w:pPr>
            <w:r>
              <w:rPr/>
              <w:t> </w:t>
            </w:r>
          </w:p>
        </w:tc>
        <w:tc>
          <w:tcPr>
            <w:tcW w:w="190" w:type="dxa"/>
            <w:tcBorders>
              <w:bottom w:val="single" w:sz="2" w:space="0" w:color="000000"/>
            </w:tcBorders>
            <w:shd w:fill="FFFFFF" w:val="clear"/>
            <w:tcMar>
              <w:bottom w:w="28" w:type="dxa"/>
            </w:tcMar>
            <w:vAlign w:val="center"/>
          </w:tcPr>
          <w:p>
            <w:pPr>
              <w:pStyle w:val="TableContents"/>
              <w:spacing w:before="0" w:after="283"/>
              <w:rPr/>
            </w:pPr>
            <w:r>
              <w:rPr/>
              <w:t> </w:t>
            </w:r>
          </w:p>
        </w:tc>
        <w:tc>
          <w:tcPr>
            <w:tcW w:w="1149" w:type="dxa"/>
            <w:tcBorders>
              <w:bottom w:val="single" w:sz="2" w:space="0" w:color="000000"/>
            </w:tcBorders>
            <w:shd w:fill="FFFFFF"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686</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28" w:type="dxa"/>
            <w:tcBorders>
              <w:bottom w:val="single" w:sz="2" w:space="0" w:color="000000"/>
            </w:tcBorders>
            <w:shd w:fill="FFFFFF" w:val="clear"/>
            <w:tcMar>
              <w:bottom w:w="28" w:type="dxa"/>
            </w:tcMar>
            <w:vAlign w:val="center"/>
          </w:tcPr>
          <w:p>
            <w:pPr>
              <w:pStyle w:val="TableContents"/>
              <w:spacing w:before="0" w:after="283"/>
              <w:rPr/>
            </w:pPr>
            <w:r>
              <w:rPr/>
              <w:t> </w:t>
            </w:r>
          </w:p>
        </w:tc>
        <w:tc>
          <w:tcPr>
            <w:tcW w:w="1381" w:type="dxa"/>
            <w:tcBorders>
              <w:bottom w:val="single" w:sz="2" w:space="0" w:color="000000"/>
            </w:tcBorders>
            <w:shd w:fill="FFFFFF"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679</w:t>
            </w:r>
          </w:p>
        </w:tc>
        <w:tc>
          <w:tcPr>
            <w:tcW w:w="80" w:type="dxa"/>
            <w:tcBorders/>
            <w:shd w:fill="FFFFFF" w:val="clear"/>
            <w:vAlign w:val="center"/>
          </w:tcPr>
          <w:p>
            <w:pPr>
              <w:pStyle w:val="TableContents"/>
              <w:spacing w:before="0" w:after="283"/>
              <w:rPr/>
            </w:pPr>
            <w:r>
              <w:rPr/>
              <w:t> </w:t>
            </w:r>
          </w:p>
        </w:tc>
      </w:tr>
      <w:tr>
        <w:trPr/>
        <w:tc>
          <w:tcPr>
            <w:tcW w:w="3950" w:type="dxa"/>
            <w:tcBorders/>
            <w:shd w:fill="CCEEFF" w:val="clear"/>
            <w:vAlign w:val="center"/>
          </w:tcPr>
          <w:p>
            <w:pPr>
              <w:pStyle w:val="TableContents"/>
              <w:spacing w:before="0" w:after="0"/>
              <w:rPr/>
            </w:pPr>
            <w:r>
              <w:rPr/>
              <w:t>​</w:t>
            </w:r>
          </w:p>
        </w:tc>
        <w:tc>
          <w:tcPr>
            <w:tcW w:w="60" w:type="dxa"/>
            <w:tcBorders/>
            <w:shd w:fill="CCEEFF" w:val="clear"/>
            <w:vAlign w:val="center"/>
          </w:tcPr>
          <w:p>
            <w:pPr>
              <w:pStyle w:val="TableContents"/>
              <w:spacing w:before="0" w:after="283"/>
              <w:rPr/>
            </w:pPr>
            <w:r>
              <w:rPr/>
              <w:t> </w:t>
            </w:r>
          </w:p>
        </w:tc>
        <w:tc>
          <w:tcPr>
            <w:tcW w:w="190" w:type="dxa"/>
            <w:tcBorders/>
            <w:shd w:fill="CCEEFF" w:val="clear"/>
            <w:vAlign w:val="center"/>
          </w:tcPr>
          <w:p>
            <w:pPr>
              <w:pStyle w:val="TableContents"/>
              <w:spacing w:before="0" w:after="283"/>
              <w:ind w:left="0" w:right="0" w:hanging="0"/>
              <w:rPr/>
            </w:pPr>
            <w:r>
              <w:rPr/>
              <w:t> </w:t>
            </w:r>
          </w:p>
        </w:tc>
        <w:tc>
          <w:tcPr>
            <w:tcW w:w="1149"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358,522</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28" w:type="dxa"/>
            <w:tcBorders/>
            <w:shd w:fill="CCEEFF" w:val="clear"/>
            <w:vAlign w:val="center"/>
          </w:tcPr>
          <w:p>
            <w:pPr>
              <w:pStyle w:val="TableContents"/>
              <w:spacing w:before="0" w:after="283"/>
              <w:ind w:left="0" w:right="0" w:hanging="0"/>
              <w:rPr/>
            </w:pPr>
            <w:r>
              <w:rPr/>
              <w:t> </w:t>
            </w:r>
          </w:p>
        </w:tc>
        <w:tc>
          <w:tcPr>
            <w:tcW w:w="1381"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356,168</w:t>
            </w:r>
          </w:p>
        </w:tc>
        <w:tc>
          <w:tcPr>
            <w:tcW w:w="80" w:type="dxa"/>
            <w:tcBorders/>
            <w:shd w:fill="CCEEFF" w:val="clear"/>
            <w:vAlign w:val="center"/>
          </w:tcPr>
          <w:p>
            <w:pPr>
              <w:pStyle w:val="TableContents"/>
              <w:spacing w:before="0" w:after="283"/>
              <w:rPr/>
            </w:pPr>
            <w:r>
              <w:rPr/>
              <w:t> </w:t>
            </w:r>
          </w:p>
        </w:tc>
      </w:tr>
      <w:tr>
        <w:trPr/>
        <w:tc>
          <w:tcPr>
            <w:tcW w:w="3950" w:type="dxa"/>
            <w:tcBorders/>
            <w:shd w:fill="FFFF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Less accumulated depreciation and amortization</w:t>
            </w:r>
          </w:p>
        </w:tc>
        <w:tc>
          <w:tcPr>
            <w:tcW w:w="60" w:type="dxa"/>
            <w:tcBorders/>
            <w:shd w:fill="FFFFFF" w:val="clear"/>
            <w:vAlign w:val="center"/>
          </w:tcPr>
          <w:p>
            <w:pPr>
              <w:pStyle w:val="TableContents"/>
              <w:spacing w:before="0" w:after="283"/>
              <w:rPr/>
            </w:pPr>
            <w:r>
              <w:rPr/>
              <w:t> </w:t>
            </w:r>
          </w:p>
        </w:tc>
        <w:tc>
          <w:tcPr>
            <w:tcW w:w="190"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1149"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(183,003</w:t>
            </w:r>
          </w:p>
        </w:tc>
        <w:tc>
          <w:tcPr>
            <w:tcW w:w="8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spacing w:before="0" w:after="283"/>
              <w:rPr/>
            </w:pPr>
            <w:r>
              <w:rPr/>
              <w:t> </w:t>
            </w:r>
          </w:p>
        </w:tc>
        <w:tc>
          <w:tcPr>
            <w:tcW w:w="228"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1381"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(177,519</w:t>
            </w:r>
          </w:p>
        </w:tc>
        <w:tc>
          <w:tcPr>
            <w:tcW w:w="8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r>
      <w:tr>
        <w:trPr/>
        <w:tc>
          <w:tcPr>
            <w:tcW w:w="3950" w:type="dxa"/>
            <w:tcBorders/>
            <w:shd w:fill="CCEEFF" w:val="clear"/>
            <w:vAlign w:val="center"/>
          </w:tcPr>
          <w:p>
            <w:pPr>
              <w:pStyle w:val="TableContents"/>
              <w:spacing w:before="0" w:after="0"/>
              <w:rPr/>
            </w:pPr>
            <w:r>
              <w:rPr/>
              <w:t>​</w:t>
            </w:r>
          </w:p>
        </w:tc>
        <w:tc>
          <w:tcPr>
            <w:tcW w:w="60" w:type="dxa"/>
            <w:tcBorders/>
            <w:shd w:fill="CCEEFF" w:val="clear"/>
            <w:vAlign w:val="center"/>
          </w:tcPr>
          <w:p>
            <w:pPr>
              <w:pStyle w:val="TableContents"/>
              <w:spacing w:before="0" w:after="283"/>
              <w:rPr/>
            </w:pPr>
            <w:r>
              <w:rPr/>
              <w:t> </w:t>
            </w:r>
          </w:p>
        </w:tc>
        <w:tc>
          <w:tcPr>
            <w:tcW w:w="190" w:type="dxa"/>
            <w:tcBorders/>
            <w:shd w:fill="CCEEFF" w:val="clear"/>
            <w:vAlign w:val="center"/>
          </w:tcPr>
          <w:p>
            <w:pPr>
              <w:pStyle w:val="TableContents"/>
              <w:spacing w:before="0" w:after="283"/>
              <w:ind w:left="0" w:right="0" w:hanging="0"/>
              <w:rPr/>
            </w:pPr>
            <w:r>
              <w:rPr/>
              <w:t> </w:t>
            </w:r>
          </w:p>
        </w:tc>
        <w:tc>
          <w:tcPr>
            <w:tcW w:w="1149"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175,519</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28" w:type="dxa"/>
            <w:tcBorders/>
            <w:shd w:fill="CCEEFF" w:val="clear"/>
            <w:vAlign w:val="center"/>
          </w:tcPr>
          <w:p>
            <w:pPr>
              <w:pStyle w:val="TableContents"/>
              <w:spacing w:before="0" w:after="283"/>
              <w:ind w:left="0" w:right="0" w:hanging="0"/>
              <w:rPr/>
            </w:pPr>
            <w:r>
              <w:rPr/>
              <w:t> </w:t>
            </w:r>
          </w:p>
        </w:tc>
        <w:tc>
          <w:tcPr>
            <w:tcW w:w="1381"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178,649</w:t>
            </w:r>
          </w:p>
        </w:tc>
        <w:tc>
          <w:tcPr>
            <w:tcW w:w="80" w:type="dxa"/>
            <w:tcBorders/>
            <w:shd w:fill="CCEEFF" w:val="clear"/>
            <w:vAlign w:val="center"/>
          </w:tcPr>
          <w:p>
            <w:pPr>
              <w:pStyle w:val="TableContents"/>
              <w:spacing w:before="0" w:after="283"/>
              <w:rPr/>
            </w:pPr>
            <w:r>
              <w:rPr/>
              <w:t> </w:t>
            </w:r>
          </w:p>
        </w:tc>
      </w:tr>
      <w:tr>
        <w:trPr/>
        <w:tc>
          <w:tcPr>
            <w:tcW w:w="3950" w:type="dxa"/>
            <w:tcBorders/>
            <w:shd w:fill="FFFF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Construction in progress</w:t>
            </w:r>
          </w:p>
        </w:tc>
        <w:tc>
          <w:tcPr>
            <w:tcW w:w="60" w:type="dxa"/>
            <w:tcBorders/>
            <w:shd w:fill="FFFFFF" w:val="clear"/>
            <w:vAlign w:val="center"/>
          </w:tcPr>
          <w:p>
            <w:pPr>
              <w:pStyle w:val="TableContents"/>
              <w:spacing w:before="0" w:after="283"/>
              <w:rPr/>
            </w:pPr>
            <w:r>
              <w:rPr/>
              <w:t> </w:t>
            </w:r>
          </w:p>
        </w:tc>
        <w:tc>
          <w:tcPr>
            <w:tcW w:w="190" w:type="dxa"/>
            <w:tcBorders/>
            <w:shd w:fill="FFFFFF" w:val="clear"/>
            <w:vAlign w:val="center"/>
          </w:tcPr>
          <w:p>
            <w:pPr>
              <w:pStyle w:val="TableContents"/>
              <w:spacing w:before="0" w:after="283"/>
              <w:ind w:left="0" w:right="0" w:hanging="0"/>
              <w:rPr/>
            </w:pPr>
            <w:r>
              <w:rPr/>
              <w:t> </w:t>
            </w:r>
          </w:p>
        </w:tc>
        <w:tc>
          <w:tcPr>
            <w:tcW w:w="1149"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30,551</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28" w:type="dxa"/>
            <w:tcBorders/>
            <w:shd w:fill="FFFFFF" w:val="clear"/>
            <w:vAlign w:val="center"/>
          </w:tcPr>
          <w:p>
            <w:pPr>
              <w:pStyle w:val="TableContents"/>
              <w:spacing w:before="0" w:after="283"/>
              <w:ind w:left="0" w:right="0" w:hanging="0"/>
              <w:rPr/>
            </w:pPr>
            <w:r>
              <w:rPr/>
              <w:t> </w:t>
            </w:r>
          </w:p>
        </w:tc>
        <w:tc>
          <w:tcPr>
            <w:tcW w:w="1381"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30,434</w:t>
            </w:r>
          </w:p>
        </w:tc>
        <w:tc>
          <w:tcPr>
            <w:tcW w:w="80" w:type="dxa"/>
            <w:tcBorders/>
            <w:shd w:fill="FFFFFF" w:val="clear"/>
            <w:vAlign w:val="center"/>
          </w:tcPr>
          <w:p>
            <w:pPr>
              <w:pStyle w:val="TableContents"/>
              <w:spacing w:before="0" w:after="283"/>
              <w:rPr/>
            </w:pPr>
            <w:r>
              <w:rPr/>
              <w:t> </w:t>
            </w:r>
          </w:p>
        </w:tc>
      </w:tr>
      <w:tr>
        <w:trPr/>
        <w:tc>
          <w:tcPr>
            <w:tcW w:w="3950" w:type="dxa"/>
            <w:tcBorders/>
            <w:shd w:fill="CCEE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Land</w:t>
            </w:r>
          </w:p>
        </w:tc>
        <w:tc>
          <w:tcPr>
            <w:tcW w:w="60" w:type="dxa"/>
            <w:tcBorders/>
            <w:shd w:fill="CCEEFF" w:val="clear"/>
            <w:vAlign w:val="center"/>
          </w:tcPr>
          <w:p>
            <w:pPr>
              <w:pStyle w:val="TableContents"/>
              <w:spacing w:before="0" w:after="283"/>
              <w:rPr/>
            </w:pPr>
            <w:r>
              <w:rPr/>
              <w:t> </w:t>
            </w:r>
          </w:p>
        </w:tc>
        <w:tc>
          <w:tcPr>
            <w:tcW w:w="190"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1149"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1,101</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28"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1381"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1,101</w:t>
            </w:r>
          </w:p>
        </w:tc>
        <w:tc>
          <w:tcPr>
            <w:tcW w:w="80" w:type="dxa"/>
            <w:tcBorders/>
            <w:shd w:fill="CCEEFF" w:val="clear"/>
            <w:vAlign w:val="center"/>
          </w:tcPr>
          <w:p>
            <w:pPr>
              <w:pStyle w:val="TableContents"/>
              <w:spacing w:before="0" w:after="283"/>
              <w:rPr/>
            </w:pPr>
            <w:r>
              <w:rPr/>
              <w:t> </w:t>
            </w:r>
          </w:p>
        </w:tc>
      </w:tr>
      <w:tr>
        <w:trPr/>
        <w:tc>
          <w:tcPr>
            <w:tcW w:w="3950" w:type="dxa"/>
            <w:tcBorders/>
            <w:shd w:fill="FFFF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Total property, plant and equipment, net</w:t>
            </w:r>
          </w:p>
        </w:tc>
        <w:tc>
          <w:tcPr>
            <w:tcW w:w="60" w:type="dxa"/>
            <w:tcBorders/>
            <w:shd w:fill="FFFFFF" w:val="clear"/>
            <w:vAlign w:val="center"/>
          </w:tcPr>
          <w:p>
            <w:pPr>
              <w:pStyle w:val="TableContents"/>
              <w:spacing w:before="0" w:after="283"/>
              <w:ind w:left="0" w:right="0" w:hanging="0"/>
              <w:rPr/>
            </w:pPr>
            <w:r>
              <w:rPr/>
              <w:t> </w:t>
            </w:r>
          </w:p>
        </w:tc>
        <w:tc>
          <w:tcPr>
            <w:tcW w:w="190"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1149"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207,171</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28"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1381"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210,184</w:t>
            </w:r>
          </w:p>
        </w:tc>
        <w:tc>
          <w:tcPr>
            <w:tcW w:w="80" w:type="dxa"/>
            <w:tcBorders/>
            <w:shd w:fill="FFFFFF" w:val="clear"/>
            <w:vAlign w:val="center"/>
          </w:tcPr>
          <w:p>
            <w:pPr>
              <w:pStyle w:val="TableContents"/>
              <w:spacing w:before="0" w:after="283"/>
              <w:rPr/>
            </w:pPr>
            <w:r>
              <w:rPr/>
              <w:t> </w:t>
            </w:r>
          </w:p>
        </w:tc>
      </w:tr>
    </w:tbl>
    <w:p>
      <w:pPr>
        <w:pStyle w:val="TextBody"/>
        <w:spacing w:before="0" w:after="0"/>
        <w:ind w:left="0" w:right="0" w:firstLine="720"/>
        <w:jc w:val="left"/>
        <w:rPr/>
      </w:pPr>
      <w:r>
        <w:rPr/>
        <w:t>​</w:t>
      </w:r>
    </w:p>
    <w:p>
      <w:pPr>
        <w:pStyle w:val="TextBody"/>
        <w:spacing w:before="0" w:after="0"/>
        <w:ind w:left="0" w:right="0" w:firstLine="720"/>
        <w:jc w:val="left"/>
        <w:rPr/>
      </w:pPr>
      <w:r>
        <w:rPr>
          <w:rFonts w:ascii="Times New Roman;Times;serif" w:hAnsi="Times New Roman;Times;serif"/>
          <w:sz w:val="20"/>
        </w:rPr>
        <w:t xml:space="preserve">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 xml:space="preserve">March 31, 2023 </w:t>
      </w:r>
      <w:r>
        <w:rPr>
          <w:rFonts w:ascii="Times New Roman;Times;serif" w:hAnsi="Times New Roman;Times;serif"/>
          <w:sz w:val="20"/>
        </w:rPr>
        <w:t xml:space="preserve">and </w:t>
      </w:r>
      <w:r>
        <w:rPr>
          <w:rStyle w:val="Emphasis"/>
          <w:rFonts w:ascii="Times New Roman;Times;serif" w:hAnsi="Times New Roman;Times;serif"/>
          <w:sz w:val="20"/>
        </w:rPr>
        <w:t>2022</w:t>
      </w:r>
      <w:r>
        <w:rPr>
          <w:rFonts w:ascii="Times New Roman;Times;serif" w:hAnsi="Times New Roman;Times;serif"/>
          <w:sz w:val="20"/>
        </w:rPr>
        <w:t>, the depreciation expense of property, plant and equipment wa</w:t>
      </w:r>
      <w:r>
        <w:rPr>
          <w:rFonts w:ascii="Times New Roman;Times;serif" w:hAnsi="Times New Roman;Times;serif"/>
          <w:sz w:val="20"/>
          <w:highlight w:val="white"/>
        </w:rPr>
        <w:t xml:space="preserve">s $5.2 million </w:t>
      </w:r>
      <w:r>
        <w:rPr>
          <w:rFonts w:ascii="Times New Roman;Times;serif" w:hAnsi="Times New Roman;Times;serif"/>
          <w:sz w:val="20"/>
        </w:rPr>
        <w:t xml:space="preserve">and $6.0 million, respectively. 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 xml:space="preserve">March 31, 2023 </w:t>
      </w:r>
      <w:r>
        <w:rPr>
          <w:rFonts w:ascii="Times New Roman;Times;serif" w:hAnsi="Times New Roman;Times;serif"/>
          <w:sz w:val="20"/>
        </w:rPr>
        <w:t xml:space="preserve">and </w:t>
      </w:r>
      <w:r>
        <w:rPr>
          <w:rStyle w:val="Emphasis"/>
          <w:rFonts w:ascii="Times New Roman;Times;serif" w:hAnsi="Times New Roman;Times;serif"/>
          <w:sz w:val="20"/>
        </w:rPr>
        <w:t>2022</w:t>
      </w:r>
      <w:r>
        <w:rPr>
          <w:rFonts w:ascii="Times New Roman;Times;serif" w:hAnsi="Times New Roman;Times;serif"/>
          <w:sz w:val="20"/>
        </w:rPr>
        <w:t>, the capitalized interest was $0 million and $0.1 million, respectively. </w:t>
      </w:r>
    </w:p>
    <w:p>
      <w:pPr>
        <w:pStyle w:val="TextBody"/>
        <w:spacing w:before="0" w:after="0"/>
        <w:ind w:left="0" w:right="0" w:firstLine="720"/>
        <w:jc w:val="left"/>
        <w:rPr/>
      </w:pPr>
      <w:r>
        <w:rPr/>
        <w:t> </w:t>
      </w:r>
    </w:p>
    <w:p>
      <w:pPr>
        <w:pStyle w:val="TextBody"/>
        <w:spacing w:before="0" w:after="0"/>
        <w:ind w:left="0" w:right="0" w:firstLine="720"/>
        <w:jc w:val="left"/>
        <w:rPr/>
      </w:pPr>
      <w:r>
        <w:rPr>
          <w:rFonts w:ascii="Times New Roman;Times;serif" w:hAnsi="Times New Roman;Times;serif"/>
          <w:sz w:val="20"/>
        </w:rPr>
        <w:t xml:space="preserve">As of </w:t>
      </w:r>
      <w:r>
        <w:rPr>
          <w:rStyle w:val="Emphasis"/>
          <w:rFonts w:ascii="Times New Roman;Times;serif" w:hAnsi="Times New Roman;Times;serif"/>
          <w:sz w:val="20"/>
        </w:rPr>
        <w:t>March 31, 2023</w:t>
      </w:r>
      <w:r>
        <w:rPr>
          <w:rFonts w:ascii="Times New Roman;Times;serif" w:hAnsi="Times New Roman;Times;serif"/>
          <w:i/>
          <w:sz w:val="20"/>
        </w:rPr>
        <w:t xml:space="preserve">, </w:t>
      </w:r>
      <w:r>
        <w:rPr>
          <w:rFonts w:ascii="Times New Roman;Times;serif" w:hAnsi="Times New Roman;Times;serif"/>
          <w:sz w:val="20"/>
        </w:rPr>
        <w:t xml:space="preserve">the Company concluded that its continued loss history constitutes a triggering event as described in ASC </w:t>
      </w:r>
      <w:r>
        <w:rPr>
          <w:rStyle w:val="Emphasis"/>
          <w:rFonts w:ascii="Times New Roman;Times;serif" w:hAnsi="Times New Roman;Times;serif"/>
          <w:i/>
          <w:sz w:val="20"/>
        </w:rPr>
        <w:t>360</w:t>
      </w:r>
      <w:r>
        <w:rPr>
          <w:rFonts w:ascii="Times New Roman;Times;serif" w:hAnsi="Times New Roman;Times;serif"/>
          <w:sz w:val="20"/>
        </w:rPr>
        <w:t>-</w:t>
      </w:r>
      <w:r>
        <w:rPr>
          <w:rStyle w:val="Emphasis"/>
          <w:rFonts w:ascii="Times New Roman;Times;serif" w:hAnsi="Times New Roman;Times;serif"/>
          <w:i/>
          <w:sz w:val="20"/>
        </w:rPr>
        <w:t>10</w:t>
      </w:r>
      <w:r>
        <w:rPr>
          <w:rFonts w:ascii="Times New Roman;Times;serif" w:hAnsi="Times New Roman;Times;serif"/>
          <w:sz w:val="20"/>
        </w:rPr>
        <w:t>-</w:t>
      </w:r>
      <w:r>
        <w:rPr>
          <w:rStyle w:val="Emphasis"/>
          <w:rFonts w:ascii="Times New Roman;Times;serif" w:hAnsi="Times New Roman;Times;serif"/>
          <w:i/>
          <w:sz w:val="20"/>
        </w:rPr>
        <w:t>35</w:t>
      </w:r>
      <w:r>
        <w:rPr>
          <w:rFonts w:ascii="Times New Roman;Times;serif" w:hAnsi="Times New Roman;Times;serif"/>
          <w:sz w:val="20"/>
        </w:rPr>
        <w:t>-</w:t>
      </w:r>
      <w:r>
        <w:rPr>
          <w:rStyle w:val="Emphasis"/>
          <w:rFonts w:ascii="Times New Roman;Times;serif" w:hAnsi="Times New Roman;Times;serif"/>
          <w:i/>
          <w:sz w:val="20"/>
        </w:rPr>
        <w:t>21,</w:t>
      </w:r>
      <w:r>
        <w:rPr>
          <w:rFonts w:ascii="Times New Roman;Times;serif" w:hAnsi="Times New Roman;Times;serif"/>
          <w:i/>
          <w:sz w:val="20"/>
        </w:rPr>
        <w:t>Property, Plant, and Equipment</w:t>
      </w:r>
      <w:r>
        <w:rPr>
          <w:rFonts w:ascii="Times New Roman;Times;serif" w:hAnsi="Times New Roman;Times;serif"/>
          <w:sz w:val="20"/>
        </w:rPr>
        <w:t xml:space="preserve">.  The Company performed a recoverability test and concluded that future undiscounted cash flows exceed the carrying amount of the Company’s long-lived assets and therefore </w:t>
      </w:r>
      <w:r>
        <w:rPr>
          <w:rStyle w:val="Emphasis"/>
          <w:rFonts w:ascii="Times New Roman;Times;serif" w:hAnsi="Times New Roman;Times;serif"/>
          <w:sz w:val="20"/>
        </w:rPr>
        <w:t>no</w:t>
      </w:r>
      <w:r>
        <w:rPr>
          <w:rFonts w:ascii="Times New Roman;Times;serif" w:hAnsi="Times New Roman;Times;serif"/>
          <w:sz w:val="20"/>
        </w:rPr>
        <w:t xml:space="preserve"> impairment charge was recorded.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jc w:val="center"/>
        <w:rPr/>
      </w:pPr>
      <w:r>
        <w:rPr>
          <w:rStyle w:val="Emphasis"/>
          <w:rFonts w:ascii="Times New Roman" w:hAnsi="Times New Roman"/>
          <w:sz w:val="20"/>
        </w:rPr>
        <w:t>13</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rPr/>
      </w:pPr>
      <w:r>
        <w:rPr/>
        <w:t xml:space="preserve">  </w:t>
      </w:r>
    </w:p>
    <w:p>
      <w:pPr>
        <w:pStyle w:val="TextBody"/>
        <w:rPr/>
      </w:pPr>
      <w:r>
        <w:rPr/>
        <w:t xml:space="preserve">  </w:t>
      </w:r>
    </w:p>
    <w:p>
      <w:pPr>
        <w:pStyle w:val="TextBody"/>
        <w:spacing w:before="0" w:after="0"/>
        <w:ind w:left="0" w:right="0" w:hanging="0"/>
        <w:jc w:val="left"/>
        <w:rPr/>
      </w:pPr>
      <w:r>
        <w:rPr>
          <w:rFonts w:ascii="Times New Roman;Times;serif" w:hAnsi="Times New Roman;Times;serif"/>
          <w:b/>
          <w:sz w:val="20"/>
        </w:rPr>
        <w:t xml:space="preserve">Note </w:t>
      </w:r>
      <w:r>
        <w:rPr>
          <w:rStyle w:val="Emphasis"/>
          <w:rFonts w:ascii="Times New Roman;Times;serif" w:hAnsi="Times New Roman;Times;serif"/>
          <w:b/>
          <w:sz w:val="20"/>
        </w:rPr>
        <w:t>9.</w:t>
      </w:r>
      <w:r>
        <w:rPr>
          <w:rFonts w:ascii="Times New Roman;Times;serif" w:hAnsi="Times New Roman;Times;serif"/>
          <w:b/>
          <w:sz w:val="20"/>
        </w:rPr>
        <w:t>  Intangible Assets, net</w:t>
      </w:r>
    </w:p>
    <w:p>
      <w:pPr>
        <w:pStyle w:val="TextBody"/>
        <w:spacing w:before="0" w:after="0"/>
        <w:ind w:left="0" w:right="0" w:hanging="0"/>
        <w:jc w:val="left"/>
        <w:rPr/>
      </w:pPr>
      <w:r>
        <w:rPr/>
        <w:t>​</w:t>
      </w:r>
    </w:p>
    <w:p>
      <w:pPr>
        <w:pStyle w:val="TextBody"/>
        <w:spacing w:before="0" w:after="0"/>
        <w:ind w:left="0" w:right="0" w:firstLine="720"/>
        <w:jc w:val="left"/>
        <w:rPr>
          <w:rFonts w:ascii="Times New Roman;Times;serif" w:hAnsi="Times New Roman;Times;serif"/>
          <w:sz w:val="20"/>
        </w:rPr>
      </w:pPr>
      <w:r>
        <w:rPr>
          <w:rFonts w:ascii="Times New Roman;Times;serif" w:hAnsi="Times New Roman;Times;serif"/>
          <w:sz w:val="20"/>
        </w:rPr>
        <w:t>Intangible assets consisted of the following for the periods indicated (in thousands):</w:t>
      </w:r>
    </w:p>
    <w:p>
      <w:pPr>
        <w:pStyle w:val="TextBody"/>
        <w:spacing w:before="0" w:after="0"/>
        <w:ind w:left="0" w:right="0" w:firstLine="720"/>
        <w:jc w:val="left"/>
        <w:rPr/>
      </w:pPr>
      <w:r>
        <w:rPr/>
        <w:t>​</w:t>
      </w:r>
    </w:p>
    <w:tbl>
      <w:tblPr>
        <w:tblW w:w="4945" w:type="dxa"/>
        <w:jc w:val="left"/>
        <w:tblInd w:w="0" w:type="dxa"/>
        <w:tblCellMar>
          <w:top w:w="0" w:type="dxa"/>
          <w:left w:w="0" w:type="dxa"/>
          <w:bottom w:w="0" w:type="dxa"/>
          <w:right w:w="0" w:type="dxa"/>
        </w:tblCellMar>
      </w:tblPr>
      <w:tblGrid>
        <w:gridCol w:w="1865"/>
        <w:gridCol w:w="60"/>
        <w:gridCol w:w="139"/>
        <w:gridCol w:w="541"/>
        <w:gridCol w:w="60"/>
        <w:gridCol w:w="60"/>
        <w:gridCol w:w="208"/>
        <w:gridCol w:w="907"/>
        <w:gridCol w:w="80"/>
        <w:gridCol w:w="60"/>
        <w:gridCol w:w="182"/>
        <w:gridCol w:w="708"/>
        <w:gridCol w:w="75"/>
      </w:tblGrid>
      <w:tr>
        <w:trPr/>
        <w:tc>
          <w:tcPr>
            <w:tcW w:w="186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945" w:type="dxa"/>
            <w:gridSpan w:val="10"/>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caps w:val="false"/>
                <w:smallCaps w:val="false"/>
                <w:sz w:val="20"/>
              </w:rPr>
              <w:t>March 31, 2023</w:t>
            </w:r>
          </w:p>
        </w:tc>
        <w:tc>
          <w:tcPr>
            <w:tcW w:w="75" w:type="dxa"/>
            <w:tcBorders/>
            <w:shd w:fill="FFFFFF" w:val="clear"/>
            <w:vAlign w:val="center"/>
          </w:tcPr>
          <w:p>
            <w:pPr>
              <w:pStyle w:val="TableContents"/>
              <w:spacing w:before="0" w:after="283"/>
              <w:rPr/>
            </w:pPr>
            <w:r>
              <w:rPr/>
              <w:t> </w:t>
            </w:r>
          </w:p>
        </w:tc>
      </w:tr>
      <w:tr>
        <w:trPr/>
        <w:tc>
          <w:tcPr>
            <w:tcW w:w="1865" w:type="dxa"/>
            <w:tcBorders/>
            <w:shd w:fill="FFFFFF" w:val="clear"/>
            <w:vAlign w:val="center"/>
          </w:tcPr>
          <w:p>
            <w:pPr>
              <w:pStyle w:val="TableContents"/>
              <w:spacing w:before="0" w:after="0"/>
              <w:rPr>
                <w:caps w:val="false"/>
                <w:smallCaps w:val="false"/>
              </w:rPr>
            </w:pPr>
            <w:r>
              <w:rPr>
                <w:caps w:val="false"/>
                <w:smallCaps w:val="false"/>
              </w:rPr>
              <w:t>​</w:t>
            </w:r>
          </w:p>
        </w:tc>
        <w:tc>
          <w:tcPr>
            <w:tcW w:w="60" w:type="dxa"/>
            <w:tcBorders/>
            <w:shd w:fill="FFFFFF" w:val="clear"/>
            <w:vAlign w:val="center"/>
          </w:tcPr>
          <w:p>
            <w:pPr>
              <w:pStyle w:val="TableContents"/>
              <w:spacing w:before="0" w:after="283"/>
              <w:ind w:left="0" w:right="0" w:hanging="0"/>
              <w:rPr/>
            </w:pPr>
            <w:r>
              <w:rPr/>
              <w:t> </w:t>
            </w:r>
          </w:p>
        </w:tc>
        <w:tc>
          <w:tcPr>
            <w:tcW w:w="680"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caps w:val="false"/>
                <w:smallCaps w:val="false"/>
                <w:sz w:val="20"/>
              </w:rPr>
              <w:t>Gross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15"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caps w:val="false"/>
                <w:smallCaps w:val="false"/>
                <w:sz w:val="20"/>
              </w:rPr>
              <w:t>Accumulated</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90"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caps w:val="false"/>
                <w:smallCaps w:val="false"/>
                <w:sz w:val="20"/>
              </w:rPr>
              <w:t>Intangible</w:t>
            </w:r>
          </w:p>
        </w:tc>
        <w:tc>
          <w:tcPr>
            <w:tcW w:w="75" w:type="dxa"/>
            <w:tcBorders/>
            <w:shd w:fill="FFFFFF" w:val="clear"/>
            <w:vAlign w:val="center"/>
          </w:tcPr>
          <w:p>
            <w:pPr>
              <w:pStyle w:val="TableContents"/>
              <w:spacing w:before="0" w:after="283"/>
              <w:rPr/>
            </w:pPr>
            <w:r>
              <w:rPr/>
              <w:t> </w:t>
            </w:r>
          </w:p>
        </w:tc>
      </w:tr>
      <w:tr>
        <w:trPr/>
        <w:tc>
          <w:tcPr>
            <w:tcW w:w="1865" w:type="dxa"/>
            <w:tcBorders/>
            <w:shd w:fill="FFFFFF" w:val="clear"/>
            <w:vAlign w:val="center"/>
          </w:tcPr>
          <w:p>
            <w:pPr>
              <w:pStyle w:val="TableContents"/>
              <w:spacing w:before="0" w:after="0"/>
              <w:rPr>
                <w:caps w:val="false"/>
                <w:smallCaps w:val="false"/>
              </w:rPr>
            </w:pPr>
            <w:r>
              <w:rPr>
                <w:caps w:val="false"/>
                <w:smallCaps w:val="false"/>
              </w:rPr>
              <w:t>​</w:t>
            </w:r>
          </w:p>
        </w:tc>
        <w:tc>
          <w:tcPr>
            <w:tcW w:w="60" w:type="dxa"/>
            <w:tcBorders/>
            <w:shd w:fill="FFFFFF" w:val="clear"/>
            <w:vAlign w:val="center"/>
          </w:tcPr>
          <w:p>
            <w:pPr>
              <w:pStyle w:val="TableContents"/>
              <w:spacing w:before="0" w:after="283"/>
              <w:ind w:left="0" w:right="0" w:hanging="0"/>
              <w:rPr/>
            </w:pPr>
            <w:r>
              <w:rPr/>
              <w:t> </w:t>
            </w:r>
          </w:p>
        </w:tc>
        <w:tc>
          <w:tcPr>
            <w:tcW w:w="68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caps w:val="false"/>
                <w:smallCaps w:val="false"/>
                <w:sz w:val="20"/>
              </w:rPr>
              <w:t>Amount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1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caps w:val="false"/>
                <w:smallCaps w:val="false"/>
                <w:sz w:val="20"/>
              </w:rPr>
              <w:t>amortization</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9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caps w:val="false"/>
                <w:smallCaps w:val="false"/>
                <w:sz w:val="20"/>
              </w:rPr>
              <w:t>assets, net</w:t>
            </w:r>
          </w:p>
        </w:tc>
        <w:tc>
          <w:tcPr>
            <w:tcW w:w="75" w:type="dxa"/>
            <w:tcBorders/>
            <w:shd w:fill="FFFFFF" w:val="clear"/>
            <w:vAlign w:val="center"/>
          </w:tcPr>
          <w:p>
            <w:pPr>
              <w:pStyle w:val="TableContents"/>
              <w:spacing w:before="0" w:after="283"/>
              <w:rPr/>
            </w:pPr>
            <w:r>
              <w:rPr/>
              <w:t> </w:t>
            </w:r>
          </w:p>
        </w:tc>
      </w:tr>
      <w:tr>
        <w:trPr/>
        <w:tc>
          <w:tcPr>
            <w:tcW w:w="1865" w:type="dxa"/>
            <w:tcBorders/>
            <w:shd w:fill="CCEEFF" w:val="clear"/>
            <w:vAlign w:val="center"/>
          </w:tcPr>
          <w:p>
            <w:pPr>
              <w:pStyle w:val="TableContents"/>
              <w:spacing w:before="0" w:after="0"/>
              <w:rPr>
                <w:rFonts w:ascii="Times New Roman;Times;serif" w:hAnsi="Times New Roman;Times;serif"/>
                <w:caps w:val="false"/>
                <w:smallCaps w:val="false"/>
                <w:sz w:val="20"/>
              </w:rPr>
            </w:pPr>
            <w:r>
              <w:rPr>
                <w:rFonts w:ascii="Times New Roman;Times;serif" w:hAnsi="Times New Roman;Times;serif"/>
                <w:caps w:val="false"/>
                <w:smallCaps w:val="false"/>
                <w:sz w:val="20"/>
              </w:rPr>
              <w:t>Patents</w:t>
            </w:r>
          </w:p>
        </w:tc>
        <w:tc>
          <w:tcPr>
            <w:tcW w:w="60" w:type="dxa"/>
            <w:tcBorders/>
            <w:shd w:fill="CCEEFF" w:val="clear"/>
            <w:vAlign w:val="center"/>
          </w:tcPr>
          <w:p>
            <w:pPr>
              <w:pStyle w:val="TableContents"/>
              <w:spacing w:before="0" w:after="283"/>
              <w:ind w:left="0" w:right="0" w:hanging="0"/>
              <w:rPr/>
            </w:pPr>
            <w:r>
              <w:rPr/>
              <w:t> </w:t>
            </w:r>
          </w:p>
        </w:tc>
        <w:tc>
          <w:tcPr>
            <w:tcW w:w="139" w:type="dxa"/>
            <w:tcBorders/>
            <w:shd w:fill="CCEEFF" w:val="cle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9,111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08" w:type="dxa"/>
            <w:tcBorders/>
            <w:shd w:fill="CCEEFF" w:val="cle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907"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(5,493</w:t>
            </w:r>
          </w:p>
        </w:tc>
        <w:tc>
          <w:tcPr>
            <w:tcW w:w="80"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spacing w:before="0" w:after="283"/>
              <w:ind w:left="0" w:right="0" w:hanging="0"/>
              <w:rPr/>
            </w:pPr>
            <w:r>
              <w:rPr/>
              <w:t> </w:t>
            </w:r>
          </w:p>
        </w:tc>
        <w:tc>
          <w:tcPr>
            <w:tcW w:w="182" w:type="dxa"/>
            <w:tcBorders/>
            <w:shd w:fill="CCEEFF" w:val="cle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708"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3,618</w:t>
            </w:r>
          </w:p>
        </w:tc>
        <w:tc>
          <w:tcPr>
            <w:tcW w:w="75" w:type="dxa"/>
            <w:tcBorders/>
            <w:shd w:fill="CCEEFF" w:val="clear"/>
            <w:vAlign w:val="center"/>
          </w:tcPr>
          <w:p>
            <w:pPr>
              <w:pStyle w:val="TableContents"/>
              <w:spacing w:before="0" w:after="283"/>
              <w:rPr/>
            </w:pPr>
            <w:r>
              <w:rPr/>
              <w:t> </w:t>
            </w:r>
          </w:p>
        </w:tc>
      </w:tr>
      <w:tr>
        <w:trPr/>
        <w:tc>
          <w:tcPr>
            <w:tcW w:w="1865" w:type="dxa"/>
            <w:tcBorders/>
            <w:shd w:fill="FFFFFF" w:val="clear"/>
            <w:vAlign w:val="center"/>
          </w:tcPr>
          <w:p>
            <w:pPr>
              <w:pStyle w:val="TableContents"/>
              <w:spacing w:before="0" w:after="0"/>
              <w:rPr>
                <w:rFonts w:ascii="Times New Roman;Times;serif" w:hAnsi="Times New Roman;Times;serif"/>
                <w:caps w:val="false"/>
                <w:smallCaps w:val="false"/>
                <w:sz w:val="20"/>
              </w:rPr>
            </w:pPr>
            <w:r>
              <w:rPr>
                <w:rFonts w:ascii="Times New Roman;Times;serif" w:hAnsi="Times New Roman;Times;serif"/>
                <w:caps w:val="false"/>
                <w:smallCaps w:val="false"/>
                <w:sz w:val="20"/>
              </w:rPr>
              <w:t>Trademarks</w:t>
            </w:r>
          </w:p>
        </w:tc>
        <w:tc>
          <w:tcPr>
            <w:tcW w:w="60" w:type="dxa"/>
            <w:tcBorders/>
            <w:shd w:fill="FFFFFF" w:val="clear"/>
            <w:vAlign w:val="center"/>
          </w:tcPr>
          <w:p>
            <w:pPr>
              <w:pStyle w:val="TableContents"/>
              <w:spacing w:before="0" w:after="283"/>
              <w:rPr/>
            </w:pPr>
            <w:r>
              <w:rPr/>
              <w:t> </w:t>
            </w:r>
          </w:p>
        </w:tc>
        <w:tc>
          <w:tcPr>
            <w:tcW w:w="139"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41"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08"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907"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(23</w:t>
            </w:r>
          </w:p>
        </w:tc>
        <w:tc>
          <w:tcPr>
            <w:tcW w:w="8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spacing w:before="0" w:after="283"/>
              <w:rPr/>
            </w:pPr>
            <w:r>
              <w:rPr/>
              <w:t> </w:t>
            </w:r>
          </w:p>
        </w:tc>
        <w:tc>
          <w:tcPr>
            <w:tcW w:w="182"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708"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37</w:t>
            </w:r>
          </w:p>
        </w:tc>
        <w:tc>
          <w:tcPr>
            <w:tcW w:w="75" w:type="dxa"/>
            <w:tcBorders/>
            <w:shd w:fill="FFFFFF" w:val="clear"/>
            <w:vAlign w:val="center"/>
          </w:tcPr>
          <w:p>
            <w:pPr>
              <w:pStyle w:val="TableContents"/>
              <w:spacing w:before="0" w:after="283"/>
              <w:rPr/>
            </w:pPr>
            <w:r>
              <w:rPr/>
              <w:t> </w:t>
            </w:r>
          </w:p>
        </w:tc>
      </w:tr>
      <w:tr>
        <w:trPr/>
        <w:tc>
          <w:tcPr>
            <w:tcW w:w="1865" w:type="dxa"/>
            <w:tcBorders/>
            <w:shd w:fill="CCEEFF" w:val="clear"/>
            <w:vAlign w:val="center"/>
          </w:tcPr>
          <w:p>
            <w:pPr>
              <w:pStyle w:val="TableContents"/>
              <w:spacing w:before="0" w:after="0"/>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intangible assets</w:t>
            </w:r>
          </w:p>
        </w:tc>
        <w:tc>
          <w:tcPr>
            <w:tcW w:w="60" w:type="dxa"/>
            <w:tcBorders/>
            <w:shd w:fill="CCEEFF" w:val="clear"/>
            <w:vAlign w:val="center"/>
          </w:tcPr>
          <w:p>
            <w:pPr>
              <w:pStyle w:val="TableContents"/>
              <w:spacing w:before="0" w:after="283"/>
              <w:ind w:left="0" w:right="0" w:hanging="0"/>
              <w:rPr/>
            </w:pPr>
            <w:r>
              <w:rPr/>
              <w:t> </w:t>
            </w:r>
          </w:p>
        </w:tc>
        <w:tc>
          <w:tcPr>
            <w:tcW w:w="139"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541"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9,171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08"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907"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(5,516</w:t>
            </w:r>
          </w:p>
        </w:tc>
        <w:tc>
          <w:tcPr>
            <w:tcW w:w="80"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spacing w:before="0" w:after="283"/>
              <w:ind w:left="0" w:right="0" w:hanging="0"/>
              <w:rPr/>
            </w:pPr>
            <w:r>
              <w:rPr/>
              <w:t> </w:t>
            </w:r>
          </w:p>
        </w:tc>
        <w:tc>
          <w:tcPr>
            <w:tcW w:w="182"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708"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3,655</w:t>
            </w:r>
          </w:p>
        </w:tc>
        <w:tc>
          <w:tcPr>
            <w:tcW w:w="75" w:type="dxa"/>
            <w:tcBorders/>
            <w:shd w:fill="CCEEFF" w:val="clear"/>
            <w:vAlign w:val="center"/>
          </w:tcPr>
          <w:p>
            <w:pPr>
              <w:pStyle w:val="TableContents"/>
              <w:spacing w:before="0" w:after="283"/>
              <w:rPr/>
            </w:pPr>
            <w:r>
              <w:rPr/>
              <w:t> </w:t>
            </w:r>
          </w:p>
        </w:tc>
      </w:tr>
    </w:tbl>
    <w:p>
      <w:pPr>
        <w:pStyle w:val="TextBody"/>
        <w:spacing w:before="0" w:after="0"/>
        <w:ind w:left="0" w:right="0" w:firstLine="720"/>
        <w:jc w:val="left"/>
        <w:rPr/>
      </w:pPr>
      <w:r>
        <w:rPr/>
        <w:t> </w:t>
      </w:r>
    </w:p>
    <w:tbl>
      <w:tblPr>
        <w:tblW w:w="4915" w:type="dxa"/>
        <w:jc w:val="left"/>
        <w:tblInd w:w="0" w:type="dxa"/>
        <w:tblCellMar>
          <w:top w:w="0" w:type="dxa"/>
          <w:left w:w="0" w:type="dxa"/>
          <w:bottom w:w="0" w:type="dxa"/>
          <w:right w:w="0" w:type="dxa"/>
        </w:tblCellMar>
      </w:tblPr>
      <w:tblGrid>
        <w:gridCol w:w="1850"/>
        <w:gridCol w:w="60"/>
        <w:gridCol w:w="139"/>
        <w:gridCol w:w="541"/>
        <w:gridCol w:w="60"/>
        <w:gridCol w:w="60"/>
        <w:gridCol w:w="208"/>
        <w:gridCol w:w="907"/>
        <w:gridCol w:w="80"/>
        <w:gridCol w:w="60"/>
        <w:gridCol w:w="182"/>
        <w:gridCol w:w="708"/>
        <w:gridCol w:w="60"/>
      </w:tblGrid>
      <w:tr>
        <w:trPr/>
        <w:tc>
          <w:tcPr>
            <w:tcW w:w="185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945" w:type="dxa"/>
            <w:gridSpan w:val="10"/>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sz w:val="20"/>
              </w:rPr>
              <w:t>December 31, 2022</w:t>
            </w:r>
          </w:p>
        </w:tc>
        <w:tc>
          <w:tcPr>
            <w:tcW w:w="60" w:type="dxa"/>
            <w:tcBorders/>
            <w:shd w:fill="FFFFFF" w:val="clear"/>
            <w:vAlign w:val="center"/>
          </w:tcPr>
          <w:p>
            <w:pPr>
              <w:pStyle w:val="TableContents"/>
              <w:spacing w:before="0" w:after="283"/>
              <w:rPr/>
            </w:pPr>
            <w:r>
              <w:rPr/>
              <w:t> </w:t>
            </w:r>
          </w:p>
        </w:tc>
      </w:tr>
      <w:tr>
        <w:trPr/>
        <w:tc>
          <w:tcPr>
            <w:tcW w:w="1850" w:type="dxa"/>
            <w:tcBorders/>
            <w:shd w:fill="FFFFFF" w:val="clear"/>
            <w:vAlign w:val="center"/>
          </w:tcPr>
          <w:p>
            <w:pPr>
              <w:pStyle w:val="TableContents"/>
              <w:spacing w:before="0" w:after="0"/>
              <w:rPr/>
            </w:pPr>
            <w:r>
              <w:rPr/>
              <w:t>​</w:t>
            </w:r>
          </w:p>
        </w:tc>
        <w:tc>
          <w:tcPr>
            <w:tcW w:w="60" w:type="dxa"/>
            <w:tcBorders/>
            <w:shd w:fill="FFFFFF" w:val="clear"/>
            <w:vAlign w:val="center"/>
          </w:tcPr>
          <w:p>
            <w:pPr>
              <w:pStyle w:val="TableContents"/>
              <w:spacing w:before="0" w:after="283"/>
              <w:ind w:left="0" w:right="0" w:hanging="0"/>
              <w:rPr/>
            </w:pPr>
            <w:r>
              <w:rPr/>
              <w:t> </w:t>
            </w:r>
          </w:p>
        </w:tc>
        <w:tc>
          <w:tcPr>
            <w:tcW w:w="680"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sz w:val="20"/>
              </w:rPr>
              <w:t>Gross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15"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sz w:val="20"/>
              </w:rPr>
              <w:t>Accumulated</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90"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sz w:val="20"/>
              </w:rPr>
              <w:t>Intangible</w:t>
            </w:r>
          </w:p>
        </w:tc>
        <w:tc>
          <w:tcPr>
            <w:tcW w:w="60" w:type="dxa"/>
            <w:tcBorders/>
            <w:shd w:fill="FFFFFF" w:val="clear"/>
            <w:vAlign w:val="center"/>
          </w:tcPr>
          <w:p>
            <w:pPr>
              <w:pStyle w:val="TableContents"/>
              <w:spacing w:before="0" w:after="283"/>
              <w:rPr/>
            </w:pPr>
            <w:r>
              <w:rPr/>
              <w:t> </w:t>
            </w:r>
          </w:p>
        </w:tc>
      </w:tr>
      <w:tr>
        <w:trPr/>
        <w:tc>
          <w:tcPr>
            <w:tcW w:w="1850" w:type="dxa"/>
            <w:tcBorders/>
            <w:shd w:fill="FFFFFF" w:val="clear"/>
            <w:vAlign w:val="center"/>
          </w:tcPr>
          <w:p>
            <w:pPr>
              <w:pStyle w:val="TableContents"/>
              <w:spacing w:before="0" w:after="0"/>
              <w:rPr/>
            </w:pPr>
            <w:r>
              <w:rPr/>
              <w:t>​</w:t>
            </w:r>
          </w:p>
        </w:tc>
        <w:tc>
          <w:tcPr>
            <w:tcW w:w="60" w:type="dxa"/>
            <w:tcBorders/>
            <w:shd w:fill="FFFFFF" w:val="clear"/>
            <w:vAlign w:val="center"/>
          </w:tcPr>
          <w:p>
            <w:pPr>
              <w:pStyle w:val="TableContents"/>
              <w:spacing w:before="0" w:after="283"/>
              <w:ind w:left="0" w:right="0" w:hanging="0"/>
              <w:rPr/>
            </w:pPr>
            <w:r>
              <w:rPr/>
              <w:t> </w:t>
            </w:r>
          </w:p>
        </w:tc>
        <w:tc>
          <w:tcPr>
            <w:tcW w:w="68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sz w:val="20"/>
              </w:rPr>
              <w:t>Amount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1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sz w:val="20"/>
              </w:rPr>
              <w:t>amortization</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9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sz w:val="20"/>
              </w:rPr>
              <w:t>assets, net</w:t>
            </w:r>
          </w:p>
        </w:tc>
        <w:tc>
          <w:tcPr>
            <w:tcW w:w="60" w:type="dxa"/>
            <w:tcBorders/>
            <w:shd w:fill="FFFFFF" w:val="clear"/>
            <w:vAlign w:val="center"/>
          </w:tcPr>
          <w:p>
            <w:pPr>
              <w:pStyle w:val="TableContents"/>
              <w:spacing w:before="0" w:after="283"/>
              <w:rPr/>
            </w:pPr>
            <w:r>
              <w:rPr/>
              <w:t> </w:t>
            </w:r>
          </w:p>
        </w:tc>
      </w:tr>
      <w:tr>
        <w:trPr/>
        <w:tc>
          <w:tcPr>
            <w:tcW w:w="1850" w:type="dxa"/>
            <w:tcBorders/>
            <w:shd w:fill="CCEE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Patents</w:t>
            </w:r>
          </w:p>
        </w:tc>
        <w:tc>
          <w:tcPr>
            <w:tcW w:w="60" w:type="dxa"/>
            <w:tcBorders/>
            <w:shd w:fill="CCEEFF" w:val="clear"/>
            <w:vAlign w:val="center"/>
          </w:tcPr>
          <w:p>
            <w:pPr>
              <w:pStyle w:val="TableContents"/>
              <w:spacing w:before="0" w:after="283"/>
              <w:ind w:left="0" w:right="0" w:hanging="0"/>
              <w:rPr/>
            </w:pPr>
            <w:r>
              <w:rPr/>
              <w:t> </w:t>
            </w:r>
          </w:p>
        </w:tc>
        <w:tc>
          <w:tcPr>
            <w:tcW w:w="139" w:type="dxa"/>
            <w:tcBorders/>
            <w:shd w:fill="CCEEFF" w:val="cle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8,994</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08" w:type="dxa"/>
            <w:tcBorders/>
            <w:shd w:fill="CCEEFF" w:val="cle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907"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(5,330</w:t>
            </w:r>
          </w:p>
        </w:tc>
        <w:tc>
          <w:tcPr>
            <w:tcW w:w="80"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spacing w:before="0" w:after="283"/>
              <w:ind w:left="0" w:right="0" w:hanging="0"/>
              <w:rPr/>
            </w:pPr>
            <w:r>
              <w:rPr/>
              <w:t> </w:t>
            </w:r>
          </w:p>
        </w:tc>
        <w:tc>
          <w:tcPr>
            <w:tcW w:w="182" w:type="dxa"/>
            <w:tcBorders/>
            <w:shd w:fill="CCEEFF" w:val="cle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708"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3,664</w:t>
            </w:r>
          </w:p>
        </w:tc>
        <w:tc>
          <w:tcPr>
            <w:tcW w:w="60" w:type="dxa"/>
            <w:tcBorders/>
            <w:shd w:fill="CCEEFF" w:val="clear"/>
            <w:vAlign w:val="center"/>
          </w:tcPr>
          <w:p>
            <w:pPr>
              <w:pStyle w:val="TableContents"/>
              <w:spacing w:before="0" w:after="283"/>
              <w:rPr/>
            </w:pPr>
            <w:r>
              <w:rPr/>
              <w:t> </w:t>
            </w:r>
          </w:p>
        </w:tc>
      </w:tr>
      <w:tr>
        <w:trPr/>
        <w:tc>
          <w:tcPr>
            <w:tcW w:w="1850" w:type="dxa"/>
            <w:tcBorders/>
            <w:shd w:fill="FFFF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Trademarks</w:t>
            </w:r>
          </w:p>
        </w:tc>
        <w:tc>
          <w:tcPr>
            <w:tcW w:w="60" w:type="dxa"/>
            <w:tcBorders/>
            <w:shd w:fill="FFFFFF" w:val="clear"/>
            <w:vAlign w:val="center"/>
          </w:tcPr>
          <w:p>
            <w:pPr>
              <w:pStyle w:val="TableContents"/>
              <w:spacing w:before="0" w:after="283"/>
              <w:rPr/>
            </w:pPr>
            <w:r>
              <w:rPr/>
              <w:t> </w:t>
            </w:r>
          </w:p>
        </w:tc>
        <w:tc>
          <w:tcPr>
            <w:tcW w:w="139"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41"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56</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08"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907"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8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spacing w:before="0" w:after="283"/>
              <w:rPr/>
            </w:pPr>
            <w:r>
              <w:rPr/>
              <w:t> </w:t>
            </w:r>
          </w:p>
        </w:tc>
        <w:tc>
          <w:tcPr>
            <w:tcW w:w="182"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708"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35</w:t>
            </w:r>
          </w:p>
        </w:tc>
        <w:tc>
          <w:tcPr>
            <w:tcW w:w="60" w:type="dxa"/>
            <w:tcBorders/>
            <w:shd w:fill="FFFFFF" w:val="clear"/>
            <w:vAlign w:val="center"/>
          </w:tcPr>
          <w:p>
            <w:pPr>
              <w:pStyle w:val="TableContents"/>
              <w:spacing w:before="0" w:after="283"/>
              <w:rPr/>
            </w:pPr>
            <w:r>
              <w:rPr/>
              <w:t> </w:t>
            </w:r>
          </w:p>
        </w:tc>
      </w:tr>
      <w:tr>
        <w:trPr/>
        <w:tc>
          <w:tcPr>
            <w:tcW w:w="1850" w:type="dxa"/>
            <w:tcBorders/>
            <w:shd w:fill="CCEE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Total intangible assets</w:t>
            </w:r>
          </w:p>
        </w:tc>
        <w:tc>
          <w:tcPr>
            <w:tcW w:w="60" w:type="dxa"/>
            <w:tcBorders/>
            <w:shd w:fill="CCEEFF" w:val="clear"/>
            <w:vAlign w:val="center"/>
          </w:tcPr>
          <w:p>
            <w:pPr>
              <w:pStyle w:val="TableContents"/>
              <w:spacing w:before="0" w:after="283"/>
              <w:ind w:left="0" w:right="0" w:hanging="0"/>
              <w:rPr/>
            </w:pPr>
            <w:r>
              <w:rPr/>
              <w:t> </w:t>
            </w:r>
          </w:p>
        </w:tc>
        <w:tc>
          <w:tcPr>
            <w:tcW w:w="139"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541"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9,050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08"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907"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(5,351</w:t>
            </w:r>
          </w:p>
        </w:tc>
        <w:tc>
          <w:tcPr>
            <w:tcW w:w="80"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spacing w:before="0" w:after="283"/>
              <w:ind w:left="0" w:right="0" w:hanging="0"/>
              <w:rPr/>
            </w:pPr>
            <w:r>
              <w:rPr/>
              <w:t> </w:t>
            </w:r>
          </w:p>
        </w:tc>
        <w:tc>
          <w:tcPr>
            <w:tcW w:w="182"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708"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3,699</w:t>
            </w:r>
          </w:p>
        </w:tc>
        <w:tc>
          <w:tcPr>
            <w:tcW w:w="60" w:type="dxa"/>
            <w:tcBorders/>
            <w:shd w:fill="CCEEFF" w:val="clear"/>
            <w:vAlign w:val="center"/>
          </w:tcPr>
          <w:p>
            <w:pPr>
              <w:pStyle w:val="TableContents"/>
              <w:spacing w:before="0" w:after="283"/>
              <w:rPr/>
            </w:pPr>
            <w:r>
              <w:rPr/>
              <w:t> </w:t>
            </w:r>
          </w:p>
        </w:tc>
      </w:tr>
    </w:tbl>
    <w:p>
      <w:pPr>
        <w:pStyle w:val="TextBody"/>
        <w:spacing w:before="0" w:after="0"/>
        <w:ind w:left="0" w:right="0" w:hanging="0"/>
        <w:jc w:val="left"/>
        <w:rPr/>
      </w:pPr>
      <w:r>
        <w:rPr/>
        <w:t>​</w:t>
      </w:r>
    </w:p>
    <w:p>
      <w:pPr>
        <w:pStyle w:val="TextBody"/>
        <w:spacing w:before="0" w:after="0"/>
        <w:ind w:left="0" w:right="0" w:firstLine="720"/>
        <w:jc w:val="left"/>
        <w:rPr/>
      </w:pPr>
      <w:r>
        <w:rPr>
          <w:rFonts w:ascii="Times New Roman;Times;serif" w:hAnsi="Times New Roman;Times;serif"/>
          <w:sz w:val="20"/>
        </w:rPr>
        <w:t xml:space="preserve">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 xml:space="preserve">March 31, 2023 </w:t>
      </w:r>
      <w:r>
        <w:rPr>
          <w:rFonts w:ascii="Times New Roman;Times;serif" w:hAnsi="Times New Roman;Times;serif"/>
          <w:sz w:val="20"/>
        </w:rPr>
        <w:t xml:space="preserve">and </w:t>
      </w:r>
      <w:r>
        <w:rPr>
          <w:rStyle w:val="Emphasis"/>
          <w:rFonts w:ascii="Times New Roman;Times;serif" w:hAnsi="Times New Roman;Times;serif"/>
          <w:sz w:val="20"/>
        </w:rPr>
        <w:t>2022</w:t>
      </w:r>
      <w:r>
        <w:rPr>
          <w:rFonts w:ascii="Times New Roman;Times;serif" w:hAnsi="Times New Roman;Times;serif"/>
          <w:sz w:val="20"/>
        </w:rPr>
        <w:t>, amortization expense for intangible assets, included in general and administrative expenses on the statement of operations, was each $0.2 million. The remaining weighted average amortization period for intangible assets is approxi</w:t>
      </w:r>
      <w:r>
        <w:rPr>
          <w:rFonts w:ascii="Times New Roman;Times;serif" w:hAnsi="Times New Roman;Times;serif"/>
          <w:sz w:val="20"/>
          <w:highlight w:val="white"/>
        </w:rPr>
        <w:t>mately 5.7 years.</w:t>
      </w:r>
    </w:p>
    <w:p>
      <w:pPr>
        <w:pStyle w:val="TextBody"/>
        <w:spacing w:before="0" w:after="0"/>
        <w:ind w:left="0" w:right="0" w:firstLine="720"/>
        <w:jc w:val="left"/>
        <w:rPr/>
      </w:pPr>
      <w:r>
        <w:rPr/>
        <w:t> </w:t>
      </w:r>
    </w:p>
    <w:p>
      <w:pPr>
        <w:pStyle w:val="TextBody"/>
        <w:spacing w:before="0" w:after="0"/>
        <w:ind w:left="0" w:right="0" w:firstLine="720"/>
        <w:jc w:val="left"/>
        <w:rPr/>
      </w:pPr>
      <w:r>
        <w:rPr>
          <w:rFonts w:ascii="Times New Roman;Times;serif" w:hAnsi="Times New Roman;Times;serif"/>
          <w:sz w:val="20"/>
        </w:rPr>
        <w:t xml:space="preserve">At </w:t>
      </w:r>
      <w:r>
        <w:rPr>
          <w:rStyle w:val="Emphasis"/>
          <w:rFonts w:ascii="Times New Roman;Times;serif" w:hAnsi="Times New Roman;Times;serif"/>
          <w:sz w:val="20"/>
        </w:rPr>
        <w:t>March 31, 2023</w:t>
      </w:r>
      <w:r>
        <w:rPr>
          <w:rFonts w:ascii="Times New Roman;Times;serif" w:hAnsi="Times New Roman;Times;serif"/>
          <w:sz w:val="20"/>
        </w:rPr>
        <w:t xml:space="preserve">, future amortization expense for intangible assets for future </w:t>
      </w:r>
      <w:r>
        <w:rPr>
          <w:rStyle w:val="Emphasis"/>
          <w:rFonts w:ascii="Times New Roman;Times;serif" w:hAnsi="Times New Roman;Times;serif"/>
          <w:sz w:val="20"/>
        </w:rPr>
        <w:t>one</w:t>
      </w:r>
      <w:r>
        <w:rPr>
          <w:rFonts w:ascii="Times New Roman;Times;serif" w:hAnsi="Times New Roman;Times;serif"/>
          <w:sz w:val="20"/>
        </w:rPr>
        <w:t xml:space="preserve"> year periods is estimated to be (in thousands):</w:t>
      </w:r>
    </w:p>
    <w:p>
      <w:pPr>
        <w:pStyle w:val="TextBody"/>
        <w:spacing w:before="0" w:after="0"/>
        <w:ind w:left="0" w:right="0" w:firstLine="720"/>
        <w:jc w:val="left"/>
        <w:rPr/>
      </w:pPr>
      <w:r>
        <w:rPr/>
        <w:t> </w:t>
      </w:r>
    </w:p>
    <w:tbl>
      <w:tblPr>
        <w:tblW w:w="2260" w:type="dxa"/>
        <w:jc w:val="left"/>
        <w:tblInd w:w="0" w:type="dxa"/>
        <w:tblCellMar>
          <w:top w:w="0" w:type="dxa"/>
          <w:left w:w="0" w:type="dxa"/>
          <w:bottom w:w="0" w:type="dxa"/>
          <w:right w:w="0" w:type="dxa"/>
        </w:tblCellMar>
      </w:tblPr>
      <w:tblGrid>
        <w:gridCol w:w="1595"/>
        <w:gridCol w:w="60"/>
        <w:gridCol w:w="60"/>
        <w:gridCol w:w="485"/>
        <w:gridCol w:w="60"/>
      </w:tblGrid>
      <w:tr>
        <w:trPr/>
        <w:tc>
          <w:tcPr>
            <w:tcW w:w="159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2023</w:t>
            </w:r>
          </w:p>
        </w:tc>
        <w:tc>
          <w:tcPr>
            <w:tcW w:w="60" w:type="dxa"/>
            <w:tcBorders/>
            <w:shd w:fill="CCEEFF" w:val="clear"/>
            <w:vAlign w:val="center"/>
          </w:tcPr>
          <w:p>
            <w:pPr>
              <w:pStyle w:val="TableContents"/>
              <w:spacing w:before="0" w:after="0"/>
              <w:ind w:left="0" w:right="0" w:hanging="0"/>
              <w:rPr/>
            </w:pPr>
            <w:r>
              <w:rPr/>
              <w:t> </w:t>
            </w:r>
          </w:p>
        </w:tc>
        <w:tc>
          <w:tcPr>
            <w:tcW w:w="60" w:type="dxa"/>
            <w:tcBorders/>
            <w:shd w:fill="CCEEFF" w:val="clear"/>
            <w:vAlign w:val="center"/>
          </w:tcPr>
          <w:p>
            <w:pPr>
              <w:pStyle w:val="TableContents"/>
              <w:spacing w:before="0" w:after="0"/>
              <w:rPr/>
            </w:pPr>
            <w:r>
              <w:rPr/>
              <w:t> </w:t>
            </w:r>
          </w:p>
        </w:tc>
        <w:tc>
          <w:tcPr>
            <w:tcW w:w="485"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477</w:t>
            </w:r>
          </w:p>
        </w:tc>
        <w:tc>
          <w:tcPr>
            <w:tcW w:w="60" w:type="dxa"/>
            <w:tcBorders/>
            <w:shd w:fill="CCEEFF" w:val="clear"/>
            <w:vAlign w:val="center"/>
          </w:tcPr>
          <w:p>
            <w:pPr>
              <w:pStyle w:val="TableContents"/>
              <w:spacing w:before="0" w:after="283"/>
              <w:rPr/>
            </w:pPr>
            <w:r>
              <w:rPr/>
              <w:t> </w:t>
            </w:r>
          </w:p>
        </w:tc>
      </w:tr>
      <w:tr>
        <w:trPr/>
        <w:tc>
          <w:tcPr>
            <w:tcW w:w="1595" w:type="dxa"/>
            <w:tcBorders/>
            <w:shd w:fill="FFFF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2024</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485"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636</w:t>
            </w:r>
          </w:p>
        </w:tc>
        <w:tc>
          <w:tcPr>
            <w:tcW w:w="60" w:type="dxa"/>
            <w:tcBorders/>
            <w:shd w:fill="FFFFFF" w:val="clear"/>
            <w:vAlign w:val="center"/>
          </w:tcPr>
          <w:p>
            <w:pPr>
              <w:pStyle w:val="TableContents"/>
              <w:spacing w:before="0" w:after="283"/>
              <w:rPr/>
            </w:pPr>
            <w:r>
              <w:rPr/>
              <w:t> </w:t>
            </w:r>
          </w:p>
        </w:tc>
      </w:tr>
      <w:tr>
        <w:trPr/>
        <w:tc>
          <w:tcPr>
            <w:tcW w:w="1595" w:type="dxa"/>
            <w:tcBorders/>
            <w:shd w:fill="CCEE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2025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485"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636</w:t>
            </w:r>
          </w:p>
        </w:tc>
        <w:tc>
          <w:tcPr>
            <w:tcW w:w="60" w:type="dxa"/>
            <w:tcBorders/>
            <w:shd w:fill="CCEEFF" w:val="clear"/>
            <w:vAlign w:val="center"/>
          </w:tcPr>
          <w:p>
            <w:pPr>
              <w:pStyle w:val="TableContents"/>
              <w:spacing w:before="0" w:after="283"/>
              <w:rPr/>
            </w:pPr>
            <w:r>
              <w:rPr/>
              <w:t> </w:t>
            </w:r>
          </w:p>
        </w:tc>
      </w:tr>
      <w:tr>
        <w:trPr/>
        <w:tc>
          <w:tcPr>
            <w:tcW w:w="1595" w:type="dxa"/>
            <w:tcBorders/>
            <w:shd w:fill="FFFF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2026</w:t>
            </w:r>
          </w:p>
        </w:tc>
        <w:tc>
          <w:tcPr>
            <w:tcW w:w="60" w:type="dxa"/>
            <w:tcBorders/>
            <w:shd w:fill="FFFFFF" w:val="clear"/>
            <w:vAlign w:val="center"/>
          </w:tcPr>
          <w:p>
            <w:pPr>
              <w:pStyle w:val="TableContents"/>
              <w:spacing w:before="0" w:after="283"/>
              <w:ind w:left="0" w:right="0" w:hanging="0"/>
              <w:rPr/>
            </w:pPr>
            <w:r>
              <w:rPr/>
              <w:t> </w:t>
            </w:r>
          </w:p>
        </w:tc>
        <w:tc>
          <w:tcPr>
            <w:tcW w:w="60" w:type="dxa"/>
            <w:tcBorders/>
            <w:shd w:fill="FFFFFF" w:val="clear"/>
            <w:vAlign w:val="center"/>
          </w:tcPr>
          <w:p>
            <w:pPr>
              <w:pStyle w:val="TableContents"/>
              <w:spacing w:before="0" w:after="283"/>
              <w:ind w:left="0" w:right="0" w:hanging="0"/>
              <w:rPr/>
            </w:pPr>
            <w:r>
              <w:rPr/>
              <w:t> </w:t>
            </w:r>
          </w:p>
        </w:tc>
        <w:tc>
          <w:tcPr>
            <w:tcW w:w="485"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636</w:t>
            </w:r>
          </w:p>
        </w:tc>
        <w:tc>
          <w:tcPr>
            <w:tcW w:w="60" w:type="dxa"/>
            <w:tcBorders/>
            <w:shd w:fill="FFFFFF" w:val="clear"/>
            <w:vAlign w:val="center"/>
          </w:tcPr>
          <w:p>
            <w:pPr>
              <w:pStyle w:val="TableContents"/>
              <w:spacing w:before="0" w:after="283"/>
              <w:rPr/>
            </w:pPr>
            <w:r>
              <w:rPr/>
              <w:t> </w:t>
            </w:r>
          </w:p>
        </w:tc>
      </w:tr>
      <w:tr>
        <w:trPr/>
        <w:tc>
          <w:tcPr>
            <w:tcW w:w="1595" w:type="dxa"/>
            <w:tcBorders/>
            <w:shd w:fill="CCEE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2027</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485"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636</w:t>
            </w:r>
          </w:p>
        </w:tc>
        <w:tc>
          <w:tcPr>
            <w:tcW w:w="60" w:type="dxa"/>
            <w:tcBorders/>
            <w:shd w:fill="CCEEFF" w:val="clear"/>
            <w:vAlign w:val="center"/>
          </w:tcPr>
          <w:p>
            <w:pPr>
              <w:pStyle w:val="TableContents"/>
              <w:spacing w:before="0" w:after="283"/>
              <w:rPr/>
            </w:pPr>
            <w:r>
              <w:rPr/>
              <w:t> </w:t>
            </w:r>
          </w:p>
        </w:tc>
      </w:tr>
      <w:tr>
        <w:trPr/>
        <w:tc>
          <w:tcPr>
            <w:tcW w:w="1595" w:type="dxa"/>
            <w:tcBorders/>
            <w:shd w:fill="FFFF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2028 and thereafter</w:t>
            </w:r>
          </w:p>
        </w:tc>
        <w:tc>
          <w:tcPr>
            <w:tcW w:w="60" w:type="dxa"/>
            <w:tcBorders/>
            <w:shd w:fill="FFFFFF" w:val="clear"/>
            <w:vAlign w:val="center"/>
          </w:tcPr>
          <w:p>
            <w:pPr>
              <w:pStyle w:val="TableContents"/>
              <w:spacing w:before="0" w:after="283"/>
              <w:rPr/>
            </w:pPr>
            <w:r>
              <w:rPr/>
              <w:t> </w:t>
            </w:r>
          </w:p>
        </w:tc>
        <w:tc>
          <w:tcPr>
            <w:tcW w:w="60"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48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634</w:t>
            </w:r>
          </w:p>
        </w:tc>
        <w:tc>
          <w:tcPr>
            <w:tcW w:w="60" w:type="dxa"/>
            <w:tcBorders/>
            <w:shd w:fill="FFFFFF" w:val="clear"/>
            <w:vAlign w:val="center"/>
          </w:tcPr>
          <w:p>
            <w:pPr>
              <w:pStyle w:val="TableContents"/>
              <w:spacing w:before="0" w:after="283"/>
              <w:rPr/>
            </w:pPr>
            <w:r>
              <w:rPr/>
              <w:t> </w:t>
            </w:r>
          </w:p>
        </w:tc>
      </w:tr>
      <w:tr>
        <w:trPr/>
        <w:tc>
          <w:tcPr>
            <w:tcW w:w="159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60" w:type="dxa"/>
            <w:tcBorders>
              <w:bottom w:val="double" w:sz="6" w:space="0" w:color="000000"/>
            </w:tcBorders>
            <w:shd w:fill="CCEEFF" w:val="clear"/>
            <w:tcMar>
              <w:bottom w:w="28" w:type="dxa"/>
            </w:tcMar>
            <w:vAlign w:val="center"/>
          </w:tcPr>
          <w:p>
            <w:pPr>
              <w:pStyle w:val="TableContents"/>
              <w:spacing w:before="0" w:after="283"/>
              <w:ind w:left="0" w:right="0" w:hanging="0"/>
              <w:rPr/>
            </w:pPr>
            <w:r>
              <w:rPr/>
              <w:t> </w:t>
            </w:r>
          </w:p>
        </w:tc>
        <w:tc>
          <w:tcPr>
            <w:tcW w:w="485"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3,655</w:t>
            </w:r>
          </w:p>
        </w:tc>
        <w:tc>
          <w:tcPr>
            <w:tcW w:w="60" w:type="dxa"/>
            <w:tcBorders/>
            <w:shd w:fill="CCEEFF" w:val="clear"/>
            <w:vAlign w:val="center"/>
          </w:tcPr>
          <w:p>
            <w:pPr>
              <w:pStyle w:val="TableContents"/>
              <w:spacing w:before="0" w:after="283"/>
              <w:rPr/>
            </w:pPr>
            <w:r>
              <w:rPr/>
              <w:t> </w:t>
            </w:r>
          </w:p>
        </w:tc>
      </w:tr>
    </w:tbl>
    <w:p>
      <w:pPr>
        <w:pStyle w:val="TextBody"/>
        <w:spacing w:before="0" w:after="0"/>
        <w:ind w:left="0" w:right="0" w:firstLine="720"/>
        <w:jc w:val="left"/>
        <w:rPr/>
      </w:pPr>
      <w:r>
        <w:rPr/>
        <w:t> </w:t>
      </w:r>
    </w:p>
    <w:p>
      <w:pPr>
        <w:pStyle w:val="TextBody"/>
        <w:rPr/>
      </w:pPr>
      <w:r>
        <w:rPr/>
        <w:t xml:space="preserve">  </w:t>
      </w:r>
    </w:p>
    <w:p>
      <w:pPr>
        <w:pStyle w:val="TextBody"/>
        <w:spacing w:before="0" w:after="0"/>
        <w:ind w:left="0" w:right="0" w:firstLine="720"/>
        <w:rPr/>
      </w:pPr>
      <w:r>
        <w:rPr>
          <w:rFonts w:ascii="Times New Roman;Times;serif" w:hAnsi="Times New Roman;Times;serif"/>
          <w:b/>
          <w:sz w:val="20"/>
        </w:rPr>
        <w:t xml:space="preserve">Note </w:t>
      </w:r>
      <w:r>
        <w:rPr>
          <w:rStyle w:val="Emphasis"/>
          <w:rFonts w:ascii="Times New Roman;Times;serif" w:hAnsi="Times New Roman;Times;serif"/>
          <w:b/>
          <w:sz w:val="20"/>
        </w:rPr>
        <w:t>10.</w:t>
      </w:r>
      <w:r>
        <w:rPr>
          <w:rFonts w:ascii="Times New Roman;Times;serif" w:hAnsi="Times New Roman;Times;serif"/>
          <w:b/>
          <w:sz w:val="20"/>
        </w:rPr>
        <w:t>  Fair Value of Financial Instruments​</w:t>
      </w:r>
    </w:p>
    <w:p>
      <w:pPr>
        <w:pStyle w:val="TextBody"/>
        <w:spacing w:before="0" w:after="0"/>
        <w:ind w:left="0" w:right="0" w:hanging="0"/>
        <w:jc w:val="left"/>
        <w:rPr/>
      </w:pPr>
      <w:r>
        <w:rPr/>
        <w:t>​</w:t>
      </w:r>
    </w:p>
    <w:p>
      <w:pPr>
        <w:pStyle w:val="TextBody"/>
        <w:spacing w:before="0" w:after="0"/>
        <w:ind w:left="0" w:right="0" w:firstLine="720"/>
        <w:jc w:val="left"/>
        <w:rPr>
          <w:rFonts w:ascii="Times New Roman;Times;serif" w:hAnsi="Times New Roman;Times;serif"/>
          <w:sz w:val="20"/>
        </w:rPr>
      </w:pPr>
      <w:r>
        <w:rPr>
          <w:rFonts w:ascii="Times New Roman;Times;serif" w:hAnsi="Times New Roman;Times;serif"/>
          <w:sz w:val="20"/>
        </w:rPr>
        <w:t>The carrying value amounts of cash and cash equivalents, restricted cash, accounts receivable, prepaid expenses, notes receivable and other current assets, accounts payable, accrued expenses, bank acceptance payable and other current liabilities approximate fair value because of the short-term maturity of these instruments. The Company believes that the interest rates in effect at each period end represent the current market rates for similar borrowings. </w:t>
      </w:r>
    </w:p>
    <w:p>
      <w:pPr>
        <w:pStyle w:val="TextBody"/>
        <w:spacing w:before="0" w:after="0"/>
        <w:ind w:left="0" w:right="0" w:firstLine="720"/>
        <w:jc w:val="left"/>
        <w:rPr/>
      </w:pPr>
      <w:r>
        <w:rPr/>
        <w:t> </w:t>
      </w:r>
    </w:p>
    <w:p>
      <w:pPr>
        <w:pStyle w:val="TextBody"/>
        <w:spacing w:before="0" w:after="0"/>
        <w:ind w:left="0" w:right="0" w:firstLine="720"/>
        <w:jc w:val="left"/>
        <w:rPr/>
      </w:pPr>
      <w:r>
        <w:rPr>
          <w:rFonts w:ascii="Times New Roman;Times;serif" w:hAnsi="Times New Roman;Times;serif"/>
          <w:sz w:val="20"/>
        </w:rPr>
        <w:t xml:space="preserve">The fair value of convertible senior notes is measured for disclosure purposes only. The fair value and carrying amount of our convertible senior notes as of </w:t>
      </w:r>
      <w:r>
        <w:rPr>
          <w:rStyle w:val="Emphasis"/>
          <w:rFonts w:ascii="Times New Roman;Times;serif" w:hAnsi="Times New Roman;Times;serif"/>
          <w:sz w:val="20"/>
        </w:rPr>
        <w:t xml:space="preserve">March 31, 2023 </w:t>
      </w:r>
      <w:r>
        <w:rPr>
          <w:rFonts w:ascii="Times New Roman;Times;serif" w:hAnsi="Times New Roman;Times;serif"/>
          <w:sz w:val="20"/>
        </w:rPr>
        <w:t xml:space="preserve">was $60.9 million and </w:t>
      </w:r>
      <w:r>
        <w:rPr>
          <w:rStyle w:val="Emphasis"/>
          <w:rFonts w:ascii="Times New Roman;Times;serif" w:hAnsi="Times New Roman;Times;serif"/>
          <w:sz w:val="20"/>
        </w:rPr>
        <w:t>$79.9</w:t>
      </w:r>
      <w:r>
        <w:rPr>
          <w:rFonts w:ascii="Times New Roman;Times;serif" w:hAnsi="Times New Roman;Times;serif"/>
          <w:sz w:val="20"/>
        </w:rPr>
        <w:t xml:space="preserve"> million, respectively. As of </w:t>
      </w:r>
      <w:r>
        <w:rPr>
          <w:rStyle w:val="Emphasis"/>
          <w:rFonts w:ascii="Times New Roman;Times;serif" w:hAnsi="Times New Roman;Times;serif"/>
          <w:sz w:val="20"/>
        </w:rPr>
        <w:t xml:space="preserve">December 31, 2022, </w:t>
      </w:r>
      <w:r>
        <w:rPr>
          <w:rFonts w:ascii="Times New Roman;Times;serif" w:hAnsi="Times New Roman;Times;serif"/>
          <w:sz w:val="20"/>
        </w:rPr>
        <w:t xml:space="preserve">the fair value and carrying amount of our convertible senior notes was $58.3 million and $79.5 million, respectively. The fair value is based on observable market prices for this debt, which is traded in less active markets and are therefore classified as a Level </w:t>
      </w:r>
      <w:r>
        <w:rPr>
          <w:rStyle w:val="Emphasis"/>
          <w:rFonts w:ascii="Times New Roman;Times;serif" w:hAnsi="Times New Roman;Times;serif"/>
          <w:sz w:val="20"/>
        </w:rPr>
        <w:t>2</w:t>
      </w:r>
      <w:r>
        <w:rPr>
          <w:rFonts w:ascii="Times New Roman;Times;serif" w:hAnsi="Times New Roman;Times;serif"/>
          <w:sz w:val="20"/>
        </w:rPr>
        <w:t xml:space="preserve"> fair value measurement.</w:t>
      </w:r>
    </w:p>
    <w:p>
      <w:pPr>
        <w:pStyle w:val="TextBody"/>
        <w:spacing w:before="0" w:after="0"/>
        <w:ind w:left="0" w:right="144" w:firstLine="720"/>
        <w:jc w:val="left"/>
        <w:rPr/>
      </w:pPr>
      <w:r>
        <w:rPr/>
        <w:t>  </w:t>
      </w:r>
    </w:p>
    <w:p>
      <w:pPr>
        <w:pStyle w:val="TextBody"/>
        <w:spacing w:before="0" w:after="0"/>
        <w:jc w:val="center"/>
        <w:rPr/>
      </w:pPr>
      <w:r>
        <w:rPr>
          <w:rStyle w:val="Emphasis"/>
          <w:rFonts w:ascii="Times New Roman" w:hAnsi="Times New Roman"/>
          <w:sz w:val="20"/>
        </w:rPr>
        <w:t>14</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rPr/>
      </w:pPr>
      <w:r>
        <w:rPr/>
        <w:t xml:space="preserve">  </w:t>
      </w:r>
    </w:p>
    <w:p>
      <w:pPr>
        <w:pStyle w:val="TextBody"/>
        <w:rPr/>
      </w:pPr>
      <w:r>
        <w:rPr/>
        <w:t xml:space="preserve">  </w:t>
      </w:r>
    </w:p>
    <w:p>
      <w:pPr>
        <w:pStyle w:val="TextBody"/>
        <w:spacing w:before="0" w:after="0"/>
        <w:ind w:left="0" w:right="0" w:hanging="0"/>
        <w:jc w:val="left"/>
        <w:rPr/>
      </w:pPr>
      <w:r>
        <w:rPr>
          <w:rFonts w:ascii="Times New Roman;Times;serif" w:hAnsi="Times New Roman;Times;serif"/>
          <w:b/>
          <w:sz w:val="20"/>
        </w:rPr>
        <w:t xml:space="preserve">Note </w:t>
      </w:r>
      <w:r>
        <w:rPr>
          <w:rStyle w:val="Emphasis"/>
          <w:rFonts w:ascii="Times New Roman;Times;serif" w:hAnsi="Times New Roman;Times;serif"/>
          <w:b/>
          <w:sz w:val="20"/>
        </w:rPr>
        <w:t>11.</w:t>
      </w:r>
      <w:r>
        <w:rPr>
          <w:rFonts w:ascii="Times New Roman;Times;serif" w:hAnsi="Times New Roman;Times;serif"/>
          <w:b/>
          <w:sz w:val="20"/>
        </w:rPr>
        <w:t>  Notes Payable and Long-Term Debt</w:t>
      </w:r>
    </w:p>
    <w:p>
      <w:pPr>
        <w:pStyle w:val="TextBody"/>
        <w:spacing w:before="0" w:after="0"/>
        <w:ind w:left="0" w:right="0" w:hanging="0"/>
        <w:jc w:val="left"/>
        <w:rPr/>
      </w:pPr>
      <w:r>
        <w:rPr/>
        <w:t>​</w:t>
      </w:r>
    </w:p>
    <w:p>
      <w:pPr>
        <w:pStyle w:val="TextBody"/>
        <w:spacing w:before="0" w:after="0"/>
        <w:ind w:left="0" w:right="0" w:firstLine="720"/>
        <w:jc w:val="left"/>
        <w:rPr>
          <w:rFonts w:ascii="Times New Roman;Times;serif" w:hAnsi="Times New Roman;Times;serif"/>
          <w:sz w:val="20"/>
        </w:rPr>
      </w:pPr>
      <w:r>
        <w:rPr>
          <w:rFonts w:ascii="Times New Roman;Times;serif" w:hAnsi="Times New Roman;Times;serif"/>
          <w:sz w:val="20"/>
        </w:rPr>
        <w:t>Notes payable and long-term debt consisted of the following for the periods indicated (in thousands):</w:t>
      </w:r>
    </w:p>
    <w:p>
      <w:pPr>
        <w:pStyle w:val="TextBody"/>
        <w:spacing w:before="0" w:after="0"/>
        <w:ind w:left="0" w:right="0" w:firstLine="720"/>
        <w:jc w:val="left"/>
        <w:rPr/>
      </w:pPr>
      <w:r>
        <w:rPr/>
        <w:t>​</w:t>
      </w:r>
    </w:p>
    <w:tbl>
      <w:tblPr>
        <w:tblW w:w="10205" w:type="dxa"/>
        <w:jc w:val="left"/>
        <w:tblInd w:w="0" w:type="dxa"/>
        <w:tblCellMar>
          <w:top w:w="0" w:type="dxa"/>
          <w:left w:w="0" w:type="dxa"/>
          <w:bottom w:w="0" w:type="dxa"/>
          <w:right w:w="0" w:type="dxa"/>
        </w:tblCellMar>
      </w:tblPr>
      <w:tblGrid>
        <w:gridCol w:w="7668"/>
        <w:gridCol w:w="60"/>
        <w:gridCol w:w="168"/>
        <w:gridCol w:w="876"/>
        <w:gridCol w:w="80"/>
        <w:gridCol w:w="60"/>
        <w:gridCol w:w="194"/>
        <w:gridCol w:w="1015"/>
        <w:gridCol w:w="84"/>
      </w:tblGrid>
      <w:tr>
        <w:trPr/>
        <w:tc>
          <w:tcPr>
            <w:tcW w:w="7668"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04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sz w:val="20"/>
              </w:rPr>
              <w:t>March 31, 2023</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09"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sz w:val="20"/>
              </w:rPr>
              <w:t>December 31, 2022</w:t>
            </w:r>
          </w:p>
        </w:tc>
        <w:tc>
          <w:tcPr>
            <w:tcW w:w="84" w:type="dxa"/>
            <w:tcBorders/>
            <w:shd w:fill="FFFFFF" w:val="clear"/>
            <w:vAlign w:val="center"/>
          </w:tcPr>
          <w:p>
            <w:pPr>
              <w:pStyle w:val="TableContents"/>
              <w:spacing w:before="0" w:after="283"/>
              <w:rPr/>
            </w:pPr>
            <w:r>
              <w:rPr/>
              <w:t> </w:t>
            </w:r>
          </w:p>
        </w:tc>
      </w:tr>
      <w:tr>
        <w:trPr/>
        <w:tc>
          <w:tcPr>
            <w:tcW w:w="7668" w:type="dxa"/>
            <w:tcBorders/>
            <w:shd w:fill="CCEE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Revolving line of credit with a U.S. bank up to $27.780 million with interest at 9.663%, maturing the earlier of either 12/14/2023 or 11/16/2025 if the convertible debt remains in effect</w:t>
            </w:r>
          </w:p>
        </w:tc>
        <w:tc>
          <w:tcPr>
            <w:tcW w:w="60" w:type="dxa"/>
            <w:tcBorders/>
            <w:shd w:fill="CCEEFF" w:val="clear"/>
            <w:vAlign w:val="center"/>
          </w:tcPr>
          <w:p>
            <w:pPr>
              <w:pStyle w:val="TableContents"/>
              <w:spacing w:before="0" w:after="283"/>
              <w:rPr/>
            </w:pPr>
            <w:r>
              <w:rPr/>
              <w:t> </w:t>
            </w:r>
          </w:p>
        </w:tc>
        <w:tc>
          <w:tcPr>
            <w:tcW w:w="168" w:type="dxa"/>
            <w:tcBorders/>
            <w:shd w:fill="CCEEFF" w:val="clear"/>
            <w:vAlign w:val="center"/>
          </w:tcPr>
          <w:p>
            <w:pPr>
              <w:pStyle w:val="TableContents"/>
              <w:spacing w:before="0" w:after="283"/>
              <w:rPr/>
            </w:pPr>
            <w:r>
              <w:rPr/>
              <w:t> </w:t>
            </w:r>
          </w:p>
        </w:tc>
        <w:tc>
          <w:tcPr>
            <w:tcW w:w="876"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20,520</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4" w:type="dxa"/>
            <w:tcBorders/>
            <w:shd w:fill="CCEEFF" w:val="clear"/>
            <w:vAlign w:val="center"/>
          </w:tcPr>
          <w:p>
            <w:pPr>
              <w:pStyle w:val="TableContents"/>
              <w:spacing w:before="0" w:after="283"/>
              <w:rPr/>
            </w:pPr>
            <w:r>
              <w:rPr/>
              <w:t> </w:t>
            </w:r>
          </w:p>
        </w:tc>
        <w:tc>
          <w:tcPr>
            <w:tcW w:w="1015"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25,000</w:t>
            </w:r>
          </w:p>
        </w:tc>
        <w:tc>
          <w:tcPr>
            <w:tcW w:w="84" w:type="dxa"/>
            <w:tcBorders/>
            <w:shd w:fill="CCEEFF" w:val="clear"/>
            <w:vAlign w:val="center"/>
          </w:tcPr>
          <w:p>
            <w:pPr>
              <w:pStyle w:val="TableContents"/>
              <w:spacing w:before="0" w:after="283"/>
              <w:rPr/>
            </w:pPr>
            <w:r>
              <w:rPr/>
              <w:t> </w:t>
            </w:r>
          </w:p>
        </w:tc>
      </w:tr>
      <w:tr>
        <w:trPr/>
        <w:tc>
          <w:tcPr>
            <w:tcW w:w="7668" w:type="dxa"/>
            <w:tcBorders/>
            <w:shd w:fill="FFFF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Revolving line of credit with a China bank up to $19,037 with interest from 4.57% to 6.12%, maturing May 24, 2024</w:t>
            </w:r>
          </w:p>
        </w:tc>
        <w:tc>
          <w:tcPr>
            <w:tcW w:w="60" w:type="dxa"/>
            <w:tcBorders/>
            <w:shd w:fill="FFFFFF" w:val="clear"/>
            <w:vAlign w:val="center"/>
          </w:tcPr>
          <w:p>
            <w:pPr>
              <w:pStyle w:val="TableContents"/>
              <w:spacing w:before="0" w:after="283"/>
              <w:rPr/>
            </w:pPr>
            <w:r>
              <w:rPr/>
              <w:t> </w:t>
            </w:r>
          </w:p>
        </w:tc>
        <w:tc>
          <w:tcPr>
            <w:tcW w:w="168" w:type="dxa"/>
            <w:tcBorders/>
            <w:shd w:fill="FFFFFF" w:val="clear"/>
            <w:vAlign w:val="center"/>
          </w:tcPr>
          <w:p>
            <w:pPr>
              <w:pStyle w:val="TableContents"/>
              <w:spacing w:before="0" w:after="283"/>
              <w:ind w:left="0" w:right="0" w:hanging="0"/>
              <w:rPr/>
            </w:pPr>
            <w:r>
              <w:rPr/>
              <w:t> </w:t>
            </w:r>
          </w:p>
        </w:tc>
        <w:tc>
          <w:tcPr>
            <w:tcW w:w="876"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12,918</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94" w:type="dxa"/>
            <w:tcBorders/>
            <w:shd w:fill="FFFFFF" w:val="clear"/>
            <w:vAlign w:val="center"/>
          </w:tcPr>
          <w:p>
            <w:pPr>
              <w:pStyle w:val="TableContents"/>
              <w:spacing w:before="0" w:after="283"/>
              <w:ind w:left="0" w:right="0" w:hanging="0"/>
              <w:rPr/>
            </w:pPr>
            <w:r>
              <w:rPr/>
              <w:t> </w:t>
            </w:r>
          </w:p>
        </w:tc>
        <w:tc>
          <w:tcPr>
            <w:tcW w:w="1015"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13,102</w:t>
            </w:r>
          </w:p>
        </w:tc>
        <w:tc>
          <w:tcPr>
            <w:tcW w:w="84" w:type="dxa"/>
            <w:tcBorders/>
            <w:shd w:fill="FFFFFF" w:val="clear"/>
            <w:vAlign w:val="center"/>
          </w:tcPr>
          <w:p>
            <w:pPr>
              <w:pStyle w:val="TableContents"/>
              <w:spacing w:before="0" w:after="283"/>
              <w:ind w:left="0" w:right="0" w:hanging="0"/>
              <w:rPr/>
            </w:pPr>
            <w:r>
              <w:rPr/>
              <w:t> </w:t>
            </w:r>
          </w:p>
        </w:tc>
      </w:tr>
      <w:tr>
        <w:trPr/>
        <w:tc>
          <w:tcPr>
            <w:tcW w:w="766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Credit facility with a China bank up to $26,651 with interest of 4.45% ~ 6.6%, maturing June 6, 2027</w:t>
            </w:r>
          </w:p>
        </w:tc>
        <w:tc>
          <w:tcPr>
            <w:tcW w:w="60" w:type="dxa"/>
            <w:tcBorders/>
            <w:shd w:fill="CCEEFF" w:val="clear"/>
            <w:vAlign w:val="center"/>
          </w:tcPr>
          <w:p>
            <w:pPr>
              <w:pStyle w:val="TableContents"/>
              <w:spacing w:before="0" w:after="0"/>
              <w:ind w:left="0" w:right="0" w:hanging="0"/>
              <w:rPr/>
            </w:pPr>
            <w:r>
              <w:rPr/>
              <w:t> </w:t>
            </w:r>
          </w:p>
        </w:tc>
        <w:tc>
          <w:tcPr>
            <w:tcW w:w="168" w:type="dxa"/>
            <w:tcBorders/>
            <w:shd w:fill="CCEEFF" w:val="clear"/>
            <w:vAlign w:val="center"/>
          </w:tcPr>
          <w:p>
            <w:pPr>
              <w:pStyle w:val="TableContents"/>
              <w:spacing w:before="0" w:after="0"/>
              <w:ind w:left="0" w:right="0" w:hanging="0"/>
              <w:rPr/>
            </w:pPr>
            <w:r>
              <w:rPr/>
              <w:t> </w:t>
            </w:r>
          </w:p>
        </w:tc>
        <w:tc>
          <w:tcPr>
            <w:tcW w:w="8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17,828</w:t>
            </w:r>
          </w:p>
        </w:tc>
        <w:tc>
          <w:tcPr>
            <w:tcW w:w="80" w:type="dxa"/>
            <w:tcBorders/>
            <w:shd w:fill="CCEEFF" w:val="clear"/>
            <w:vAlign w:val="center"/>
          </w:tcPr>
          <w:p>
            <w:pPr>
              <w:pStyle w:val="TableContents"/>
              <w:spacing w:before="0" w:after="0"/>
              <w:ind w:left="0" w:right="0" w:hanging="0"/>
              <w:rPr/>
            </w:pPr>
            <w:r>
              <w:rPr/>
              <w:t> </w:t>
            </w:r>
          </w:p>
        </w:tc>
        <w:tc>
          <w:tcPr>
            <w:tcW w:w="60" w:type="dxa"/>
            <w:tcBorders/>
            <w:shd w:fill="CCEEFF" w:val="clear"/>
            <w:vAlign w:val="center"/>
          </w:tcPr>
          <w:p>
            <w:pPr>
              <w:pStyle w:val="TableContents"/>
              <w:spacing w:before="0" w:after="0"/>
              <w:ind w:left="0" w:right="0" w:hanging="0"/>
              <w:rPr/>
            </w:pPr>
            <w:r>
              <w:rPr/>
              <w:t> </w:t>
            </w:r>
          </w:p>
        </w:tc>
        <w:tc>
          <w:tcPr>
            <w:tcW w:w="194" w:type="dxa"/>
            <w:tcBorders/>
            <w:shd w:fill="CCEEFF" w:val="clear"/>
            <w:vAlign w:val="center"/>
          </w:tcPr>
          <w:p>
            <w:pPr>
              <w:pStyle w:val="TableContents"/>
              <w:spacing w:before="0" w:after="0"/>
              <w:ind w:left="0" w:right="0" w:hanging="0"/>
              <w:rPr/>
            </w:pPr>
            <w:r>
              <w:rPr/>
              <w:t> </w:t>
            </w:r>
          </w:p>
        </w:tc>
        <w:tc>
          <w:tcPr>
            <w:tcW w:w="101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20,140</w:t>
            </w:r>
          </w:p>
        </w:tc>
        <w:tc>
          <w:tcPr>
            <w:tcW w:w="84" w:type="dxa"/>
            <w:tcBorders/>
            <w:shd w:fill="CCEEFF" w:val="clear"/>
            <w:vAlign w:val="center"/>
          </w:tcPr>
          <w:p>
            <w:pPr>
              <w:pStyle w:val="TableContents"/>
              <w:spacing w:before="0" w:after="0"/>
              <w:ind w:left="0" w:right="0" w:hanging="0"/>
              <w:rPr/>
            </w:pPr>
            <w:r>
              <w:rPr/>
              <w:t> </w:t>
            </w:r>
          </w:p>
        </w:tc>
      </w:tr>
      <w:tr>
        <w:trPr/>
        <w:tc>
          <w:tcPr>
            <w:tcW w:w="7668" w:type="dxa"/>
            <w:tcBorders/>
            <w:shd w:fill="FFFF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Credit facility with a China bank up to $728 with interest of 2.7%, maturing November 23, 2023</w:t>
            </w:r>
          </w:p>
        </w:tc>
        <w:tc>
          <w:tcPr>
            <w:tcW w:w="60" w:type="dxa"/>
            <w:tcBorders/>
            <w:shd w:fill="FFFFFF" w:val="clear"/>
            <w:vAlign w:val="center"/>
          </w:tcPr>
          <w:p>
            <w:pPr>
              <w:pStyle w:val="TableContents"/>
              <w:spacing w:before="0" w:after="0"/>
              <w:ind w:left="0" w:right="0" w:hanging="0"/>
              <w:rPr/>
            </w:pPr>
            <w:r>
              <w:rPr/>
              <w:t> </w:t>
            </w:r>
          </w:p>
        </w:tc>
        <w:tc>
          <w:tcPr>
            <w:tcW w:w="168"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876" w:type="dxa"/>
            <w:tcBorders>
              <w:bottom w:val="single" w:sz="2" w:space="0" w:color="000000"/>
            </w:tcBorders>
            <w:shd w:fill="FFFF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728</w:t>
            </w:r>
          </w:p>
        </w:tc>
        <w:tc>
          <w:tcPr>
            <w:tcW w:w="80" w:type="dxa"/>
            <w:tcBorders/>
            <w:shd w:fill="FFFFFF" w:val="clear"/>
            <w:vAlign w:val="center"/>
          </w:tcPr>
          <w:p>
            <w:pPr>
              <w:pStyle w:val="TableContents"/>
              <w:spacing w:before="0" w:after="0"/>
              <w:ind w:left="0" w:right="0" w:hanging="0"/>
              <w:rPr/>
            </w:pPr>
            <w:r>
              <w:rPr/>
              <w:t> </w:t>
            </w:r>
          </w:p>
        </w:tc>
        <w:tc>
          <w:tcPr>
            <w:tcW w:w="60" w:type="dxa"/>
            <w:tcBorders/>
            <w:shd w:fill="FFFFFF" w:val="clear"/>
            <w:vAlign w:val="center"/>
          </w:tcPr>
          <w:p>
            <w:pPr>
              <w:pStyle w:val="TableContents"/>
              <w:spacing w:before="0" w:after="0"/>
              <w:ind w:left="0" w:right="0" w:hanging="0"/>
              <w:rPr/>
            </w:pPr>
            <w:r>
              <w:rPr/>
              <w:t> </w:t>
            </w:r>
          </w:p>
        </w:tc>
        <w:tc>
          <w:tcPr>
            <w:tcW w:w="194"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015" w:type="dxa"/>
            <w:tcBorders>
              <w:bottom w:val="single" w:sz="2" w:space="0" w:color="000000"/>
            </w:tcBorders>
            <w:shd w:fill="FFFF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84" w:type="dxa"/>
            <w:tcBorders/>
            <w:shd w:fill="FFFFFF" w:val="clear"/>
            <w:vAlign w:val="center"/>
          </w:tcPr>
          <w:p>
            <w:pPr>
              <w:pStyle w:val="TableContents"/>
              <w:spacing w:before="0" w:after="0"/>
              <w:rPr/>
            </w:pPr>
            <w:r>
              <w:rPr/>
              <w:t> </w:t>
            </w:r>
          </w:p>
        </w:tc>
      </w:tr>
      <w:tr>
        <w:trPr/>
        <w:tc>
          <w:tcPr>
            <w:tcW w:w="7668" w:type="dxa"/>
            <w:tcBorders/>
            <w:shd w:fill="CCEE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Sub-total</w:t>
            </w:r>
          </w:p>
        </w:tc>
        <w:tc>
          <w:tcPr>
            <w:tcW w:w="60" w:type="dxa"/>
            <w:tcBorders/>
            <w:shd w:fill="CCEEFF" w:val="clear"/>
            <w:vAlign w:val="center"/>
          </w:tcPr>
          <w:p>
            <w:pPr>
              <w:pStyle w:val="TableContents"/>
              <w:spacing w:before="0" w:after="283"/>
              <w:rPr/>
            </w:pPr>
            <w:r>
              <w:rPr/>
              <w:t> </w:t>
            </w:r>
          </w:p>
        </w:tc>
        <w:tc>
          <w:tcPr>
            <w:tcW w:w="168" w:type="dxa"/>
            <w:tcBorders/>
            <w:shd w:fill="CCEEFF" w:val="clear"/>
            <w:vAlign w:val="center"/>
          </w:tcPr>
          <w:p>
            <w:pPr>
              <w:pStyle w:val="TableContents"/>
              <w:spacing w:before="0" w:after="283"/>
              <w:ind w:left="0" w:right="0" w:hanging="0"/>
              <w:rPr/>
            </w:pPr>
            <w:r>
              <w:rPr/>
              <w:t> </w:t>
            </w:r>
          </w:p>
        </w:tc>
        <w:tc>
          <w:tcPr>
            <w:tcW w:w="876"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51,994</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4" w:type="dxa"/>
            <w:tcBorders/>
            <w:shd w:fill="CCEEFF" w:val="clear"/>
            <w:vAlign w:val="center"/>
          </w:tcPr>
          <w:p>
            <w:pPr>
              <w:pStyle w:val="TableContents"/>
              <w:spacing w:before="0" w:after="283"/>
              <w:ind w:left="0" w:right="0" w:hanging="0"/>
              <w:rPr/>
            </w:pPr>
            <w:r>
              <w:rPr/>
              <w:t> </w:t>
            </w:r>
          </w:p>
        </w:tc>
        <w:tc>
          <w:tcPr>
            <w:tcW w:w="1015"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58,242</w:t>
            </w:r>
          </w:p>
        </w:tc>
        <w:tc>
          <w:tcPr>
            <w:tcW w:w="84" w:type="dxa"/>
            <w:tcBorders/>
            <w:shd w:fill="CCEEFF" w:val="clear"/>
            <w:vAlign w:val="center"/>
          </w:tcPr>
          <w:p>
            <w:pPr>
              <w:pStyle w:val="TableContents"/>
              <w:spacing w:before="0" w:after="283"/>
              <w:rPr/>
            </w:pPr>
            <w:r>
              <w:rPr/>
              <w:t> </w:t>
            </w:r>
          </w:p>
        </w:tc>
      </w:tr>
      <w:tr>
        <w:trPr/>
        <w:tc>
          <w:tcPr>
            <w:tcW w:w="7668" w:type="dxa"/>
            <w:tcBorders/>
            <w:shd w:fill="FFFF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Less debt issuance costs, net</w:t>
            </w:r>
          </w:p>
        </w:tc>
        <w:tc>
          <w:tcPr>
            <w:tcW w:w="60" w:type="dxa"/>
            <w:tcBorders/>
            <w:shd w:fill="FFFFFF" w:val="clear"/>
            <w:vAlign w:val="center"/>
          </w:tcPr>
          <w:p>
            <w:pPr>
              <w:pStyle w:val="TableContents"/>
              <w:spacing w:before="0" w:after="283"/>
              <w:rPr/>
            </w:pPr>
            <w:r>
              <w:rPr/>
              <w:t> </w:t>
            </w:r>
          </w:p>
        </w:tc>
        <w:tc>
          <w:tcPr>
            <w:tcW w:w="168"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876"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(1,073</w:t>
            </w:r>
          </w:p>
        </w:tc>
        <w:tc>
          <w:tcPr>
            <w:tcW w:w="8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spacing w:before="0" w:after="283"/>
              <w:rPr/>
            </w:pPr>
            <w:r>
              <w:rPr/>
              <w:t> </w:t>
            </w:r>
          </w:p>
        </w:tc>
        <w:tc>
          <w:tcPr>
            <w:tcW w:w="194"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101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(1,168</w:t>
            </w:r>
          </w:p>
        </w:tc>
        <w:tc>
          <w:tcPr>
            <w:tcW w:w="84"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r>
      <w:tr>
        <w:trPr/>
        <w:tc>
          <w:tcPr>
            <w:tcW w:w="7668" w:type="dxa"/>
            <w:tcBorders/>
            <w:shd w:fill="CCEE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Grand total</w:t>
            </w:r>
          </w:p>
        </w:tc>
        <w:tc>
          <w:tcPr>
            <w:tcW w:w="60" w:type="dxa"/>
            <w:tcBorders/>
            <w:shd w:fill="CCEEFF" w:val="clear"/>
            <w:vAlign w:val="center"/>
          </w:tcPr>
          <w:p>
            <w:pPr>
              <w:pStyle w:val="TableContents"/>
              <w:spacing w:before="0" w:after="283"/>
              <w:rPr/>
            </w:pPr>
            <w:r>
              <w:rPr/>
              <w:t> </w:t>
            </w:r>
          </w:p>
        </w:tc>
        <w:tc>
          <w:tcPr>
            <w:tcW w:w="168" w:type="dxa"/>
            <w:tcBorders/>
            <w:shd w:fill="CCEEFF" w:val="clear"/>
            <w:vAlign w:val="center"/>
          </w:tcPr>
          <w:p>
            <w:pPr>
              <w:pStyle w:val="TableContents"/>
              <w:spacing w:before="0" w:after="283"/>
              <w:ind w:left="0" w:right="0" w:hanging="0"/>
              <w:rPr/>
            </w:pPr>
            <w:r>
              <w:rPr/>
              <w:t> </w:t>
            </w:r>
          </w:p>
        </w:tc>
        <w:tc>
          <w:tcPr>
            <w:tcW w:w="876"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50,921</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4" w:type="dxa"/>
            <w:tcBorders/>
            <w:shd w:fill="CCEEFF" w:val="clear"/>
            <w:vAlign w:val="center"/>
          </w:tcPr>
          <w:p>
            <w:pPr>
              <w:pStyle w:val="TableContents"/>
              <w:spacing w:before="0" w:after="283"/>
              <w:ind w:left="0" w:right="0" w:hanging="0"/>
              <w:rPr/>
            </w:pPr>
            <w:r>
              <w:rPr/>
              <w:t> </w:t>
            </w:r>
          </w:p>
        </w:tc>
        <w:tc>
          <w:tcPr>
            <w:tcW w:w="1015"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57,074</w:t>
            </w:r>
          </w:p>
        </w:tc>
        <w:tc>
          <w:tcPr>
            <w:tcW w:w="84" w:type="dxa"/>
            <w:tcBorders/>
            <w:shd w:fill="CCEEFF" w:val="clear"/>
            <w:vAlign w:val="center"/>
          </w:tcPr>
          <w:p>
            <w:pPr>
              <w:pStyle w:val="TableContents"/>
              <w:spacing w:before="0" w:after="283"/>
              <w:rPr/>
            </w:pPr>
            <w:r>
              <w:rPr/>
              <w:t> </w:t>
            </w:r>
          </w:p>
        </w:tc>
      </w:tr>
      <w:tr>
        <w:trPr/>
        <w:tc>
          <w:tcPr>
            <w:tcW w:w="7668" w:type="dxa"/>
            <w:tcBorders/>
            <w:shd w:fill="FFFF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Less current portion</w:t>
            </w:r>
          </w:p>
        </w:tc>
        <w:tc>
          <w:tcPr>
            <w:tcW w:w="60" w:type="dxa"/>
            <w:tcBorders/>
            <w:shd w:fill="FFFFFF" w:val="clear"/>
            <w:vAlign w:val="center"/>
          </w:tcPr>
          <w:p>
            <w:pPr>
              <w:pStyle w:val="TableContents"/>
              <w:spacing w:before="0" w:after="283"/>
              <w:rPr/>
            </w:pPr>
            <w:r>
              <w:rPr/>
              <w:t> </w:t>
            </w:r>
          </w:p>
        </w:tc>
        <w:tc>
          <w:tcPr>
            <w:tcW w:w="168"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876"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(50,921</w:t>
            </w:r>
          </w:p>
        </w:tc>
        <w:tc>
          <w:tcPr>
            <w:tcW w:w="8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spacing w:before="0" w:after="283"/>
              <w:rPr/>
            </w:pPr>
            <w:r>
              <w:rPr/>
              <w:t> </w:t>
            </w:r>
          </w:p>
        </w:tc>
        <w:tc>
          <w:tcPr>
            <w:tcW w:w="194"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101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(57,074</w:t>
            </w:r>
          </w:p>
        </w:tc>
        <w:tc>
          <w:tcPr>
            <w:tcW w:w="84"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r>
      <w:tr>
        <w:trPr/>
        <w:tc>
          <w:tcPr>
            <w:tcW w:w="7668" w:type="dxa"/>
            <w:tcBorders/>
            <w:shd w:fill="CCEE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Non-current portion</w:t>
            </w:r>
          </w:p>
        </w:tc>
        <w:tc>
          <w:tcPr>
            <w:tcW w:w="60" w:type="dxa"/>
            <w:tcBorders/>
            <w:shd w:fill="CCEEFF" w:val="clear"/>
            <w:vAlign w:val="center"/>
          </w:tcPr>
          <w:p>
            <w:pPr>
              <w:pStyle w:val="TableContents"/>
              <w:spacing w:before="0" w:after="283"/>
              <w:ind w:left="0" w:right="0" w:hanging="0"/>
              <w:rPr/>
            </w:pPr>
            <w:r>
              <w:rPr/>
              <w:t> </w:t>
            </w:r>
          </w:p>
        </w:tc>
        <w:tc>
          <w:tcPr>
            <w:tcW w:w="168"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876"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94"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1015"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4" w:type="dxa"/>
            <w:tcBorders/>
            <w:shd w:fill="CCEEFF" w:val="clear"/>
            <w:vAlign w:val="center"/>
          </w:tcPr>
          <w:p>
            <w:pPr>
              <w:pStyle w:val="TableContents"/>
              <w:spacing w:before="0" w:after="283"/>
              <w:rPr/>
            </w:pPr>
            <w:r>
              <w:rPr/>
              <w:t> </w:t>
            </w:r>
          </w:p>
        </w:tc>
      </w:tr>
      <w:tr>
        <w:trPr/>
        <w:tc>
          <w:tcPr>
            <w:tcW w:w="7668"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044" w:type="dxa"/>
            <w:gridSpan w:val="2"/>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09" w:type="dxa"/>
            <w:gridSpan w:val="2"/>
            <w:tcBorders/>
            <w:shd w:fill="FFFFFF" w:val="clear"/>
            <w:vAlign w:val="center"/>
          </w:tcPr>
          <w:p>
            <w:pPr>
              <w:pStyle w:val="TableContents"/>
              <w:spacing w:before="0" w:after="283"/>
              <w:jc w:val="right"/>
              <w:rPr/>
            </w:pPr>
            <w:r>
              <w:rPr/>
              <w:t> </w:t>
            </w:r>
          </w:p>
        </w:tc>
        <w:tc>
          <w:tcPr>
            <w:tcW w:w="84" w:type="dxa"/>
            <w:tcBorders/>
            <w:shd w:fill="FFFFFF" w:val="clear"/>
            <w:vAlign w:val="center"/>
          </w:tcPr>
          <w:p>
            <w:pPr>
              <w:pStyle w:val="TableContents"/>
              <w:spacing w:before="0" w:after="283"/>
              <w:rPr/>
            </w:pPr>
            <w:r>
              <w:rPr/>
              <w:t> </w:t>
            </w:r>
          </w:p>
        </w:tc>
      </w:tr>
      <w:tr>
        <w:trPr/>
        <w:tc>
          <w:tcPr>
            <w:tcW w:w="7668"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44" w:type="dxa"/>
            <w:gridSpan w:val="2"/>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9" w:type="dxa"/>
            <w:gridSpan w:val="2"/>
            <w:tcBorders/>
            <w:shd w:fill="CCEEFF" w:val="clear"/>
            <w:vAlign w:val="center"/>
          </w:tcPr>
          <w:p>
            <w:pPr>
              <w:pStyle w:val="TableContents"/>
              <w:spacing w:before="0" w:after="283"/>
              <w:jc w:val="right"/>
              <w:rPr/>
            </w:pPr>
            <w:r>
              <w:rPr/>
              <w:t> </w:t>
            </w:r>
          </w:p>
        </w:tc>
        <w:tc>
          <w:tcPr>
            <w:tcW w:w="84" w:type="dxa"/>
            <w:tcBorders/>
            <w:shd w:fill="CCEEFF" w:val="clear"/>
            <w:vAlign w:val="center"/>
          </w:tcPr>
          <w:p>
            <w:pPr>
              <w:pStyle w:val="TableContents"/>
              <w:spacing w:before="0" w:after="283"/>
              <w:rPr/>
            </w:pPr>
            <w:r>
              <w:rPr/>
              <w:t> </w:t>
            </w:r>
          </w:p>
        </w:tc>
      </w:tr>
      <w:tr>
        <w:trPr/>
        <w:tc>
          <w:tcPr>
            <w:tcW w:w="7668" w:type="dxa"/>
            <w:tcBorders>
              <w:bottom w:val="single" w:sz="2" w:space="0" w:color="000000"/>
            </w:tcBorders>
            <w:shd w:fill="FFFFFF" w:val="clear"/>
            <w:tcMar>
              <w:bottom w:w="28" w:type="dxa"/>
            </w:tcMar>
            <w:vAlign w:val="center"/>
          </w:tcPr>
          <w:p>
            <w:pPr>
              <w:pStyle w:val="TableContents"/>
              <w:spacing w:before="0" w:after="0"/>
              <w:jc w:val="center"/>
              <w:rPr>
                <w:rFonts w:ascii="Times New Roman;Times;serif" w:hAnsi="Times New Roman;Times;serif"/>
                <w:b/>
                <w:sz w:val="20"/>
              </w:rPr>
            </w:pPr>
            <w:r>
              <w:rPr>
                <w:rFonts w:ascii="Times New Roman;Times;serif" w:hAnsi="Times New Roman;Times;serif"/>
                <w:b/>
                <w:sz w:val="20"/>
              </w:rPr>
              <w:t>Bank Acceptance Notes Payable</w:t>
            </w:r>
          </w:p>
        </w:tc>
        <w:tc>
          <w:tcPr>
            <w:tcW w:w="60" w:type="dxa"/>
            <w:tcBorders/>
            <w:shd w:fill="FFFFFF" w:val="clear"/>
            <w:vAlign w:val="center"/>
          </w:tcPr>
          <w:p>
            <w:pPr>
              <w:pStyle w:val="TableContents"/>
              <w:spacing w:before="0" w:after="283"/>
              <w:ind w:left="0" w:right="0" w:hanging="0"/>
              <w:rPr/>
            </w:pPr>
            <w:r>
              <w:rPr/>
              <w:t> </w:t>
            </w:r>
          </w:p>
        </w:tc>
        <w:tc>
          <w:tcPr>
            <w:tcW w:w="1044" w:type="dxa"/>
            <w:gridSpan w:val="2"/>
            <w:tcBorders/>
            <w:shd w:fill="FFFFFF" w:val="clear"/>
            <w:vAlign w:val="center"/>
          </w:tcPr>
          <w:p>
            <w:pPr>
              <w:pStyle w:val="TableContents"/>
              <w:spacing w:before="0" w:after="0"/>
              <w:ind w:left="0" w:right="0" w:hanging="0"/>
              <w:jc w:val="right"/>
              <w:rPr/>
            </w:pPr>
            <w:r>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09" w:type="dxa"/>
            <w:gridSpan w:val="2"/>
            <w:tcBorders/>
            <w:shd w:fill="FFFFFF" w:val="clear"/>
            <w:vAlign w:val="center"/>
          </w:tcPr>
          <w:p>
            <w:pPr>
              <w:pStyle w:val="TableContents"/>
              <w:spacing w:before="0" w:after="0"/>
              <w:ind w:left="0" w:right="0" w:hanging="0"/>
              <w:jc w:val="right"/>
              <w:rPr/>
            </w:pPr>
            <w:r>
              <w:rPr/>
              <w:t>​</w:t>
            </w:r>
          </w:p>
        </w:tc>
        <w:tc>
          <w:tcPr>
            <w:tcW w:w="84" w:type="dxa"/>
            <w:tcBorders/>
            <w:shd w:fill="FFFFFF" w:val="clear"/>
            <w:vAlign w:val="center"/>
          </w:tcPr>
          <w:p>
            <w:pPr>
              <w:pStyle w:val="TableContents"/>
              <w:spacing w:before="0" w:after="283"/>
              <w:rPr/>
            </w:pPr>
            <w:r>
              <w:rPr/>
              <w:t> </w:t>
            </w:r>
          </w:p>
        </w:tc>
      </w:tr>
      <w:tr>
        <w:trPr/>
        <w:tc>
          <w:tcPr>
            <w:tcW w:w="7668" w:type="dxa"/>
            <w:tcBorders/>
            <w:shd w:fill="CCEE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Bank acceptance notes issued to vendors with a zero percent interest rate</w:t>
            </w:r>
          </w:p>
        </w:tc>
        <w:tc>
          <w:tcPr>
            <w:tcW w:w="60" w:type="dxa"/>
            <w:tcBorders/>
            <w:shd w:fill="CCEEFF" w:val="clear"/>
            <w:vAlign w:val="center"/>
          </w:tcPr>
          <w:p>
            <w:pPr>
              <w:pStyle w:val="TableContents"/>
              <w:spacing w:before="0" w:after="283"/>
              <w:ind w:left="0" w:right="0" w:hanging="0"/>
              <w:rPr/>
            </w:pPr>
            <w:r>
              <w:rPr/>
              <w:t> </w:t>
            </w:r>
          </w:p>
        </w:tc>
        <w:tc>
          <w:tcPr>
            <w:tcW w:w="168" w:type="dxa"/>
            <w:tcBorders/>
            <w:shd w:fill="CCEEFF" w:val="cle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876"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19,196</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94" w:type="dxa"/>
            <w:tcBorders/>
            <w:shd w:fill="CCEEFF" w:val="cle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1015"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12,337</w:t>
            </w:r>
          </w:p>
        </w:tc>
        <w:tc>
          <w:tcPr>
            <w:tcW w:w="84" w:type="dxa"/>
            <w:tcBorders/>
            <w:shd w:fill="CCEEFF" w:val="clear"/>
            <w:vAlign w:val="center"/>
          </w:tcPr>
          <w:p>
            <w:pPr>
              <w:pStyle w:val="TableContents"/>
              <w:spacing w:before="0" w:after="283"/>
              <w:rPr/>
            </w:pPr>
            <w:r>
              <w:rPr/>
              <w:t> </w:t>
            </w:r>
          </w:p>
        </w:tc>
      </w:tr>
    </w:tbl>
    <w:p>
      <w:pPr>
        <w:pStyle w:val="TextBody"/>
        <w:spacing w:before="0" w:after="0"/>
        <w:rPr/>
      </w:pPr>
      <w:r>
        <w:rPr/>
        <w:t> </w:t>
      </w:r>
    </w:p>
    <w:p>
      <w:pPr>
        <w:pStyle w:val="TextBody"/>
        <w:spacing w:before="0" w:after="0"/>
        <w:rPr/>
      </w:pPr>
      <w:r>
        <w:rPr/>
        <w:t> </w:t>
      </w:r>
    </w:p>
    <w:p>
      <w:pPr>
        <w:pStyle w:val="TextBody"/>
        <w:spacing w:before="0" w:after="0"/>
        <w:ind w:left="0" w:right="0" w:hanging="0"/>
        <w:jc w:val="left"/>
        <w:rPr/>
      </w:pPr>
      <w:r>
        <w:rPr/>
        <w:t> </w:t>
      </w:r>
    </w:p>
    <w:p>
      <w:pPr>
        <w:pStyle w:val="TextBody"/>
        <w:spacing w:before="0" w:after="0"/>
        <w:ind w:left="0" w:right="0" w:firstLine="720"/>
        <w:jc w:val="left"/>
        <w:rPr/>
      </w:pPr>
      <w:r>
        <w:rPr>
          <w:rFonts w:ascii="Times New Roman;Times;serif" w:hAnsi="Times New Roman;Times;serif"/>
          <w:sz w:val="20"/>
        </w:rPr>
        <w:t xml:space="preserve">The current portion of long-term debt is the amount payable within </w:t>
      </w:r>
      <w:r>
        <w:rPr>
          <w:rStyle w:val="Emphasis"/>
          <w:rFonts w:ascii="Times New Roman;Times;serif" w:hAnsi="Times New Roman;Times;serif"/>
          <w:sz w:val="20"/>
        </w:rPr>
        <w:t>one</w:t>
      </w:r>
      <w:r>
        <w:rPr>
          <w:rFonts w:ascii="Times New Roman;Times;serif" w:hAnsi="Times New Roman;Times;serif"/>
          <w:sz w:val="20"/>
        </w:rPr>
        <w:t xml:space="preserve"> year of the balance sheet date of </w:t>
      </w:r>
      <w:r>
        <w:rPr>
          <w:rStyle w:val="Emphasis"/>
          <w:rFonts w:ascii="Times New Roman;Times;serif" w:hAnsi="Times New Roman;Times;serif"/>
          <w:sz w:val="20"/>
        </w:rPr>
        <w:t>March 31, 2023</w:t>
      </w:r>
      <w:r>
        <w:rPr>
          <w:rFonts w:ascii="Times New Roman;Times;serif" w:hAnsi="Times New Roman;Times;serif"/>
          <w:sz w:val="20"/>
        </w:rPr>
        <w:t>.</w:t>
      </w:r>
    </w:p>
    <w:p>
      <w:pPr>
        <w:pStyle w:val="TextBody"/>
        <w:spacing w:before="0" w:after="0"/>
        <w:ind w:left="0" w:right="0" w:firstLine="720"/>
        <w:jc w:val="left"/>
        <w:rPr/>
      </w:pPr>
      <w:r>
        <w:rPr/>
        <w:t>​</w:t>
      </w:r>
    </w:p>
    <w:p>
      <w:pPr>
        <w:pStyle w:val="TextBody"/>
        <w:spacing w:before="0" w:after="0"/>
        <w:ind w:left="0" w:right="0" w:firstLine="720"/>
        <w:jc w:val="left"/>
        <w:rPr/>
      </w:pPr>
      <w:r>
        <w:rPr>
          <w:rFonts w:ascii="Times New Roman;Times;serif" w:hAnsi="Times New Roman;Times;serif"/>
          <w:sz w:val="20"/>
        </w:rPr>
        <w:t xml:space="preserve">Maturities of long-term debt are as follows for the future </w:t>
      </w:r>
      <w:r>
        <w:rPr>
          <w:rStyle w:val="Emphasis"/>
          <w:rFonts w:ascii="Times New Roman;Times;serif" w:hAnsi="Times New Roman;Times;serif"/>
          <w:sz w:val="20"/>
        </w:rPr>
        <w:t>one</w:t>
      </w:r>
      <w:r>
        <w:rPr>
          <w:rFonts w:ascii="Times New Roman;Times;serif" w:hAnsi="Times New Roman;Times;serif"/>
          <w:sz w:val="20"/>
        </w:rPr>
        <w:t xml:space="preserve">-year periods ending </w:t>
      </w:r>
      <w:r>
        <w:rPr>
          <w:rStyle w:val="Emphasis"/>
          <w:rFonts w:ascii="Times New Roman;Times;serif" w:hAnsi="Times New Roman;Times;serif"/>
          <w:sz w:val="20"/>
        </w:rPr>
        <w:t>March 31,</w:t>
      </w:r>
      <w:r>
        <w:rPr>
          <w:rFonts w:ascii="Times New Roman;Times;serif" w:hAnsi="Times New Roman;Times;serif"/>
          <w:sz w:val="20"/>
        </w:rPr>
        <w:t xml:space="preserve"> (in thousands):</w:t>
      </w:r>
    </w:p>
    <w:p>
      <w:pPr>
        <w:pStyle w:val="TextBody"/>
        <w:spacing w:before="0" w:after="0"/>
        <w:ind w:left="0" w:right="0" w:firstLine="720"/>
        <w:jc w:val="left"/>
        <w:rPr/>
      </w:pPr>
      <w:r>
        <w:rPr/>
        <w:t>​</w:t>
      </w:r>
    </w:p>
    <w:tbl>
      <w:tblPr>
        <w:tblW w:w="2310" w:type="dxa"/>
        <w:jc w:val="left"/>
        <w:tblInd w:w="0" w:type="dxa"/>
        <w:tblCellMar>
          <w:top w:w="0" w:type="dxa"/>
          <w:left w:w="0" w:type="dxa"/>
          <w:bottom w:w="0" w:type="dxa"/>
          <w:right w:w="0" w:type="dxa"/>
        </w:tblCellMar>
      </w:tblPr>
      <w:tblGrid>
        <w:gridCol w:w="1475"/>
        <w:gridCol w:w="60"/>
        <w:gridCol w:w="125"/>
        <w:gridCol w:w="590"/>
        <w:gridCol w:w="60"/>
      </w:tblGrid>
      <w:tr>
        <w:trPr/>
        <w:tc>
          <w:tcPr>
            <w:tcW w:w="1475" w:type="dxa"/>
            <w:tcBorders/>
            <w:shd w:fill="CCEE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Within one year</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50,921</w:t>
            </w:r>
          </w:p>
        </w:tc>
        <w:tc>
          <w:tcPr>
            <w:tcW w:w="60" w:type="dxa"/>
            <w:tcBorders/>
            <w:shd w:fill="CCEEFF" w:val="clear"/>
            <w:vAlign w:val="center"/>
          </w:tcPr>
          <w:p>
            <w:pPr>
              <w:pStyle w:val="TableContents"/>
              <w:spacing w:before="0" w:after="283"/>
              <w:rPr/>
            </w:pPr>
            <w:r>
              <w:rPr/>
              <w:t> </w:t>
            </w:r>
          </w:p>
        </w:tc>
      </w:tr>
      <w:tr>
        <w:trPr/>
        <w:tc>
          <w:tcPr>
            <w:tcW w:w="1475" w:type="dxa"/>
            <w:tcBorders/>
            <w:shd w:fill="FFFF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Beyond one year</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9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spacing w:before="0" w:after="283"/>
              <w:rPr/>
            </w:pPr>
            <w:r>
              <w:rPr/>
              <w:t> </w:t>
            </w:r>
          </w:p>
        </w:tc>
      </w:tr>
      <w:tr>
        <w:trPr/>
        <w:tc>
          <w:tcPr>
            <w:tcW w:w="1475" w:type="dxa"/>
            <w:tcBorders/>
            <w:shd w:fill="CCEE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Total outstanding</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50,921</w:t>
            </w:r>
          </w:p>
        </w:tc>
        <w:tc>
          <w:tcPr>
            <w:tcW w:w="60" w:type="dxa"/>
            <w:tcBorders/>
            <w:shd w:fill="CCEEFF" w:val="clear"/>
            <w:vAlign w:val="center"/>
          </w:tcPr>
          <w:p>
            <w:pPr>
              <w:pStyle w:val="TableContents"/>
              <w:spacing w:before="0" w:after="283"/>
              <w:rPr/>
            </w:pPr>
            <w:r>
              <w:rPr/>
              <w:t> </w:t>
            </w:r>
          </w:p>
        </w:tc>
      </w:tr>
    </w:tbl>
    <w:p>
      <w:pPr>
        <w:pStyle w:val="TextBody"/>
        <w:spacing w:before="0" w:after="0"/>
        <w:ind w:left="0" w:right="0" w:hanging="0"/>
        <w:jc w:val="left"/>
        <w:rPr/>
      </w:pPr>
      <w:r>
        <w:rPr/>
        <w:t>​</w:t>
      </w:r>
    </w:p>
    <w:p>
      <w:pPr>
        <w:pStyle w:val="TextBody"/>
        <w:spacing w:before="0" w:after="0"/>
        <w:ind w:left="0" w:right="0" w:firstLine="720"/>
        <w:jc w:val="left"/>
        <w:rPr/>
      </w:pPr>
      <w:r>
        <w:rPr/>
        <w:t> </w:t>
      </w:r>
    </w:p>
    <w:p>
      <w:pPr>
        <w:pStyle w:val="TextBody"/>
        <w:spacing w:before="0" w:after="0"/>
        <w:ind w:left="160" w:right="0" w:firstLine="720"/>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November 16, 2022, </w:t>
      </w:r>
      <w:r>
        <w:rPr>
          <w:rFonts w:ascii="Times New Roman" w:hAnsi="Times New Roman"/>
          <w:caps w:val="false"/>
          <w:smallCaps w:val="false"/>
          <w:sz w:val="20"/>
        </w:rPr>
        <w:t xml:space="preserve">the Company entered into a Loan Security and Guarantee Agreement (the “Credit Facility”) with CIT Northbridge Credit, LLC, as agent for secured parties. The Credit Facility provides the Company with a three-year, $27.78 million revolving line of credit. Borrowings under the Credit Facility will be used for working capital needs, capital expenditures, and other corporate purposes. The Company's obligations under the Credit Facility are secured by the Company's inventory, accounts receivable, instruments, equipment, intellectual property, and all business assets with the exception of real estate and all foreign assets. Borrowings will bear interest at a rate equal to the Secured Overnight Financing Rate (SOFR) plus 3.75%, while monthly average usage is less than </w:t>
      </w:r>
      <w:r>
        <w:rPr>
          <w:rStyle w:val="Emphasis"/>
          <w:rFonts w:ascii="Times New Roman" w:hAnsi="Times New Roman"/>
          <w:caps w:val="false"/>
          <w:smallCaps w:val="false"/>
          <w:sz w:val="20"/>
        </w:rPr>
        <w:t>50%</w:t>
      </w:r>
      <w:r>
        <w:rPr>
          <w:rFonts w:ascii="Times New Roman" w:hAnsi="Times New Roman"/>
          <w:caps w:val="false"/>
          <w:smallCaps w:val="false"/>
          <w:sz w:val="20"/>
        </w:rPr>
        <w:t xml:space="preserve"> of the Credit Facility, otherwise SOFR plus 4.75%. The Credit Facility will become due at the earlier date of either </w:t>
      </w:r>
      <w:r>
        <w:rPr>
          <w:rStyle w:val="Emphasis"/>
          <w:rFonts w:ascii="Times New Roman" w:hAnsi="Times New Roman"/>
          <w:caps w:val="false"/>
          <w:smallCaps w:val="false"/>
          <w:sz w:val="20"/>
        </w:rPr>
        <w:t xml:space="preserve">November 16, 2025 </w:t>
      </w:r>
      <w:r>
        <w:rPr>
          <w:rFonts w:ascii="Times New Roman" w:hAnsi="Times New Roman"/>
          <w:caps w:val="false"/>
          <w:smallCaps w:val="false"/>
          <w:sz w:val="20"/>
        </w:rPr>
        <w:t xml:space="preserve">or </w:t>
      </w:r>
      <w:r>
        <w:rPr>
          <w:rStyle w:val="Emphasis"/>
          <w:rFonts w:ascii="Times New Roman" w:hAnsi="Times New Roman"/>
          <w:caps w:val="false"/>
          <w:smallCaps w:val="false"/>
          <w:sz w:val="20"/>
        </w:rPr>
        <w:t>91</w:t>
      </w:r>
      <w:r>
        <w:rPr>
          <w:rFonts w:ascii="Times New Roman" w:hAnsi="Times New Roman"/>
          <w:caps w:val="false"/>
          <w:smallCaps w:val="false"/>
          <w:sz w:val="20"/>
        </w:rPr>
        <w:t xml:space="preserve"> days prior to the maturity of the Convertible Notes. As of </w:t>
      </w:r>
      <w:r>
        <w:rPr>
          <w:rStyle w:val="Emphasis"/>
          <w:rFonts w:ascii="Times New Roman" w:hAnsi="Times New Roman"/>
          <w:caps w:val="false"/>
          <w:smallCaps w:val="false"/>
          <w:sz w:val="20"/>
        </w:rPr>
        <w:t>March 31, 2023</w:t>
      </w:r>
      <w:r>
        <w:rPr>
          <w:rFonts w:ascii="Times New Roman" w:hAnsi="Times New Roman"/>
          <w:caps w:val="false"/>
          <w:smallCaps w:val="false"/>
          <w:sz w:val="20"/>
        </w:rPr>
        <w:t>, $20.5 million was outstanding under the Credit Facility.</w:t>
      </w:r>
    </w:p>
    <w:p>
      <w:pPr>
        <w:pStyle w:val="TextBody"/>
        <w:spacing w:before="0" w:after="0"/>
        <w:ind w:left="0" w:right="0" w:hanging="0"/>
        <w:jc w:val="left"/>
        <w:rPr/>
      </w:pPr>
      <w:r>
        <w:rPr/>
        <w:t> </w:t>
      </w:r>
    </w:p>
    <w:p>
      <w:pPr>
        <w:pStyle w:val="TextBody"/>
        <w:spacing w:before="0" w:after="0"/>
        <w:ind w:left="160" w:right="0" w:firstLine="720"/>
        <w:rPr>
          <w:caps w:val="false"/>
          <w:smallCaps w:val="false"/>
        </w:rPr>
      </w:pPr>
      <w:r>
        <w:rPr>
          <w:caps w:val="false"/>
          <w:smallCaps w:val="false"/>
        </w:rPr>
        <w:t> </w:t>
      </w:r>
    </w:p>
    <w:p>
      <w:pPr>
        <w:pStyle w:val="TextBody"/>
        <w:spacing w:before="0" w:after="0"/>
        <w:ind w:left="0" w:right="0" w:firstLine="720"/>
        <w:rPr/>
      </w:pPr>
      <w:r>
        <w:rPr/>
        <w:t> </w:t>
      </w:r>
    </w:p>
    <w:p>
      <w:pPr>
        <w:pStyle w:val="TextBody"/>
        <w:spacing w:before="0" w:after="0"/>
        <w:ind w:left="0" w:right="0" w:firstLine="720"/>
        <w:jc w:val="left"/>
        <w:rPr/>
      </w:pPr>
      <w:r>
        <w:rPr/>
        <w:t> </w:t>
      </w:r>
    </w:p>
    <w:p>
      <w:pPr>
        <w:pStyle w:val="TextBody"/>
        <w:spacing w:before="0" w:after="0"/>
        <w:jc w:val="center"/>
        <w:rPr/>
      </w:pPr>
      <w:r>
        <w:rPr>
          <w:rStyle w:val="Emphasis"/>
          <w:rFonts w:ascii="Times New Roman" w:hAnsi="Times New Roman"/>
          <w:sz w:val="20"/>
        </w:rPr>
        <w:t>15</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160" w:right="0" w:firstLine="720"/>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May 24, 2019, </w:t>
      </w:r>
      <w:r>
        <w:rPr>
          <w:rFonts w:ascii="Times New Roman" w:hAnsi="Times New Roman"/>
          <w:caps w:val="false"/>
          <w:smallCaps w:val="false"/>
          <w:sz w:val="20"/>
        </w:rPr>
        <w:t xml:space="preserve">the Company’s China subsidiary, Global, entered into a five-year revolving credit line agreement, totaling 180,000,000 RMB (the “SPD Credit Line”), or approximately $25.4 million at that time, and a mortgage security agreement (the “Security Agreement”), with Shanghai Pudong Development Bank Co., Ltd ("SPD"). Borrowing under the SPD Credit Line will be used for general corporate and capital investment purposes, including the issuance of bank acceptance notes to Global’s vendors. Global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draw upon the SPD Credit Line on an as-needed basis at any time during the </w:t>
      </w:r>
      <w:r>
        <w:rPr>
          <w:rStyle w:val="Emphasis"/>
          <w:rFonts w:ascii="Times New Roman" w:hAnsi="Times New Roman"/>
          <w:caps w:val="false"/>
          <w:smallCaps w:val="false"/>
          <w:sz w:val="20"/>
        </w:rPr>
        <w:t>5</w:t>
      </w:r>
      <w:r>
        <w:rPr>
          <w:rFonts w:ascii="Times New Roman" w:hAnsi="Times New Roman"/>
          <w:caps w:val="false"/>
          <w:smallCaps w:val="false"/>
          <w:sz w:val="20"/>
        </w:rPr>
        <w:t xml:space="preserve">-year term; however, draws under the SPD Credit Line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become due and repayable to SPD at SPD’s discretion due to changes in Chinese government regulations and/or changes in Global’s financial and operational condition. Each draw will bear interest equal to SPD’s commercial banking interest rate effective on the day of the applicable draw. Global’s obligations under the SPD Credit Line will be secured by real property owned by Global and mortgaged to the Bank under the terms of the Security Agreement. As of </w:t>
      </w:r>
      <w:r>
        <w:rPr>
          <w:rStyle w:val="Emphasis"/>
          <w:rFonts w:ascii="Times New Roman" w:hAnsi="Times New Roman"/>
          <w:caps w:val="false"/>
          <w:smallCaps w:val="false"/>
          <w:sz w:val="20"/>
        </w:rPr>
        <w:t>March 31, 2023</w:t>
      </w:r>
      <w:r>
        <w:rPr>
          <w:rFonts w:ascii="Times New Roman" w:hAnsi="Times New Roman"/>
          <w:caps w:val="false"/>
          <w:smallCaps w:val="false"/>
          <w:sz w:val="20"/>
        </w:rPr>
        <w:t>, $12.9 million was outstanding under the SPD Credit Line and the outstanding balance of bank acceptance notes issued to vendors was $14.0 million.</w:t>
      </w:r>
    </w:p>
    <w:p>
      <w:pPr>
        <w:pStyle w:val="TextBody"/>
        <w:spacing w:before="0" w:after="0"/>
        <w:ind w:left="0" w:right="0" w:hanging="0"/>
        <w:rPr/>
      </w:pPr>
      <w:r>
        <w:rPr/>
        <w:t> </w:t>
      </w:r>
    </w:p>
    <w:p>
      <w:pPr>
        <w:pStyle w:val="TextBody"/>
        <w:spacing w:before="0" w:after="0"/>
        <w:ind w:left="160" w:right="0" w:firstLine="720"/>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June 7, 2022, </w:t>
      </w:r>
      <w:r>
        <w:rPr>
          <w:rFonts w:ascii="Times New Roman" w:hAnsi="Times New Roman"/>
          <w:caps w:val="false"/>
          <w:smallCaps w:val="false"/>
          <w:sz w:val="20"/>
        </w:rPr>
        <w:t xml:space="preserve">the Company's China Subsidiary, Global, entered a security agreement with China Zheshang Bank in Ningbo City, China ("CZB") for a five-year credit line agreement, totaling 200,000,000 RMB (the </w:t>
      </w:r>
      <w:r>
        <w:rPr>
          <w:rStyle w:val="Emphasis"/>
          <w:rFonts w:ascii="Times New Roman" w:hAnsi="Times New Roman"/>
          <w:caps w:val="false"/>
          <w:smallCaps w:val="false"/>
          <w:sz w:val="20"/>
        </w:rPr>
        <w:t>"¥200M</w:t>
      </w:r>
      <w:r>
        <w:rPr>
          <w:rFonts w:ascii="Times New Roman" w:hAnsi="Times New Roman"/>
          <w:caps w:val="false"/>
          <w:smallCaps w:val="false"/>
          <w:sz w:val="20"/>
        </w:rPr>
        <w:t xml:space="preserve"> Credit Facility"), or approximately $29.9 million at that time. Global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draw upon the </w:t>
      </w:r>
      <w:r>
        <w:rPr>
          <w:rStyle w:val="Emphasis"/>
          <w:rFonts w:ascii="Times New Roman" w:hAnsi="Times New Roman"/>
          <w:caps w:val="false"/>
          <w:smallCaps w:val="false"/>
          <w:sz w:val="20"/>
        </w:rPr>
        <w:t>¥200M</w:t>
      </w:r>
      <w:r>
        <w:rPr>
          <w:rFonts w:ascii="Times New Roman" w:hAnsi="Times New Roman"/>
          <w:caps w:val="false"/>
          <w:smallCaps w:val="false"/>
          <w:sz w:val="20"/>
        </w:rPr>
        <w:t xml:space="preserve"> Credit Facility between </w:t>
      </w:r>
      <w:r>
        <w:rPr>
          <w:rStyle w:val="Emphasis"/>
          <w:rFonts w:ascii="Times New Roman" w:hAnsi="Times New Roman"/>
          <w:caps w:val="false"/>
          <w:smallCaps w:val="false"/>
          <w:sz w:val="20"/>
        </w:rPr>
        <w:t xml:space="preserve">June 7, 2022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June 6, 2027 (" ¥200M</w:t>
      </w:r>
      <w:r>
        <w:rPr>
          <w:rFonts w:ascii="Times New Roman" w:hAnsi="Times New Roman"/>
          <w:caps w:val="false"/>
          <w:smallCaps w:val="false"/>
          <w:sz w:val="20"/>
        </w:rPr>
        <w:t xml:space="preserve"> Credit Period"). During the </w:t>
      </w:r>
      <w:r>
        <w:rPr>
          <w:rStyle w:val="Emphasis"/>
          <w:rFonts w:ascii="Times New Roman" w:hAnsi="Times New Roman"/>
          <w:caps w:val="false"/>
          <w:smallCaps w:val="false"/>
          <w:sz w:val="20"/>
        </w:rPr>
        <w:t>¥200M</w:t>
      </w:r>
      <w:r>
        <w:rPr>
          <w:rFonts w:ascii="Times New Roman" w:hAnsi="Times New Roman"/>
          <w:caps w:val="false"/>
          <w:smallCaps w:val="false"/>
          <w:sz w:val="20"/>
        </w:rPr>
        <w:t xml:space="preserve"> Credit Period, Global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request to draw upon the </w:t>
      </w:r>
      <w:r>
        <w:rPr>
          <w:rStyle w:val="Emphasis"/>
          <w:rFonts w:ascii="Times New Roman" w:hAnsi="Times New Roman"/>
          <w:caps w:val="false"/>
          <w:smallCaps w:val="false"/>
          <w:sz w:val="20"/>
        </w:rPr>
        <w:t>¥200M</w:t>
      </w:r>
      <w:r>
        <w:rPr>
          <w:rFonts w:ascii="Times New Roman" w:hAnsi="Times New Roman"/>
          <w:caps w:val="false"/>
          <w:smallCaps w:val="false"/>
          <w:sz w:val="20"/>
        </w:rPr>
        <w:t xml:space="preserve"> Credit Facility on an as-needed basis; however, draws under the </w:t>
      </w:r>
      <w:r>
        <w:rPr>
          <w:rStyle w:val="Emphasis"/>
          <w:rFonts w:ascii="Times New Roman" w:hAnsi="Times New Roman"/>
          <w:caps w:val="false"/>
          <w:smallCaps w:val="false"/>
          <w:sz w:val="20"/>
        </w:rPr>
        <w:t>¥200M</w:t>
      </w:r>
      <w:r>
        <w:rPr>
          <w:rFonts w:ascii="Times New Roman" w:hAnsi="Times New Roman"/>
          <w:caps w:val="false"/>
          <w:smallCaps w:val="false"/>
          <w:sz w:val="20"/>
        </w:rPr>
        <w:t xml:space="preserve"> Credit Facility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become due and repayable to CZB at CZB’s discretion due to changes in Chinese government regulations and/or changes in Global’s financial and operational condition. Each draw will be facilitated by a separate credit agreement specifying the terms of each draw and will bear interest equal to CZB's commercial banking interest rate effective on the day of the applicable draw. Global’s obligations under the </w:t>
      </w:r>
      <w:r>
        <w:rPr>
          <w:rStyle w:val="Emphasis"/>
          <w:rFonts w:ascii="Times New Roman" w:hAnsi="Times New Roman"/>
          <w:caps w:val="false"/>
          <w:smallCaps w:val="false"/>
          <w:sz w:val="20"/>
        </w:rPr>
        <w:t>¥200M</w:t>
      </w:r>
      <w:r>
        <w:rPr>
          <w:rFonts w:ascii="Times New Roman" w:hAnsi="Times New Roman"/>
          <w:caps w:val="false"/>
          <w:smallCaps w:val="false"/>
          <w:sz w:val="20"/>
        </w:rPr>
        <w:t xml:space="preserve"> Credit Facility will be secured by real property owned by Global and mortgaged to CZB under the terms of the Real Estate Security Agreement. As of </w:t>
      </w:r>
      <w:r>
        <w:rPr>
          <w:rStyle w:val="Emphasis"/>
          <w:rFonts w:ascii="Times New Roman" w:hAnsi="Times New Roman"/>
          <w:caps w:val="false"/>
          <w:smallCaps w:val="false"/>
          <w:sz w:val="20"/>
        </w:rPr>
        <w:t>March 31, 2023</w:t>
      </w:r>
      <w:r>
        <w:rPr>
          <w:rFonts w:ascii="Times New Roman" w:hAnsi="Times New Roman"/>
          <w:caps w:val="false"/>
          <w:smallCaps w:val="false"/>
          <w:sz w:val="20"/>
        </w:rPr>
        <w:t xml:space="preserve">, $17.8 million was outstanding under the </w:t>
      </w:r>
      <w:r>
        <w:rPr>
          <w:rStyle w:val="Emphasis"/>
          <w:rFonts w:ascii="Times New Roman" w:hAnsi="Times New Roman"/>
          <w:caps w:val="false"/>
          <w:smallCaps w:val="false"/>
          <w:sz w:val="20"/>
        </w:rPr>
        <w:t>¥200M</w:t>
      </w:r>
      <w:r>
        <w:rPr>
          <w:rFonts w:ascii="Times New Roman" w:hAnsi="Times New Roman"/>
          <w:caps w:val="false"/>
          <w:smallCaps w:val="false"/>
          <w:sz w:val="20"/>
        </w:rPr>
        <w:t xml:space="preserve"> Credit Facility and the outstanding balance of bank acceptance notes issued to vendors was $5.2 million.</w:t>
      </w:r>
    </w:p>
    <w:p>
      <w:pPr>
        <w:pStyle w:val="TextBody"/>
        <w:spacing w:before="0" w:after="0"/>
        <w:ind w:left="0" w:right="0" w:firstLine="720"/>
        <w:jc w:val="left"/>
        <w:rPr/>
      </w:pPr>
      <w:r>
        <w:rPr/>
        <w:t> </w:t>
      </w:r>
    </w:p>
    <w:p>
      <w:pPr>
        <w:pStyle w:val="TextBody"/>
        <w:spacing w:before="0" w:after="0"/>
        <w:ind w:left="0" w:right="0" w:firstLine="720"/>
        <w:jc w:val="left"/>
        <w:rPr/>
      </w:pPr>
      <w:r>
        <w:rPr>
          <w:rFonts w:ascii="Times New Roman;Times;serif" w:hAnsi="Times New Roman;Times;serif"/>
          <w:sz w:val="20"/>
          <w:highlight w:val="white"/>
        </w:rPr>
        <w:t xml:space="preserve">As of </w:t>
      </w:r>
      <w:r>
        <w:rPr>
          <w:rStyle w:val="Emphasis"/>
          <w:rFonts w:ascii="Times New Roman;Times;serif" w:hAnsi="Times New Roman;Times;serif"/>
          <w:sz w:val="20"/>
        </w:rPr>
        <w:t>March 31, 2023</w:t>
      </w:r>
      <w:r>
        <w:rPr>
          <w:rFonts w:ascii="Times New Roman;Times;serif" w:hAnsi="Times New Roman;Times;serif"/>
          <w:sz w:val="20"/>
          <w:highlight w:val="white"/>
        </w:rPr>
        <w:t xml:space="preserve"> and </w:t>
      </w:r>
      <w:r>
        <w:rPr>
          <w:rStyle w:val="Emphasis"/>
          <w:rFonts w:ascii="Times New Roman;Times;serif" w:hAnsi="Times New Roman;Times;serif"/>
          <w:sz w:val="20"/>
        </w:rPr>
        <w:t>December 31, 2022</w:t>
      </w:r>
      <w:r>
        <w:rPr>
          <w:rFonts w:ascii="Times New Roman;Times;serif" w:hAnsi="Times New Roman;Times;serif"/>
          <w:sz w:val="20"/>
          <w:highlight w:val="white"/>
        </w:rPr>
        <w:t>, the Company had $</w:t>
      </w:r>
      <w:r>
        <w:rPr>
          <w:rFonts w:ascii="Times New Roman;Times;serif" w:hAnsi="Times New Roman;Times;serif"/>
          <w:sz w:val="20"/>
        </w:rPr>
        <w:t>19.4 million and $13.3 </w:t>
      </w:r>
      <w:r>
        <w:rPr>
          <w:rFonts w:ascii="Times New Roman;Times;serif" w:hAnsi="Times New Roman;Times;serif"/>
          <w:sz w:val="20"/>
          <w:highlight w:val="white"/>
        </w:rPr>
        <w:t>million of unused borrowing capacity, respectively.</w:t>
      </w:r>
    </w:p>
    <w:p>
      <w:pPr>
        <w:pStyle w:val="TextBody"/>
        <w:spacing w:before="0" w:after="0"/>
        <w:ind w:left="0" w:right="0" w:firstLine="720"/>
        <w:jc w:val="left"/>
        <w:rPr/>
      </w:pPr>
      <w:r>
        <w:rPr/>
        <w:t> </w:t>
      </w:r>
    </w:p>
    <w:p>
      <w:pPr>
        <w:pStyle w:val="TextBody"/>
        <w:spacing w:before="0" w:after="0"/>
        <w:ind w:left="0" w:right="0" w:firstLine="720"/>
        <w:jc w:val="left"/>
        <w:rPr/>
      </w:pPr>
      <w:r>
        <w:rPr>
          <w:rFonts w:ascii="Times New Roman;Times;serif" w:hAnsi="Times New Roman;Times;serif"/>
          <w:sz w:val="20"/>
        </w:rPr>
        <w:t xml:space="preserve">As of </w:t>
      </w:r>
      <w:r>
        <w:rPr>
          <w:rStyle w:val="Emphasis"/>
          <w:rFonts w:ascii="Times New Roman;Times;serif" w:hAnsi="Times New Roman;Times;serif"/>
          <w:sz w:val="20"/>
        </w:rPr>
        <w:t>March 31, 2023</w:t>
      </w:r>
      <w:r>
        <w:rPr>
          <w:rFonts w:ascii="Times New Roman;Times;serif" w:hAnsi="Times New Roman;Times;serif"/>
          <w:sz w:val="20"/>
        </w:rPr>
        <w:t xml:space="preserve"> and </w:t>
      </w:r>
      <w:r>
        <w:rPr>
          <w:rStyle w:val="Emphasis"/>
          <w:rFonts w:ascii="Times New Roman;Times;serif" w:hAnsi="Times New Roman;Times;serif"/>
          <w:sz w:val="20"/>
        </w:rPr>
        <w:t>December 31, 2022</w:t>
      </w:r>
      <w:r>
        <w:rPr>
          <w:rFonts w:ascii="Times New Roman;Times;serif" w:hAnsi="Times New Roman;Times;serif"/>
          <w:sz w:val="20"/>
        </w:rPr>
        <w:t xml:space="preserve">, there </w:t>
      </w:r>
      <w:r>
        <w:rPr>
          <w:rFonts w:ascii="Times New Roman;Times;serif" w:hAnsi="Times New Roman;Times;serif"/>
          <w:sz w:val="20"/>
          <w:highlight w:val="white"/>
        </w:rPr>
        <w:t>was $9.4 million and $9.9 million of restricted cash, investme</w:t>
      </w:r>
      <w:r>
        <w:rPr>
          <w:rFonts w:ascii="Times New Roman;Times;serif" w:hAnsi="Times New Roman;Times;serif"/>
          <w:sz w:val="20"/>
        </w:rPr>
        <w:t>nts or security deposits associated with the loan facilities, respectively.</w:t>
      </w:r>
    </w:p>
    <w:p>
      <w:pPr>
        <w:pStyle w:val="TextBody"/>
        <w:spacing w:before="0" w:after="0"/>
        <w:ind w:left="0" w:right="0" w:firstLine="720"/>
        <w:jc w:val="left"/>
        <w:rPr/>
      </w:pPr>
      <w:r>
        <w:rPr/>
        <w:t>​</w:t>
      </w:r>
    </w:p>
    <w:p>
      <w:pPr>
        <w:pStyle w:val="TextBody"/>
        <w:spacing w:before="0" w:after="0"/>
        <w:jc w:val="center"/>
        <w:rPr/>
      </w:pPr>
      <w:r>
        <w:rPr>
          <w:rStyle w:val="Emphasis"/>
          <w:rFonts w:ascii="Times New Roman" w:hAnsi="Times New Roman"/>
          <w:sz w:val="20"/>
        </w:rPr>
        <w:t>16</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rPr/>
      </w:pPr>
      <w:r>
        <w:rPr/>
        <w:t xml:space="preserve">  </w:t>
      </w:r>
    </w:p>
    <w:p>
      <w:pPr>
        <w:pStyle w:val="TextBody"/>
        <w:rPr/>
      </w:pPr>
      <w:r>
        <w:rPr/>
        <w:t xml:space="preserve">  </w:t>
      </w:r>
    </w:p>
    <w:p>
      <w:pPr>
        <w:pStyle w:val="TextBody"/>
        <w:spacing w:before="0" w:after="0"/>
        <w:ind w:left="0" w:right="0" w:hanging="0"/>
        <w:jc w:val="left"/>
        <w:rPr/>
      </w:pPr>
      <w:r>
        <w:rPr>
          <w:rFonts w:ascii="Times New Roman" w:hAnsi="Times New Roman"/>
          <w:b/>
          <w:sz w:val="20"/>
        </w:rPr>
        <w:t xml:space="preserve">Note </w:t>
      </w:r>
      <w:r>
        <w:rPr>
          <w:rStyle w:val="Emphasis"/>
          <w:rFonts w:ascii="Times New Roman" w:hAnsi="Times New Roman"/>
          <w:b/>
          <w:sz w:val="20"/>
        </w:rPr>
        <w:t>12.</w:t>
      </w:r>
      <w:r>
        <w:rPr>
          <w:rFonts w:ascii="Times New Roman" w:hAnsi="Times New Roman"/>
          <w:b/>
          <w:sz w:val="20"/>
        </w:rPr>
        <w:t>  Convertible Senior Notes</w:t>
      </w:r>
    </w:p>
    <w:p>
      <w:pPr>
        <w:pStyle w:val="TextBody"/>
        <w:spacing w:before="0" w:after="0"/>
        <w:ind w:left="0" w:right="0" w:hanging="0"/>
        <w:jc w:val="left"/>
        <w:rPr/>
      </w:pPr>
      <w:r>
        <w:rPr/>
        <w:t>​</w:t>
      </w:r>
    </w:p>
    <w:p>
      <w:pPr>
        <w:pStyle w:val="TextBody"/>
        <w:spacing w:before="0" w:after="0"/>
        <w:ind w:left="0" w:right="0" w:firstLine="720"/>
        <w:jc w:val="left"/>
        <w:rPr/>
      </w:pPr>
      <w:r>
        <w:rPr>
          <w:rFonts w:ascii="Times New Roman" w:hAnsi="Times New Roman"/>
          <w:sz w:val="20"/>
        </w:rPr>
        <w:t xml:space="preserve">On </w:t>
      </w:r>
      <w:r>
        <w:rPr>
          <w:rStyle w:val="Emphasis"/>
          <w:rFonts w:ascii="Times New Roman" w:hAnsi="Times New Roman"/>
          <w:sz w:val="20"/>
        </w:rPr>
        <w:t xml:space="preserve">March 5, 2019, </w:t>
      </w:r>
      <w:r>
        <w:rPr>
          <w:rFonts w:ascii="Times New Roman" w:hAnsi="Times New Roman"/>
          <w:sz w:val="20"/>
        </w:rPr>
        <w:t xml:space="preserve">the Company issued $80.5 million of 5% convertible senior notes due </w:t>
      </w:r>
      <w:r>
        <w:rPr>
          <w:rStyle w:val="Emphasis"/>
          <w:rFonts w:ascii="Times New Roman" w:hAnsi="Times New Roman"/>
          <w:sz w:val="20"/>
        </w:rPr>
        <w:t>2024</w:t>
      </w:r>
      <w:r>
        <w:rPr>
          <w:rFonts w:ascii="Times New Roman" w:hAnsi="Times New Roman"/>
          <w:sz w:val="20"/>
        </w:rPr>
        <w:t xml:space="preserve"> (the “Notes”). The Notes were issued pursuant to an indenture, dated as of </w:t>
      </w:r>
      <w:r>
        <w:rPr>
          <w:rStyle w:val="Emphasis"/>
          <w:rFonts w:ascii="Times New Roman" w:hAnsi="Times New Roman"/>
          <w:sz w:val="20"/>
        </w:rPr>
        <w:t>March 5,</w:t>
      </w:r>
      <w:r>
        <w:rPr>
          <w:rFonts w:ascii="Times New Roman" w:hAnsi="Times New Roman"/>
          <w:sz w:val="20"/>
        </w:rPr>
        <w:t xml:space="preserve"> </w:t>
      </w:r>
      <w:r>
        <w:rPr>
          <w:rStyle w:val="Emphasis"/>
          <w:rFonts w:ascii="Times New Roman" w:hAnsi="Times New Roman"/>
          <w:sz w:val="20"/>
        </w:rPr>
        <w:t>2019</w:t>
      </w:r>
      <w:r>
        <w:rPr>
          <w:rFonts w:ascii="Times New Roman" w:hAnsi="Times New Roman"/>
          <w:sz w:val="20"/>
        </w:rPr>
        <w:t xml:space="preserve"> (the “Indenture”), between the Company and Wells Fargo Bank, National Association, as trustee, paying agent, and conversion agent (the “Trustee”). The Notes bear interest at a rate of </w:t>
      </w:r>
      <w:r>
        <w:rPr>
          <w:rStyle w:val="Emphasis"/>
          <w:rFonts w:ascii="Times New Roman" w:hAnsi="Times New Roman"/>
          <w:sz w:val="20"/>
        </w:rPr>
        <w:t>5.00%</w:t>
      </w:r>
      <w:r>
        <w:rPr>
          <w:rFonts w:ascii="Times New Roman" w:hAnsi="Times New Roman"/>
          <w:sz w:val="20"/>
        </w:rPr>
        <w:t xml:space="preserve"> per year, payable in cash semi-annually in arrears on </w:t>
      </w:r>
      <w:r>
        <w:rPr>
          <w:rStyle w:val="Emphasis"/>
          <w:rFonts w:ascii="Times New Roman" w:hAnsi="Times New Roman"/>
          <w:sz w:val="20"/>
        </w:rPr>
        <w:t>March 15</w:t>
      </w:r>
      <w:r>
        <w:rPr>
          <w:rFonts w:ascii="Times New Roman" w:hAnsi="Times New Roman"/>
          <w:sz w:val="20"/>
        </w:rPr>
        <w:t xml:space="preserve"> and </w:t>
      </w:r>
      <w:r>
        <w:rPr>
          <w:rStyle w:val="Emphasis"/>
          <w:rFonts w:ascii="Times New Roman" w:hAnsi="Times New Roman"/>
          <w:sz w:val="20"/>
        </w:rPr>
        <w:t>September 15</w:t>
      </w:r>
      <w:r>
        <w:rPr>
          <w:rFonts w:ascii="Times New Roman" w:hAnsi="Times New Roman"/>
          <w:sz w:val="20"/>
        </w:rPr>
        <w:t xml:space="preserve"> of each year, beginning on </w:t>
      </w:r>
      <w:r>
        <w:rPr>
          <w:rStyle w:val="Emphasis"/>
          <w:rFonts w:ascii="Times New Roman" w:hAnsi="Times New Roman"/>
          <w:sz w:val="20"/>
        </w:rPr>
        <w:t>September 15,</w:t>
      </w:r>
      <w:r>
        <w:rPr>
          <w:rFonts w:ascii="Times New Roman" w:hAnsi="Times New Roman"/>
          <w:sz w:val="20"/>
        </w:rPr>
        <w:t xml:space="preserve"> </w:t>
      </w:r>
      <w:r>
        <w:rPr>
          <w:rStyle w:val="Emphasis"/>
          <w:rFonts w:ascii="Times New Roman" w:hAnsi="Times New Roman"/>
          <w:sz w:val="20"/>
        </w:rPr>
        <w:t>2019.</w:t>
      </w:r>
      <w:r>
        <w:rPr>
          <w:rFonts w:ascii="Times New Roman" w:hAnsi="Times New Roman"/>
          <w:sz w:val="20"/>
        </w:rPr>
        <w:t xml:space="preserve"> The Notes will mature on </w:t>
      </w:r>
      <w:r>
        <w:rPr>
          <w:rStyle w:val="Emphasis"/>
          <w:rFonts w:ascii="Times New Roman" w:hAnsi="Times New Roman"/>
          <w:sz w:val="20"/>
        </w:rPr>
        <w:t>March 15,</w:t>
      </w:r>
      <w:r>
        <w:rPr>
          <w:rFonts w:ascii="Times New Roman" w:hAnsi="Times New Roman"/>
          <w:sz w:val="20"/>
        </w:rPr>
        <w:t xml:space="preserve"> </w:t>
      </w:r>
      <w:r>
        <w:rPr>
          <w:rStyle w:val="Emphasis"/>
          <w:rFonts w:ascii="Times New Roman" w:hAnsi="Times New Roman"/>
          <w:sz w:val="20"/>
        </w:rPr>
        <w:t>2024,</w:t>
      </w:r>
      <w:r>
        <w:rPr>
          <w:rFonts w:ascii="Times New Roman" w:hAnsi="Times New Roman"/>
          <w:sz w:val="20"/>
        </w:rPr>
        <w:t xml:space="preserve"> unless earlier repurchased, redeemed or converted in accordance with their terms.</w:t>
      </w:r>
    </w:p>
    <w:p>
      <w:pPr>
        <w:pStyle w:val="TextBody"/>
        <w:spacing w:before="0" w:after="0"/>
        <w:ind w:left="0" w:right="0" w:firstLine="720"/>
        <w:jc w:val="left"/>
        <w:rPr/>
      </w:pPr>
      <w:r>
        <w:rPr/>
        <w:t>​</w:t>
      </w:r>
    </w:p>
    <w:p>
      <w:pPr>
        <w:pStyle w:val="TextBody"/>
        <w:spacing w:before="0" w:after="0"/>
        <w:ind w:left="0" w:right="0" w:firstLine="720"/>
        <w:jc w:val="left"/>
        <w:rPr>
          <w:rFonts w:ascii="Times New Roman" w:hAnsi="Times New Roman"/>
          <w:sz w:val="20"/>
        </w:rPr>
      </w:pPr>
      <w:r>
        <w:rPr>
          <w:rFonts w:ascii="Times New Roman" w:hAnsi="Times New Roman"/>
          <w:sz w:val="20"/>
        </w:rPr>
        <w:t>The sale of the Notes generated net proceeds of $76.4 million, after deducting the Initial Purchasers’ discounts and offering expenses payable by the Company. The Company used approximately $37.8 million of the net proceeds from the offering to fully repay the CapEx Loan and Term Loan with Truist Bank and the remainder will be used for general corporate purposes.</w:t>
      </w:r>
    </w:p>
    <w:p>
      <w:pPr>
        <w:pStyle w:val="TextBody"/>
        <w:spacing w:before="0" w:after="0"/>
        <w:ind w:left="0" w:right="0" w:firstLine="720"/>
        <w:jc w:val="left"/>
        <w:rPr/>
      </w:pPr>
      <w:r>
        <w:rPr/>
        <w:t>​</w:t>
      </w:r>
    </w:p>
    <w:p>
      <w:pPr>
        <w:pStyle w:val="TextBody"/>
        <w:spacing w:before="0" w:after="0"/>
        <w:ind w:left="0" w:right="0" w:firstLine="720"/>
        <w:jc w:val="left"/>
        <w:rPr>
          <w:rFonts w:ascii="Times New Roman" w:hAnsi="Times New Roman"/>
          <w:sz w:val="20"/>
        </w:rPr>
      </w:pPr>
      <w:r>
        <w:rPr>
          <w:rFonts w:ascii="Times New Roman" w:hAnsi="Times New Roman"/>
          <w:sz w:val="20"/>
        </w:rPr>
        <w:t>The following table presents the carrying value of the Notes for the periods indicated (in thousands):</w:t>
      </w:r>
    </w:p>
    <w:p>
      <w:pPr>
        <w:pStyle w:val="TextBody"/>
        <w:spacing w:before="0" w:after="0"/>
        <w:ind w:left="0" w:right="0" w:firstLine="941"/>
        <w:jc w:val="left"/>
        <w:rPr/>
      </w:pPr>
      <w:r>
        <w:rPr/>
        <w:t>​</w:t>
      </w:r>
    </w:p>
    <w:tbl>
      <w:tblPr>
        <w:tblW w:w="4988" w:type="dxa"/>
        <w:jc w:val="left"/>
        <w:tblInd w:w="0" w:type="dxa"/>
        <w:tblCellMar>
          <w:top w:w="0" w:type="dxa"/>
          <w:left w:w="0" w:type="dxa"/>
          <w:bottom w:w="0" w:type="dxa"/>
          <w:right w:w="0" w:type="dxa"/>
        </w:tblCellMar>
      </w:tblPr>
      <w:tblGrid>
        <w:gridCol w:w="2675"/>
        <w:gridCol w:w="60"/>
        <w:gridCol w:w="152"/>
        <w:gridCol w:w="722"/>
        <w:gridCol w:w="80"/>
        <w:gridCol w:w="60"/>
        <w:gridCol w:w="199"/>
        <w:gridCol w:w="945"/>
        <w:gridCol w:w="95"/>
      </w:tblGrid>
      <w:tr>
        <w:trPr/>
        <w:tc>
          <w:tcPr>
            <w:tcW w:w="267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74"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sz w:val="20"/>
              </w:rPr>
              <w:t>March 31,</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44"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sz w:val="20"/>
              </w:rPr>
              <w:t>December 31,</w:t>
            </w:r>
          </w:p>
        </w:tc>
        <w:tc>
          <w:tcPr>
            <w:tcW w:w="95" w:type="dxa"/>
            <w:tcBorders/>
            <w:shd w:fill="FFFFFF" w:val="clear"/>
            <w:vAlign w:val="center"/>
          </w:tcPr>
          <w:p>
            <w:pPr>
              <w:pStyle w:val="TableContents"/>
              <w:spacing w:before="0" w:after="283"/>
              <w:rPr/>
            </w:pPr>
            <w:r>
              <w:rPr/>
              <w:t> </w:t>
            </w:r>
          </w:p>
        </w:tc>
      </w:tr>
      <w:tr>
        <w:trPr/>
        <w:tc>
          <w:tcPr>
            <w:tcW w:w="2675" w:type="dxa"/>
            <w:tcBorders/>
            <w:shd w:fill="FFFFFF" w:val="clear"/>
            <w:vAlign w:val="center"/>
          </w:tcPr>
          <w:p>
            <w:pPr>
              <w:pStyle w:val="TableContents"/>
              <w:spacing w:before="0" w:after="0"/>
              <w:rPr/>
            </w:pPr>
            <w:r>
              <w:rPr/>
              <w:t>​</w:t>
            </w:r>
          </w:p>
        </w:tc>
        <w:tc>
          <w:tcPr>
            <w:tcW w:w="60" w:type="dxa"/>
            <w:tcBorders/>
            <w:shd w:fill="FFFFFF" w:val="clear"/>
            <w:vAlign w:val="center"/>
          </w:tcPr>
          <w:p>
            <w:pPr>
              <w:pStyle w:val="TableContents"/>
              <w:spacing w:before="0" w:after="283"/>
              <w:ind w:left="0" w:right="0" w:hanging="0"/>
              <w:rPr/>
            </w:pPr>
            <w:r>
              <w:rPr/>
              <w:t> </w:t>
            </w:r>
          </w:p>
        </w:tc>
        <w:tc>
          <w:tcPr>
            <w:tcW w:w="87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sz w:val="20"/>
              </w:rPr>
              <w:t>2023</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4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sz w:val="20"/>
              </w:rPr>
              <w:t>2022</w:t>
            </w:r>
          </w:p>
        </w:tc>
        <w:tc>
          <w:tcPr>
            <w:tcW w:w="95" w:type="dxa"/>
            <w:tcBorders/>
            <w:shd w:fill="FFFFFF" w:val="clear"/>
            <w:vAlign w:val="center"/>
          </w:tcPr>
          <w:p>
            <w:pPr>
              <w:pStyle w:val="TableContents"/>
              <w:spacing w:before="0" w:after="283"/>
              <w:rPr/>
            </w:pPr>
            <w:r>
              <w:rPr/>
              <w:t> </w:t>
            </w:r>
          </w:p>
        </w:tc>
      </w:tr>
      <w:tr>
        <w:trPr/>
        <w:tc>
          <w:tcPr>
            <w:tcW w:w="267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Principal</w:t>
            </w:r>
          </w:p>
        </w:tc>
        <w:tc>
          <w:tcPr>
            <w:tcW w:w="60" w:type="dxa"/>
            <w:tcBorders/>
            <w:shd w:fill="CCEEFF" w:val="clear"/>
            <w:vAlign w:val="center"/>
          </w:tcPr>
          <w:p>
            <w:pPr>
              <w:pStyle w:val="TableContents"/>
              <w:spacing w:before="0" w:after="283"/>
              <w:ind w:left="0" w:right="0" w:hanging="0"/>
              <w:rPr/>
            </w:pPr>
            <w:r>
              <w:rPr/>
              <w:t> </w:t>
            </w:r>
          </w:p>
        </w:tc>
        <w:tc>
          <w:tcPr>
            <w:tcW w:w="152"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22"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80,500</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99"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4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80,500</w:t>
            </w:r>
          </w:p>
        </w:tc>
        <w:tc>
          <w:tcPr>
            <w:tcW w:w="95" w:type="dxa"/>
            <w:tcBorders/>
            <w:shd w:fill="CCEEFF" w:val="clear"/>
            <w:vAlign w:val="center"/>
          </w:tcPr>
          <w:p>
            <w:pPr>
              <w:pStyle w:val="TableContents"/>
              <w:spacing w:before="0" w:after="283"/>
              <w:rPr/>
            </w:pPr>
            <w:r>
              <w:rPr/>
              <w:t> </w:t>
            </w:r>
          </w:p>
        </w:tc>
      </w:tr>
      <w:tr>
        <w:trPr/>
        <w:tc>
          <w:tcPr>
            <w:tcW w:w="2675" w:type="dxa"/>
            <w:tcBorders/>
            <w:shd w:fill="FFFFFF" w:val="clear"/>
            <w:vAlign w:val="center"/>
          </w:tcPr>
          <w:p>
            <w:pPr>
              <w:pStyle w:val="TableContents"/>
              <w:spacing w:before="0" w:after="0"/>
              <w:rPr>
                <w:rFonts w:ascii="Times New Roman" w:hAnsi="Times New Roman"/>
                <w:sz w:val="20"/>
              </w:rPr>
            </w:pPr>
            <w:r>
              <w:rPr>
                <w:rFonts w:ascii="Times New Roman" w:hAnsi="Times New Roman"/>
                <w:sz w:val="20"/>
              </w:rPr>
              <w:t>Unamortized debt issuance costs</w:t>
            </w:r>
          </w:p>
        </w:tc>
        <w:tc>
          <w:tcPr>
            <w:tcW w:w="60" w:type="dxa"/>
            <w:tcBorders/>
            <w:shd w:fill="FFFFFF" w:val="clear"/>
            <w:vAlign w:val="center"/>
          </w:tcPr>
          <w:p>
            <w:pPr>
              <w:pStyle w:val="TableContents"/>
              <w:spacing w:before="0" w:after="283"/>
              <w:rPr/>
            </w:pPr>
            <w:r>
              <w:rPr/>
              <w:t> </w:t>
            </w:r>
          </w:p>
        </w:tc>
        <w:tc>
          <w:tcPr>
            <w:tcW w:w="152"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722"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(790</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99"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94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(994</w:t>
            </w:r>
          </w:p>
        </w:tc>
        <w:tc>
          <w:tcPr>
            <w:tcW w:w="9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267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Net carrying amount</w:t>
            </w:r>
          </w:p>
        </w:tc>
        <w:tc>
          <w:tcPr>
            <w:tcW w:w="60" w:type="dxa"/>
            <w:tcBorders/>
            <w:shd w:fill="CCEEFF" w:val="clear"/>
            <w:vAlign w:val="center"/>
          </w:tcPr>
          <w:p>
            <w:pPr>
              <w:pStyle w:val="TableContents"/>
              <w:spacing w:before="0" w:after="283"/>
              <w:ind w:left="0" w:right="0" w:hanging="0"/>
              <w:rPr/>
            </w:pPr>
            <w:r>
              <w:rPr/>
              <w:t> </w:t>
            </w:r>
          </w:p>
        </w:tc>
        <w:tc>
          <w:tcPr>
            <w:tcW w:w="152"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22"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79,710</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99"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45"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79,506</w:t>
            </w:r>
          </w:p>
        </w:tc>
        <w:tc>
          <w:tcPr>
            <w:tcW w:w="95" w:type="dxa"/>
            <w:tcBorders/>
            <w:shd w:fill="CCEEFF" w:val="clear"/>
            <w:vAlign w:val="center"/>
          </w:tcPr>
          <w:p>
            <w:pPr>
              <w:pStyle w:val="TableContents"/>
              <w:spacing w:before="0" w:after="283"/>
              <w:rPr/>
            </w:pPr>
            <w:r>
              <w:rPr/>
              <w:t> </w:t>
            </w:r>
          </w:p>
        </w:tc>
      </w:tr>
    </w:tbl>
    <w:p>
      <w:pPr>
        <w:pStyle w:val="TextBody"/>
        <w:spacing w:before="0" w:after="0"/>
        <w:ind w:left="0" w:right="0" w:hanging="0"/>
        <w:jc w:val="left"/>
        <w:rPr/>
      </w:pPr>
      <w:r>
        <w:rPr/>
        <w:t>​</w:t>
      </w:r>
    </w:p>
    <w:p>
      <w:pPr>
        <w:pStyle w:val="TextBody"/>
        <w:spacing w:before="0" w:after="0"/>
        <w:ind w:left="0" w:right="0" w:firstLine="720"/>
        <w:jc w:val="left"/>
        <w:rPr/>
      </w:pPr>
      <w:r>
        <w:rPr>
          <w:rFonts w:ascii="Times New Roman" w:hAnsi="Times New Roman"/>
          <w:sz w:val="20"/>
        </w:rPr>
        <w:t xml:space="preserve">The Notes are convertible at the option of holders of the Notes at any time until the close of business on the scheduled trading day immediately preceding the maturity date. Upon conversion, holders of the Notes will receive shares of the Company’s common stock, together, if applicable, with cash in lieu of any fractional share, at the then-applicable conversion rate. The initial conversion rate is 56.9801 shares of the Company’s common stock per $1,000 principal amount of Notes (representing an initial conversion price of approximately $17.55 per share of common stock, which represents an initial conversion premium of approximately 30% above the closing price of $13.50 per share of the Company’s common stock on </w:t>
      </w:r>
      <w:r>
        <w:rPr>
          <w:rStyle w:val="Emphasis"/>
          <w:rFonts w:ascii="Times New Roman" w:hAnsi="Times New Roman"/>
          <w:sz w:val="20"/>
        </w:rPr>
        <w:t>February 28,</w:t>
      </w:r>
      <w:r>
        <w:rPr>
          <w:rFonts w:ascii="Times New Roman" w:hAnsi="Times New Roman"/>
          <w:sz w:val="20"/>
        </w:rPr>
        <w:t xml:space="preserve"> </w:t>
      </w:r>
      <w:r>
        <w:rPr>
          <w:rStyle w:val="Emphasis"/>
          <w:rFonts w:ascii="Times New Roman" w:hAnsi="Times New Roman"/>
          <w:sz w:val="20"/>
        </w:rPr>
        <w:t>2019</w:t>
      </w:r>
      <w:r>
        <w:rPr>
          <w:rFonts w:ascii="Times New Roman" w:hAnsi="Times New Roman"/>
          <w:sz w:val="20"/>
        </w:rPr>
        <w:t xml:space="preserve">), subject to customary adjustments. If a make-whole fundamental change (as defined in the Indenture) occurs, and in connection with certain other conversions before </w:t>
      </w:r>
      <w:r>
        <w:rPr>
          <w:rStyle w:val="Emphasis"/>
          <w:rFonts w:ascii="Times New Roman" w:hAnsi="Times New Roman"/>
          <w:sz w:val="20"/>
        </w:rPr>
        <w:t>March 15,</w:t>
      </w:r>
      <w:r>
        <w:rPr>
          <w:rFonts w:ascii="Times New Roman" w:hAnsi="Times New Roman"/>
          <w:sz w:val="20"/>
        </w:rPr>
        <w:t xml:space="preserve"> </w:t>
      </w:r>
      <w:r>
        <w:rPr>
          <w:rStyle w:val="Emphasis"/>
          <w:rFonts w:ascii="Times New Roman" w:hAnsi="Times New Roman"/>
          <w:sz w:val="20"/>
        </w:rPr>
        <w:t>2022,</w:t>
      </w:r>
      <w:r>
        <w:rPr>
          <w:rFonts w:ascii="Times New Roman" w:hAnsi="Times New Roman"/>
          <w:sz w:val="20"/>
        </w:rPr>
        <w:t xml:space="preserve"> the Company will in certain circumstances increase the conversion rate for a specified period of time.</w:t>
      </w:r>
    </w:p>
    <w:p>
      <w:pPr>
        <w:pStyle w:val="TextBody"/>
        <w:spacing w:before="0" w:after="0"/>
        <w:ind w:left="0" w:right="0" w:hanging="0"/>
        <w:jc w:val="left"/>
        <w:rPr/>
      </w:pPr>
      <w:r>
        <w:rPr/>
        <w:t> </w:t>
      </w:r>
    </w:p>
    <w:p>
      <w:pPr>
        <w:pStyle w:val="TextBody"/>
        <w:spacing w:before="0" w:after="0"/>
        <w:ind w:left="0" w:right="0" w:firstLine="720"/>
        <w:jc w:val="left"/>
        <w:rPr/>
      </w:pPr>
      <w:r>
        <w:rPr>
          <w:rFonts w:ascii="Times New Roman" w:hAnsi="Times New Roman"/>
          <w:sz w:val="20"/>
        </w:rPr>
        <w:t>Initially and </w:t>
      </w:r>
      <w:r>
        <w:rPr>
          <w:rFonts w:ascii="Times New Roman" w:hAnsi="Times New Roman"/>
          <w:sz w:val="20"/>
          <w:highlight w:val="white"/>
        </w:rPr>
        <w:t xml:space="preserve">as of </w:t>
      </w:r>
      <w:r>
        <w:rPr>
          <w:rStyle w:val="Emphasis"/>
          <w:rFonts w:ascii="Times New Roman" w:hAnsi="Times New Roman"/>
          <w:sz w:val="20"/>
        </w:rPr>
        <w:t>March 31, 2023</w:t>
      </w:r>
      <w:r>
        <w:rPr>
          <w:rFonts w:ascii="Times New Roman" w:hAnsi="Times New Roman"/>
          <w:sz w:val="20"/>
        </w:rPr>
        <w:t xml:space="preserve"> there are </w:t>
      </w:r>
      <w:r>
        <w:rPr>
          <w:rStyle w:val="Emphasis"/>
          <w:rFonts w:ascii="Times New Roman" w:hAnsi="Times New Roman"/>
          <w:sz w:val="20"/>
        </w:rPr>
        <w:t>no</w:t>
      </w:r>
      <w:r>
        <w:rPr>
          <w:rFonts w:ascii="Times New Roman" w:hAnsi="Times New Roman"/>
          <w:sz w:val="20"/>
        </w:rPr>
        <w:t xml:space="preserve"> guarantors of the Notes, but the Notes will be fully and unconditionally guaranteed, on a senior, unsecured basis by certain of the Company’s future domestic subsidiaries.  The Notes are the Company’s senior, unsecured obligations and are equal in right of payment with existing and future senior, unsecured indebtedness, senior in right of payment to the Company’s existing and future indebtedness that is expressly subordinated to the Notes and effectively subordinated to the Company’s existing and future secured indebtedness, to the extent of the value of the collateral securing that indebtedness.  The Note Guarantee (as defined in the Indenture) of each future guarantor, if any, will be such guarantor’s senior, unsecured obligations and are equal in right of payment with existing and future senior, unsecured indebtedness, senior in right of payment to such future guarantor’s existing and future indebtedness that is expressly subordinated to the Notes and effectively subordinated to such future guarantor’s existing and future secured indebtedness, to the extent of the value of the collateral securing that indebtedness.</w:t>
      </w:r>
    </w:p>
    <w:p>
      <w:pPr>
        <w:pStyle w:val="TextBody"/>
        <w:spacing w:before="0" w:after="0"/>
        <w:ind w:left="0" w:right="0" w:hanging="0"/>
        <w:jc w:val="left"/>
        <w:rPr/>
      </w:pPr>
      <w:r>
        <w:rPr/>
        <w:t> </w:t>
      </w:r>
    </w:p>
    <w:p>
      <w:pPr>
        <w:pStyle w:val="TextBody"/>
        <w:spacing w:before="0" w:after="0"/>
        <w:ind w:left="0" w:right="0" w:firstLine="720"/>
        <w:jc w:val="left"/>
        <w:rPr/>
      </w:pPr>
      <w:r>
        <w:rPr>
          <w:rFonts w:ascii="Times New Roman" w:hAnsi="Times New Roman"/>
          <w:sz w:val="20"/>
        </w:rPr>
        <w:t xml:space="preserve">Holders </w:t>
      </w:r>
      <w:r>
        <w:rPr>
          <w:rStyle w:val="Emphasis"/>
          <w:rFonts w:ascii="Times New Roman" w:hAnsi="Times New Roman"/>
          <w:sz w:val="20"/>
        </w:rPr>
        <w:t xml:space="preserve">may </w:t>
      </w:r>
      <w:r>
        <w:rPr>
          <w:rFonts w:ascii="Times New Roman" w:hAnsi="Times New Roman"/>
          <w:sz w:val="20"/>
        </w:rPr>
        <w:t>require the Company to repurchase their Notes upon the occurrence of a fundamental change (as defined in the Indenture) at a cash purchase price equal to the principal amount thereof plus accrued and unpaid interest, if any.</w:t>
      </w:r>
    </w:p>
    <w:p>
      <w:pPr>
        <w:pStyle w:val="TextBody"/>
        <w:spacing w:before="0" w:after="0"/>
        <w:ind w:left="0" w:right="0" w:hanging="0"/>
        <w:jc w:val="left"/>
        <w:rPr/>
      </w:pPr>
      <w:r>
        <w:rPr/>
        <w:t> </w:t>
      </w:r>
    </w:p>
    <w:p>
      <w:pPr>
        <w:pStyle w:val="TextBody"/>
        <w:spacing w:before="0" w:after="0"/>
        <w:ind w:left="0" w:right="0" w:firstLine="720"/>
        <w:jc w:val="left"/>
        <w:rPr/>
      </w:pPr>
      <w:r>
        <w:rPr>
          <w:rFonts w:ascii="Times New Roman" w:hAnsi="Times New Roman"/>
          <w:sz w:val="20"/>
        </w:rPr>
        <w:t xml:space="preserve">After </w:t>
      </w:r>
      <w:r>
        <w:rPr>
          <w:rStyle w:val="Emphasis"/>
          <w:rFonts w:ascii="Times New Roman" w:hAnsi="Times New Roman"/>
          <w:sz w:val="20"/>
        </w:rPr>
        <w:t xml:space="preserve">March 15, 2022, </w:t>
      </w:r>
      <w:r>
        <w:rPr>
          <w:rFonts w:ascii="Times New Roman" w:hAnsi="Times New Roman"/>
          <w:sz w:val="20"/>
        </w:rPr>
        <w:t xml:space="preserve">the Company </w:t>
      </w:r>
      <w:r>
        <w:rPr>
          <w:rStyle w:val="Emphasis"/>
          <w:rFonts w:ascii="Times New Roman" w:hAnsi="Times New Roman"/>
          <w:sz w:val="20"/>
        </w:rPr>
        <w:t xml:space="preserve">may </w:t>
      </w:r>
      <w:r>
        <w:rPr>
          <w:rFonts w:ascii="Times New Roman" w:hAnsi="Times New Roman"/>
          <w:sz w:val="20"/>
        </w:rPr>
        <w:t xml:space="preserve">redeem for cash all or part of the Notes if the last reported sale price per share of the Company’s common stock exceeds 130% of the conversion price on (i) each of at least 20 trading days, whether or </w:t>
      </w:r>
      <w:r>
        <w:rPr>
          <w:rStyle w:val="Emphasis"/>
          <w:rFonts w:ascii="Times New Roman" w:hAnsi="Times New Roman"/>
          <w:sz w:val="20"/>
        </w:rPr>
        <w:t>not</w:t>
      </w:r>
      <w:r>
        <w:rPr>
          <w:rFonts w:ascii="Times New Roman" w:hAnsi="Times New Roman"/>
          <w:sz w:val="20"/>
        </w:rPr>
        <w:t xml:space="preserve"> consecutive, during the 30 consecutive trading days ending on, and including, the trading day immediately before the date the Company sends the related redemption notice; and (ii) the trading day immediately before the date the Company sends such redemption notice.  The redemption price is equal to 100% of the principal amount of the notes to be redeemed, plus accrued and unpaid interest to, but excluding, the redemption date.  In addition, calling any Note for redemption will constitute a “make-whole fundamental change” with respect to that Note, in which case the conversion rate applicable to the conversion of that Note will be increased in certain circumstances if it is converted after it is called for redemption.</w:t>
      </w:r>
    </w:p>
    <w:p>
      <w:pPr>
        <w:pStyle w:val="TextBody"/>
        <w:spacing w:before="0" w:after="0"/>
        <w:ind w:left="0" w:right="0" w:hanging="0"/>
        <w:jc w:val="left"/>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The Indenture contains covenants that limit the Company’s ability and the ability of our subsidiaries to, among other things: (i) incur or guarantee additional indebtedness or issue disqualified stock; and (ii) create or incur liens.</w:t>
      </w:r>
    </w:p>
    <w:p>
      <w:pPr>
        <w:pStyle w:val="TextBody"/>
        <w:spacing w:before="0" w:after="0"/>
        <w:ind w:left="0" w:right="0" w:firstLine="360"/>
        <w:jc w:val="left"/>
        <w:rPr/>
      </w:pPr>
      <w:r>
        <w:rPr/>
        <w:t>​</w:t>
      </w:r>
    </w:p>
    <w:p>
      <w:pPr>
        <w:pStyle w:val="TextBody"/>
        <w:spacing w:before="0" w:after="0"/>
        <w:ind w:left="0" w:right="0" w:firstLine="720"/>
        <w:jc w:val="left"/>
        <w:rPr/>
      </w:pPr>
      <w:r>
        <w:rPr>
          <w:rFonts w:ascii="Times New Roman" w:hAnsi="Times New Roman"/>
          <w:sz w:val="20"/>
        </w:rPr>
        <w:t xml:space="preserve">Pursuant to the guidance in ASC </w:t>
      </w:r>
      <w:r>
        <w:rPr>
          <w:rStyle w:val="Emphasis"/>
          <w:rFonts w:ascii="Times New Roman" w:hAnsi="Times New Roman"/>
          <w:sz w:val="20"/>
        </w:rPr>
        <w:t>815</w:t>
      </w:r>
      <w:r>
        <w:rPr>
          <w:rFonts w:ascii="Times New Roman" w:hAnsi="Times New Roman"/>
          <w:sz w:val="20"/>
        </w:rPr>
        <w:t>-</w:t>
      </w:r>
      <w:r>
        <w:rPr>
          <w:rStyle w:val="Emphasis"/>
          <w:rFonts w:ascii="Times New Roman" w:hAnsi="Times New Roman"/>
          <w:sz w:val="20"/>
        </w:rPr>
        <w:t>40,</w:t>
      </w:r>
      <w:r>
        <w:rPr>
          <w:rFonts w:ascii="Times New Roman" w:hAnsi="Times New Roman"/>
          <w:sz w:val="20"/>
        </w:rPr>
        <w:t xml:space="preserve"> Contracts in Entity’s Own Equity, the Company evaluated whether the conversion feature of the note needed to be bifurcated from the host instrument as a freestanding financial instrument. Under ASC </w:t>
      </w:r>
      <w:r>
        <w:rPr>
          <w:rStyle w:val="Emphasis"/>
          <w:rFonts w:ascii="Times New Roman" w:hAnsi="Times New Roman"/>
          <w:sz w:val="20"/>
        </w:rPr>
        <w:t>815</w:t>
      </w:r>
      <w:r>
        <w:rPr>
          <w:rFonts w:ascii="Times New Roman" w:hAnsi="Times New Roman"/>
          <w:sz w:val="20"/>
        </w:rPr>
        <w:t>-</w:t>
      </w:r>
      <w:r>
        <w:rPr>
          <w:rStyle w:val="Emphasis"/>
          <w:rFonts w:ascii="Times New Roman" w:hAnsi="Times New Roman"/>
          <w:sz w:val="20"/>
        </w:rPr>
        <w:t>40,</w:t>
      </w:r>
      <w:r>
        <w:rPr>
          <w:rFonts w:ascii="Times New Roman" w:hAnsi="Times New Roman"/>
          <w:sz w:val="20"/>
        </w:rPr>
        <w:t xml:space="preserve"> to qualify for equity classification (or non-bifurcation, if embedded) the instrument (or embedded feature) must be both (</w:t>
      </w:r>
      <w:r>
        <w:rPr>
          <w:rStyle w:val="Emphasis"/>
          <w:rFonts w:ascii="Times New Roman" w:hAnsi="Times New Roman"/>
          <w:sz w:val="20"/>
        </w:rPr>
        <w:t>1</w:t>
      </w:r>
      <w:r>
        <w:rPr>
          <w:rFonts w:ascii="Times New Roman" w:hAnsi="Times New Roman"/>
          <w:sz w:val="20"/>
        </w:rPr>
        <w:t>) indexed to the issuer’s own stock and (</w:t>
      </w:r>
      <w:r>
        <w:rPr>
          <w:rStyle w:val="Emphasis"/>
          <w:rFonts w:ascii="Times New Roman" w:hAnsi="Times New Roman"/>
          <w:sz w:val="20"/>
        </w:rPr>
        <w:t>2</w:t>
      </w:r>
      <w:r>
        <w:rPr>
          <w:rFonts w:ascii="Times New Roman" w:hAnsi="Times New Roman"/>
          <w:sz w:val="20"/>
        </w:rPr>
        <w:t xml:space="preserve">) meet the requirements of the equity classification guidance. Based upon the Company’s analysis, it was determined the conversion option is indexed to its own stock and also met all the criteria for equity classification contained in ASC </w:t>
      </w:r>
      <w:r>
        <w:rPr>
          <w:rStyle w:val="Emphasis"/>
          <w:rFonts w:ascii="Times New Roman" w:hAnsi="Times New Roman"/>
          <w:sz w:val="20"/>
        </w:rPr>
        <w:t>815</w:t>
      </w:r>
      <w:r>
        <w:rPr>
          <w:rFonts w:ascii="Times New Roman" w:hAnsi="Times New Roman"/>
          <w:sz w:val="20"/>
        </w:rPr>
        <w:t>-</w:t>
      </w:r>
      <w:r>
        <w:rPr>
          <w:rStyle w:val="Emphasis"/>
          <w:rFonts w:ascii="Times New Roman" w:hAnsi="Times New Roman"/>
          <w:sz w:val="20"/>
        </w:rPr>
        <w:t>40</w:t>
      </w:r>
      <w:r>
        <w:rPr>
          <w:rFonts w:ascii="Times New Roman" w:hAnsi="Times New Roman"/>
          <w:sz w:val="20"/>
        </w:rPr>
        <w:t>-</w:t>
      </w:r>
      <w:r>
        <w:rPr>
          <w:rStyle w:val="Emphasis"/>
          <w:rFonts w:ascii="Times New Roman" w:hAnsi="Times New Roman"/>
          <w:sz w:val="20"/>
        </w:rPr>
        <w:t>25</w:t>
      </w:r>
      <w:r>
        <w:rPr>
          <w:rFonts w:ascii="Times New Roman" w:hAnsi="Times New Roman"/>
          <w:sz w:val="20"/>
        </w:rPr>
        <w:t>-</w:t>
      </w:r>
      <w:r>
        <w:rPr>
          <w:rStyle w:val="Emphasis"/>
          <w:rFonts w:ascii="Times New Roman" w:hAnsi="Times New Roman"/>
          <w:sz w:val="20"/>
        </w:rPr>
        <w:t>7</w:t>
      </w:r>
      <w:r>
        <w:rPr>
          <w:rFonts w:ascii="Times New Roman" w:hAnsi="Times New Roman"/>
          <w:sz w:val="20"/>
        </w:rPr>
        <w:t xml:space="preserve"> and </w:t>
      </w:r>
      <w:r>
        <w:rPr>
          <w:rStyle w:val="Emphasis"/>
          <w:rFonts w:ascii="Times New Roman" w:hAnsi="Times New Roman"/>
          <w:sz w:val="20"/>
        </w:rPr>
        <w:t>815</w:t>
      </w:r>
      <w:r>
        <w:rPr>
          <w:rFonts w:ascii="Times New Roman" w:hAnsi="Times New Roman"/>
          <w:sz w:val="20"/>
        </w:rPr>
        <w:t>-</w:t>
      </w:r>
      <w:r>
        <w:rPr>
          <w:rStyle w:val="Emphasis"/>
          <w:rFonts w:ascii="Times New Roman" w:hAnsi="Times New Roman"/>
          <w:sz w:val="20"/>
        </w:rPr>
        <w:t>40</w:t>
      </w:r>
      <w:r>
        <w:rPr>
          <w:rFonts w:ascii="Times New Roman" w:hAnsi="Times New Roman"/>
          <w:sz w:val="20"/>
        </w:rPr>
        <w:t>-</w:t>
      </w:r>
      <w:r>
        <w:rPr>
          <w:rStyle w:val="Emphasis"/>
          <w:rFonts w:ascii="Times New Roman" w:hAnsi="Times New Roman"/>
          <w:sz w:val="20"/>
        </w:rPr>
        <w:t>25</w:t>
      </w:r>
      <w:r>
        <w:rPr>
          <w:rFonts w:ascii="Times New Roman" w:hAnsi="Times New Roman"/>
          <w:sz w:val="20"/>
        </w:rPr>
        <w:t>-</w:t>
      </w:r>
      <w:r>
        <w:rPr>
          <w:rStyle w:val="Emphasis"/>
          <w:rFonts w:ascii="Times New Roman" w:hAnsi="Times New Roman"/>
          <w:sz w:val="20"/>
        </w:rPr>
        <w:t>10.</w:t>
      </w:r>
      <w:r>
        <w:rPr>
          <w:rFonts w:ascii="Times New Roman" w:hAnsi="Times New Roman"/>
          <w:sz w:val="20"/>
        </w:rPr>
        <w:t xml:space="preserve"> Accordingly, the conversion option is </w:t>
      </w:r>
      <w:r>
        <w:rPr>
          <w:rStyle w:val="Emphasis"/>
          <w:rFonts w:ascii="Times New Roman" w:hAnsi="Times New Roman"/>
          <w:sz w:val="20"/>
        </w:rPr>
        <w:t>not</w:t>
      </w:r>
      <w:r>
        <w:rPr>
          <w:rFonts w:ascii="Times New Roman" w:hAnsi="Times New Roman"/>
          <w:sz w:val="20"/>
        </w:rPr>
        <w:t xml:space="preserve"> required to be bifurcated from the host instrument as a freestanding financial instrument. Since the conversion feature meets the equity scope exception from derivative accounting, the Company then evaluated whether the conversion feature needed to be separately accounted for as an equity component under ASC </w:t>
      </w:r>
      <w:r>
        <w:rPr>
          <w:rStyle w:val="Emphasis"/>
          <w:rFonts w:ascii="Times New Roman" w:hAnsi="Times New Roman"/>
          <w:sz w:val="20"/>
        </w:rPr>
        <w:t>470</w:t>
      </w:r>
      <w:r>
        <w:rPr>
          <w:rFonts w:ascii="Times New Roman" w:hAnsi="Times New Roman"/>
          <w:sz w:val="20"/>
        </w:rPr>
        <w:t>-</w:t>
      </w:r>
      <w:r>
        <w:rPr>
          <w:rStyle w:val="Emphasis"/>
          <w:rFonts w:ascii="Times New Roman" w:hAnsi="Times New Roman"/>
          <w:sz w:val="20"/>
        </w:rPr>
        <w:t>20,</w:t>
      </w:r>
      <w:r>
        <w:rPr>
          <w:rFonts w:ascii="Times New Roman" w:hAnsi="Times New Roman"/>
          <w:sz w:val="20"/>
        </w:rPr>
        <w:t xml:space="preserve"> Debt with Conversion and Other Options.  The Company determined that notes should be accounted for in their entirety as a liability.</w:t>
      </w:r>
    </w:p>
    <w:p>
      <w:pPr>
        <w:pStyle w:val="TextBody"/>
        <w:spacing w:before="0" w:after="0"/>
        <w:ind w:left="0" w:right="0" w:firstLine="720"/>
        <w:jc w:val="left"/>
        <w:rPr/>
      </w:pPr>
      <w:r>
        <w:rPr/>
        <w:t> </w:t>
      </w:r>
    </w:p>
    <w:p>
      <w:pPr>
        <w:pStyle w:val="TextBody"/>
        <w:spacing w:before="0" w:after="0"/>
        <w:jc w:val="center"/>
        <w:rPr/>
      </w:pPr>
      <w:r>
        <w:rPr>
          <w:rStyle w:val="Emphasis"/>
          <w:rFonts w:ascii="Times New Roman" w:hAnsi="Times New Roman"/>
          <w:sz w:val="20"/>
        </w:rPr>
        <w:t>17</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0" w:right="0" w:firstLine="720"/>
        <w:jc w:val="left"/>
        <w:rPr>
          <w:rFonts w:ascii="Times New Roman" w:hAnsi="Times New Roman"/>
          <w:sz w:val="20"/>
        </w:rPr>
      </w:pPr>
      <w:r>
        <w:rPr>
          <w:rFonts w:ascii="Times New Roman" w:hAnsi="Times New Roman"/>
          <w:sz w:val="20"/>
        </w:rPr>
        <w:t>The Company incurred approximately $4.1 million in transaction costs in connection with the issuance of the Notes. These costs were recognized as a reduction of the carrying amount of the Notes utilizing the effective interest method and are being amortized over the term of the Notes.</w:t>
      </w:r>
    </w:p>
    <w:p>
      <w:pPr>
        <w:pStyle w:val="TextBody"/>
        <w:spacing w:before="0" w:after="0"/>
        <w:ind w:left="0" w:right="0" w:firstLine="360"/>
        <w:jc w:val="left"/>
        <w:rPr/>
      </w:pPr>
      <w:r>
        <w:rPr/>
        <w:t>​</w:t>
      </w:r>
    </w:p>
    <w:p>
      <w:pPr>
        <w:pStyle w:val="TextBody"/>
        <w:spacing w:before="0" w:after="0"/>
        <w:ind w:left="360" w:right="0" w:firstLine="360"/>
        <w:jc w:val="left"/>
        <w:rPr>
          <w:rFonts w:ascii="Times New Roman" w:hAnsi="Times New Roman"/>
          <w:sz w:val="20"/>
        </w:rPr>
      </w:pPr>
      <w:r>
        <w:rPr>
          <w:rFonts w:ascii="Times New Roman" w:hAnsi="Times New Roman"/>
          <w:sz w:val="20"/>
        </w:rPr>
        <w:t>The following table sets forth interest expense information related to the Notes (in thousands):</w:t>
      </w:r>
    </w:p>
    <w:p>
      <w:pPr>
        <w:pStyle w:val="TextBody"/>
        <w:spacing w:before="0" w:after="0"/>
        <w:ind w:left="0" w:right="0" w:hanging="0"/>
        <w:jc w:val="left"/>
        <w:rPr/>
      </w:pPr>
      <w:r>
        <w:rPr/>
        <w:t>​</w:t>
      </w:r>
    </w:p>
    <w:tbl>
      <w:tblPr>
        <w:tblW w:w="5726" w:type="dxa"/>
        <w:jc w:val="left"/>
        <w:tblInd w:w="0" w:type="dxa"/>
        <w:tblCellMar>
          <w:top w:w="0" w:type="dxa"/>
          <w:left w:w="0" w:type="dxa"/>
          <w:bottom w:w="0" w:type="dxa"/>
          <w:right w:w="0" w:type="dxa"/>
        </w:tblCellMar>
      </w:tblPr>
      <w:tblGrid>
        <w:gridCol w:w="2900"/>
        <w:gridCol w:w="60"/>
        <w:gridCol w:w="220"/>
        <w:gridCol w:w="855"/>
        <w:gridCol w:w="326"/>
        <w:gridCol w:w="105"/>
        <w:gridCol w:w="220"/>
        <w:gridCol w:w="855"/>
        <w:gridCol w:w="185"/>
      </w:tblGrid>
      <w:tr>
        <w:trPr/>
        <w:tc>
          <w:tcPr>
            <w:tcW w:w="290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581"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Three months ended March 31,</w:t>
            </w:r>
          </w:p>
        </w:tc>
        <w:tc>
          <w:tcPr>
            <w:tcW w:w="185" w:type="dxa"/>
            <w:tcBorders/>
            <w:shd w:fill="FFFFFF" w:val="clear"/>
            <w:vAlign w:val="center"/>
          </w:tcPr>
          <w:p>
            <w:pPr>
              <w:pStyle w:val="TableContents"/>
              <w:spacing w:before="0" w:after="283"/>
              <w:rPr/>
            </w:pPr>
            <w:r>
              <w:rPr/>
              <w:t> </w:t>
            </w:r>
          </w:p>
        </w:tc>
      </w:tr>
      <w:tr>
        <w:trPr/>
        <w:tc>
          <w:tcPr>
            <w:tcW w:w="2900" w:type="dxa"/>
            <w:tcBorders/>
            <w:shd w:fill="FFFFFF" w:val="clear"/>
            <w:vAlign w:val="center"/>
          </w:tcPr>
          <w:p>
            <w:pPr>
              <w:pStyle w:val="TableContents"/>
              <w:spacing w:before="0" w:after="0"/>
              <w:rPr>
                <w:caps w:val="false"/>
                <w:smallCaps w:val="false"/>
              </w:rPr>
            </w:pPr>
            <w:r>
              <w:rPr>
                <w:caps w:val="false"/>
                <w:smallCaps w:val="false"/>
              </w:rPr>
              <w:t>​</w:t>
            </w:r>
          </w:p>
        </w:tc>
        <w:tc>
          <w:tcPr>
            <w:tcW w:w="60" w:type="dxa"/>
            <w:tcBorders/>
            <w:shd w:fill="FFFFFF" w:val="clear"/>
            <w:vAlign w:val="center"/>
          </w:tcPr>
          <w:p>
            <w:pPr>
              <w:pStyle w:val="TableContents"/>
              <w:spacing w:before="0" w:after="283"/>
              <w:ind w:left="0" w:right="0" w:hanging="0"/>
              <w:rPr/>
            </w:pPr>
            <w:r>
              <w:rPr/>
              <w:t> </w:t>
            </w:r>
          </w:p>
        </w:tc>
        <w:tc>
          <w:tcPr>
            <w:tcW w:w="107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2023</w:t>
            </w:r>
          </w:p>
        </w:tc>
        <w:tc>
          <w:tcPr>
            <w:tcW w:w="326" w:type="dxa"/>
            <w:tcBorders/>
            <w:shd w:fill="FFFFFF" w:val="clear"/>
            <w:vAlign w:val="center"/>
          </w:tcPr>
          <w:p>
            <w:pPr>
              <w:pStyle w:val="TableContents"/>
              <w:spacing w:before="0" w:after="283"/>
              <w:rPr/>
            </w:pPr>
            <w:r>
              <w:rPr/>
              <w:t> </w:t>
            </w:r>
          </w:p>
        </w:tc>
        <w:tc>
          <w:tcPr>
            <w:tcW w:w="105" w:type="dxa"/>
            <w:tcBorders/>
            <w:shd w:fill="FFFFFF" w:val="clear"/>
            <w:vAlign w:val="center"/>
          </w:tcPr>
          <w:p>
            <w:pPr>
              <w:pStyle w:val="TableContents"/>
              <w:spacing w:before="0" w:after="283"/>
              <w:ind w:left="0" w:right="0" w:hanging="0"/>
              <w:rPr/>
            </w:pPr>
            <w:r>
              <w:rPr/>
              <w:t> </w:t>
            </w:r>
          </w:p>
        </w:tc>
        <w:tc>
          <w:tcPr>
            <w:tcW w:w="107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2022</w:t>
            </w:r>
          </w:p>
        </w:tc>
        <w:tc>
          <w:tcPr>
            <w:tcW w:w="185" w:type="dxa"/>
            <w:tcBorders/>
            <w:shd w:fill="FFFFFF" w:val="clear"/>
            <w:vAlign w:val="center"/>
          </w:tcPr>
          <w:p>
            <w:pPr>
              <w:pStyle w:val="TableContents"/>
              <w:spacing w:before="0" w:after="283"/>
              <w:rPr/>
            </w:pPr>
            <w:r>
              <w:rPr/>
              <w:t> </w:t>
            </w:r>
          </w:p>
        </w:tc>
      </w:tr>
      <w:tr>
        <w:trPr/>
        <w:tc>
          <w:tcPr>
            <w:tcW w:w="290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Contractual interest expense</w:t>
            </w:r>
          </w:p>
        </w:tc>
        <w:tc>
          <w:tcPr>
            <w:tcW w:w="60" w:type="dxa"/>
            <w:tcBorders/>
            <w:shd w:fill="CCEEFF" w:val="clear"/>
            <w:vAlign w:val="center"/>
          </w:tcPr>
          <w:p>
            <w:pPr>
              <w:pStyle w:val="TableContents"/>
              <w:spacing w:before="0" w:after="283"/>
              <w:ind w:left="0" w:right="0" w:hanging="0"/>
              <w:rPr/>
            </w:pPr>
            <w:r>
              <w:rPr/>
              <w:t> </w:t>
            </w:r>
          </w:p>
        </w:tc>
        <w:tc>
          <w:tcPr>
            <w:tcW w:w="220"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5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1,006</w:t>
            </w:r>
          </w:p>
        </w:tc>
        <w:tc>
          <w:tcPr>
            <w:tcW w:w="326" w:type="dxa"/>
            <w:tcBorders/>
            <w:shd w:fill="CCEEFF" w:val="clear"/>
            <w:vAlign w:val="center"/>
          </w:tcPr>
          <w:p>
            <w:pPr>
              <w:pStyle w:val="TableContents"/>
              <w:spacing w:before="0" w:after="283"/>
              <w:rPr/>
            </w:pPr>
            <w:r>
              <w:rPr/>
              <w:t> </w:t>
            </w:r>
          </w:p>
        </w:tc>
        <w:tc>
          <w:tcPr>
            <w:tcW w:w="105" w:type="dxa"/>
            <w:tcBorders/>
            <w:shd w:fill="CCEEFF" w:val="clear"/>
            <w:vAlign w:val="center"/>
          </w:tcPr>
          <w:p>
            <w:pPr>
              <w:pStyle w:val="TableContents"/>
              <w:spacing w:before="0" w:after="283"/>
              <w:ind w:left="0" w:right="0" w:hanging="0"/>
              <w:rPr/>
            </w:pPr>
            <w:r>
              <w:rPr/>
              <w:t> </w:t>
            </w:r>
          </w:p>
        </w:tc>
        <w:tc>
          <w:tcPr>
            <w:tcW w:w="220"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5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1,006</w:t>
            </w:r>
          </w:p>
        </w:tc>
        <w:tc>
          <w:tcPr>
            <w:tcW w:w="185" w:type="dxa"/>
            <w:tcBorders/>
            <w:shd w:fill="CCEEFF" w:val="clear"/>
            <w:vAlign w:val="center"/>
          </w:tcPr>
          <w:p>
            <w:pPr>
              <w:pStyle w:val="TableContents"/>
              <w:spacing w:before="0" w:after="283"/>
              <w:rPr/>
            </w:pPr>
            <w:r>
              <w:rPr/>
              <w:t> </w:t>
            </w:r>
          </w:p>
        </w:tc>
      </w:tr>
      <w:tr>
        <w:trPr/>
        <w:tc>
          <w:tcPr>
            <w:tcW w:w="2900"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Amortization of debt issuance costs</w:t>
            </w:r>
          </w:p>
        </w:tc>
        <w:tc>
          <w:tcPr>
            <w:tcW w:w="60" w:type="dxa"/>
            <w:tcBorders/>
            <w:shd w:fill="FFFFFF" w:val="clear"/>
            <w:vAlign w:val="center"/>
          </w:tcPr>
          <w:p>
            <w:pPr>
              <w:pStyle w:val="TableContents"/>
              <w:spacing w:before="0" w:after="283"/>
              <w:rPr/>
            </w:pPr>
            <w:r>
              <w:rPr/>
              <w:t> </w:t>
            </w:r>
          </w:p>
        </w:tc>
        <w:tc>
          <w:tcPr>
            <w:tcW w:w="220"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85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204</w:t>
            </w:r>
          </w:p>
        </w:tc>
        <w:tc>
          <w:tcPr>
            <w:tcW w:w="326" w:type="dxa"/>
            <w:tcBorders/>
            <w:shd w:fill="FFFFFF" w:val="clear"/>
            <w:vAlign w:val="center"/>
          </w:tcPr>
          <w:p>
            <w:pPr>
              <w:pStyle w:val="TableContents"/>
              <w:spacing w:before="0" w:after="283"/>
              <w:rPr/>
            </w:pPr>
            <w:r>
              <w:rPr/>
              <w:t> </w:t>
            </w:r>
          </w:p>
        </w:tc>
        <w:tc>
          <w:tcPr>
            <w:tcW w:w="105" w:type="dxa"/>
            <w:tcBorders/>
            <w:shd w:fill="FFFFFF" w:val="clear"/>
            <w:vAlign w:val="center"/>
          </w:tcPr>
          <w:p>
            <w:pPr>
              <w:pStyle w:val="TableContents"/>
              <w:spacing w:before="0" w:after="283"/>
              <w:rPr/>
            </w:pPr>
            <w:r>
              <w:rPr/>
              <w:t> </w:t>
            </w:r>
          </w:p>
        </w:tc>
        <w:tc>
          <w:tcPr>
            <w:tcW w:w="220"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85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204</w:t>
            </w:r>
          </w:p>
        </w:tc>
        <w:tc>
          <w:tcPr>
            <w:tcW w:w="185" w:type="dxa"/>
            <w:tcBorders/>
            <w:shd w:fill="FFFFFF" w:val="clear"/>
            <w:vAlign w:val="center"/>
          </w:tcPr>
          <w:p>
            <w:pPr>
              <w:pStyle w:val="TableContents"/>
              <w:spacing w:before="0" w:after="283"/>
              <w:rPr/>
            </w:pPr>
            <w:r>
              <w:rPr/>
              <w:t> </w:t>
            </w:r>
          </w:p>
        </w:tc>
      </w:tr>
      <w:tr>
        <w:trPr/>
        <w:tc>
          <w:tcPr>
            <w:tcW w:w="290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Total interest cost</w:t>
            </w:r>
          </w:p>
        </w:tc>
        <w:tc>
          <w:tcPr>
            <w:tcW w:w="60" w:type="dxa"/>
            <w:tcBorders/>
            <w:shd w:fill="CCEEFF" w:val="clear"/>
            <w:vAlign w:val="center"/>
          </w:tcPr>
          <w:p>
            <w:pPr>
              <w:pStyle w:val="TableContents"/>
              <w:spacing w:before="0" w:after="283"/>
              <w:ind w:left="0" w:right="0" w:hanging="0"/>
              <w:rPr/>
            </w:pPr>
            <w:r>
              <w:rPr/>
              <w:t> </w:t>
            </w:r>
          </w:p>
        </w:tc>
        <w:tc>
          <w:tcPr>
            <w:tcW w:w="220"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55"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1,210</w:t>
            </w:r>
          </w:p>
        </w:tc>
        <w:tc>
          <w:tcPr>
            <w:tcW w:w="326" w:type="dxa"/>
            <w:tcBorders/>
            <w:shd w:fill="CCEEFF" w:val="clear"/>
            <w:vAlign w:val="center"/>
          </w:tcPr>
          <w:p>
            <w:pPr>
              <w:pStyle w:val="TableContents"/>
              <w:spacing w:before="0" w:after="283"/>
              <w:rPr/>
            </w:pPr>
            <w:r>
              <w:rPr/>
              <w:t> </w:t>
            </w:r>
          </w:p>
        </w:tc>
        <w:tc>
          <w:tcPr>
            <w:tcW w:w="105" w:type="dxa"/>
            <w:tcBorders/>
            <w:shd w:fill="CCEEFF" w:val="clear"/>
            <w:vAlign w:val="center"/>
          </w:tcPr>
          <w:p>
            <w:pPr>
              <w:pStyle w:val="TableContents"/>
              <w:spacing w:before="0" w:after="283"/>
              <w:ind w:left="0" w:right="0" w:hanging="0"/>
              <w:rPr/>
            </w:pPr>
            <w:r>
              <w:rPr/>
              <w:t> </w:t>
            </w:r>
          </w:p>
        </w:tc>
        <w:tc>
          <w:tcPr>
            <w:tcW w:w="220"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55"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1,210</w:t>
            </w:r>
          </w:p>
        </w:tc>
        <w:tc>
          <w:tcPr>
            <w:tcW w:w="185" w:type="dxa"/>
            <w:tcBorders/>
            <w:shd w:fill="CCEEFF" w:val="clear"/>
            <w:vAlign w:val="center"/>
          </w:tcPr>
          <w:p>
            <w:pPr>
              <w:pStyle w:val="TableContents"/>
              <w:spacing w:before="0" w:after="283"/>
              <w:rPr/>
            </w:pPr>
            <w:r>
              <w:rPr/>
              <w:t> </w:t>
            </w:r>
          </w:p>
        </w:tc>
      </w:tr>
      <w:tr>
        <w:trPr/>
        <w:tc>
          <w:tcPr>
            <w:tcW w:w="2900"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Effective interest rate</w:t>
            </w:r>
          </w:p>
        </w:tc>
        <w:tc>
          <w:tcPr>
            <w:tcW w:w="60" w:type="dxa"/>
            <w:tcBorders/>
            <w:shd w:fill="FFFFFF" w:val="clear"/>
            <w:vAlign w:val="center"/>
          </w:tcPr>
          <w:p>
            <w:pPr>
              <w:pStyle w:val="TableContents"/>
              <w:spacing w:before="0" w:after="283"/>
              <w:rPr/>
            </w:pPr>
            <w:r>
              <w:rPr/>
              <w:t> </w:t>
            </w:r>
          </w:p>
        </w:tc>
        <w:tc>
          <w:tcPr>
            <w:tcW w:w="220" w:type="dxa"/>
            <w:tcBorders/>
            <w:shd w:fill="FFFFFF" w:val="clear"/>
            <w:vAlign w:val="center"/>
          </w:tcPr>
          <w:p>
            <w:pPr>
              <w:pStyle w:val="TableContents"/>
              <w:spacing w:before="0" w:after="283"/>
              <w:ind w:left="0" w:right="0" w:hanging="0"/>
              <w:rPr/>
            </w:pPr>
            <w:r>
              <w:rPr/>
              <w:t> </w:t>
            </w:r>
          </w:p>
        </w:tc>
        <w:tc>
          <w:tcPr>
            <w:tcW w:w="85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5.1</w:t>
            </w:r>
          </w:p>
        </w:tc>
        <w:tc>
          <w:tcPr>
            <w:tcW w:w="326"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105" w:type="dxa"/>
            <w:tcBorders/>
            <w:shd w:fill="FFFFFF" w:val="clear"/>
            <w:vAlign w:val="center"/>
          </w:tcPr>
          <w:p>
            <w:pPr>
              <w:pStyle w:val="TableContents"/>
              <w:spacing w:before="0" w:after="283"/>
              <w:rPr/>
            </w:pPr>
            <w:r>
              <w:rPr/>
              <w:t> </w:t>
            </w:r>
          </w:p>
        </w:tc>
        <w:tc>
          <w:tcPr>
            <w:tcW w:w="220" w:type="dxa"/>
            <w:tcBorders/>
            <w:shd w:fill="FFFFFF" w:val="clear"/>
            <w:vAlign w:val="center"/>
          </w:tcPr>
          <w:p>
            <w:pPr>
              <w:pStyle w:val="TableContents"/>
              <w:spacing w:before="0" w:after="283"/>
              <w:ind w:left="0" w:right="0" w:hanging="0"/>
              <w:rPr/>
            </w:pPr>
            <w:r>
              <w:rPr/>
              <w:t> </w:t>
            </w:r>
          </w:p>
        </w:tc>
        <w:tc>
          <w:tcPr>
            <w:tcW w:w="85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5.1</w:t>
            </w:r>
          </w:p>
        </w:tc>
        <w:tc>
          <w:tcPr>
            <w:tcW w:w="18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bl>
    <w:p>
      <w:pPr>
        <w:pStyle w:val="TextBody"/>
        <w:spacing w:before="0" w:after="0"/>
        <w:ind w:left="0" w:right="0" w:firstLine="360"/>
        <w:jc w:val="left"/>
        <w:rPr/>
      </w:pPr>
      <w:r>
        <w:rPr/>
        <w:t>​</w:t>
      </w:r>
    </w:p>
    <w:p>
      <w:pPr>
        <w:pStyle w:val="TextBody"/>
        <w:rPr/>
      </w:pPr>
      <w:r>
        <w:rPr/>
        <w:t xml:space="preserve">  </w:t>
      </w:r>
    </w:p>
    <w:p>
      <w:pPr>
        <w:pStyle w:val="TextBody"/>
        <w:spacing w:before="0" w:after="0"/>
        <w:ind w:left="0" w:right="0" w:firstLine="360"/>
        <w:jc w:val="left"/>
        <w:rPr/>
      </w:pPr>
      <w:r>
        <w:rPr>
          <w:rFonts w:ascii="Times New Roman;Times;serif" w:hAnsi="Times New Roman;Times;serif"/>
          <w:b/>
          <w:sz w:val="20"/>
        </w:rPr>
        <w:t xml:space="preserve">Note </w:t>
      </w:r>
      <w:r>
        <w:rPr>
          <w:rStyle w:val="Emphasis"/>
          <w:rFonts w:ascii="Times New Roman;Times;serif" w:hAnsi="Times New Roman;Times;serif"/>
          <w:b/>
          <w:sz w:val="20"/>
        </w:rPr>
        <w:t>13.</w:t>
      </w:r>
      <w:r>
        <w:rPr>
          <w:rFonts w:ascii="Times New Roman;Times;serif" w:hAnsi="Times New Roman;Times;serif"/>
          <w:b/>
          <w:sz w:val="20"/>
        </w:rPr>
        <w:t>  Accrued Liabilities​</w:t>
      </w:r>
    </w:p>
    <w:p>
      <w:pPr>
        <w:pStyle w:val="TextBody"/>
        <w:spacing w:before="0" w:after="0"/>
        <w:ind w:left="0" w:right="0" w:hanging="0"/>
        <w:jc w:val="left"/>
        <w:rPr/>
      </w:pPr>
      <w:r>
        <w:rPr/>
        <w:t>​</w:t>
      </w:r>
    </w:p>
    <w:p>
      <w:pPr>
        <w:pStyle w:val="TextBody"/>
        <w:spacing w:before="0" w:after="0"/>
        <w:ind w:left="0" w:right="0" w:firstLine="720"/>
        <w:jc w:val="left"/>
        <w:rPr>
          <w:rFonts w:ascii="Times New Roman;Times;serif" w:hAnsi="Times New Roman;Times;serif"/>
          <w:sz w:val="20"/>
        </w:rPr>
      </w:pPr>
      <w:r>
        <w:rPr>
          <w:rFonts w:ascii="Times New Roman;Times;serif" w:hAnsi="Times New Roman;Times;serif"/>
          <w:sz w:val="20"/>
        </w:rPr>
        <w:t>Accrued liabilities consisted of the following for the periods indicated (in thousands):</w:t>
      </w:r>
    </w:p>
    <w:p>
      <w:pPr>
        <w:pStyle w:val="TextBody"/>
        <w:spacing w:before="0" w:after="0"/>
        <w:ind w:left="0" w:right="0" w:firstLine="720"/>
        <w:jc w:val="left"/>
        <w:rPr/>
      </w:pPr>
      <w:r>
        <w:rPr/>
        <w:t>​</w:t>
      </w:r>
    </w:p>
    <w:tbl>
      <w:tblPr>
        <w:tblW w:w="6208" w:type="dxa"/>
        <w:jc w:val="left"/>
        <w:tblInd w:w="0" w:type="dxa"/>
        <w:tblCellMar>
          <w:top w:w="0" w:type="dxa"/>
          <w:left w:w="0" w:type="dxa"/>
          <w:bottom w:w="0" w:type="dxa"/>
          <w:right w:w="0" w:type="dxa"/>
        </w:tblCellMar>
      </w:tblPr>
      <w:tblGrid>
        <w:gridCol w:w="3020"/>
        <w:gridCol w:w="60"/>
        <w:gridCol w:w="234"/>
        <w:gridCol w:w="1105"/>
        <w:gridCol w:w="60"/>
        <w:gridCol w:w="60"/>
        <w:gridCol w:w="280"/>
        <w:gridCol w:w="1329"/>
        <w:gridCol w:w="60"/>
      </w:tblGrid>
      <w:tr>
        <w:trPr/>
        <w:tc>
          <w:tcPr>
            <w:tcW w:w="302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339"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sz w:val="20"/>
              </w:rPr>
              <w:t>March 31, 2023</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609"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sz w:val="20"/>
              </w:rPr>
              <w:t>December 31, 2022</w:t>
            </w:r>
          </w:p>
        </w:tc>
        <w:tc>
          <w:tcPr>
            <w:tcW w:w="60" w:type="dxa"/>
            <w:tcBorders/>
            <w:shd w:fill="FFFFFF" w:val="clear"/>
            <w:vAlign w:val="center"/>
          </w:tcPr>
          <w:p>
            <w:pPr>
              <w:pStyle w:val="TableContents"/>
              <w:spacing w:before="0" w:after="283"/>
              <w:rPr/>
            </w:pPr>
            <w:r>
              <w:rPr/>
              <w:t> </w:t>
            </w:r>
          </w:p>
        </w:tc>
      </w:tr>
      <w:tr>
        <w:trPr/>
        <w:tc>
          <w:tcPr>
            <w:tcW w:w="302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Accrued payroll</w:t>
            </w:r>
          </w:p>
        </w:tc>
        <w:tc>
          <w:tcPr>
            <w:tcW w:w="60" w:type="dxa"/>
            <w:tcBorders/>
            <w:shd w:fill="CCEEFF" w:val="clear"/>
            <w:vAlign w:val="center"/>
          </w:tcPr>
          <w:p>
            <w:pPr>
              <w:pStyle w:val="TableContents"/>
              <w:spacing w:before="0" w:after="283"/>
              <w:ind w:left="0" w:right="0" w:hanging="0"/>
              <w:rPr/>
            </w:pPr>
            <w:r>
              <w:rPr/>
              <w:t> </w:t>
            </w:r>
          </w:p>
        </w:tc>
        <w:tc>
          <w:tcPr>
            <w:tcW w:w="234"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10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6,952</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80"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329"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9,702</w:t>
            </w:r>
          </w:p>
        </w:tc>
        <w:tc>
          <w:tcPr>
            <w:tcW w:w="60" w:type="dxa"/>
            <w:tcBorders/>
            <w:shd w:fill="CCEEFF" w:val="clear"/>
            <w:vAlign w:val="center"/>
          </w:tcPr>
          <w:p>
            <w:pPr>
              <w:pStyle w:val="TableContents"/>
              <w:spacing w:before="0" w:after="283"/>
              <w:rPr/>
            </w:pPr>
            <w:r>
              <w:rPr/>
              <w:t> </w:t>
            </w:r>
          </w:p>
        </w:tc>
      </w:tr>
      <w:tr>
        <w:trPr/>
        <w:tc>
          <w:tcPr>
            <w:tcW w:w="3020" w:type="dxa"/>
            <w:tcBorders/>
            <w:shd w:fill="FFFFFF" w:val="clear"/>
            <w:vAlign w:val="center"/>
          </w:tcPr>
          <w:p>
            <w:pPr>
              <w:pStyle w:val="TableContents"/>
              <w:spacing w:before="0" w:after="0"/>
              <w:rPr>
                <w:rFonts w:ascii="Times New Roman" w:hAnsi="Times New Roman"/>
                <w:sz w:val="20"/>
              </w:rPr>
            </w:pPr>
            <w:r>
              <w:rPr>
                <w:rFonts w:ascii="Times New Roman" w:hAnsi="Times New Roman"/>
                <w:sz w:val="20"/>
              </w:rPr>
              <w:t>Accrued employee benefits</w:t>
            </w:r>
          </w:p>
        </w:tc>
        <w:tc>
          <w:tcPr>
            <w:tcW w:w="60" w:type="dxa"/>
            <w:tcBorders/>
            <w:shd w:fill="FFFFFF" w:val="clear"/>
            <w:vAlign w:val="center"/>
          </w:tcPr>
          <w:p>
            <w:pPr>
              <w:pStyle w:val="TableContents"/>
              <w:spacing w:before="0" w:after="283"/>
              <w:rPr/>
            </w:pPr>
            <w:r>
              <w:rPr/>
              <w:t> </w:t>
            </w:r>
          </w:p>
        </w:tc>
        <w:tc>
          <w:tcPr>
            <w:tcW w:w="234" w:type="dxa"/>
            <w:tcBorders/>
            <w:shd w:fill="FFFFFF" w:val="clear"/>
            <w:vAlign w:val="center"/>
          </w:tcPr>
          <w:p>
            <w:pPr>
              <w:pStyle w:val="TableContents"/>
              <w:spacing w:before="0" w:after="283"/>
              <w:ind w:left="0" w:right="0" w:hanging="0"/>
              <w:rPr/>
            </w:pPr>
            <w:r>
              <w:rPr/>
              <w:t> </w:t>
            </w:r>
          </w:p>
        </w:tc>
        <w:tc>
          <w:tcPr>
            <w:tcW w:w="110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3,208</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80" w:type="dxa"/>
            <w:tcBorders/>
            <w:shd w:fill="FFFFFF" w:val="clear"/>
            <w:vAlign w:val="center"/>
          </w:tcPr>
          <w:p>
            <w:pPr>
              <w:pStyle w:val="TableContents"/>
              <w:spacing w:before="0" w:after="283"/>
              <w:ind w:left="0" w:right="0" w:hanging="0"/>
              <w:rPr/>
            </w:pPr>
            <w:r>
              <w:rPr/>
              <w:t> </w:t>
            </w:r>
          </w:p>
        </w:tc>
        <w:tc>
          <w:tcPr>
            <w:tcW w:w="1329"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3,265</w:t>
            </w:r>
          </w:p>
        </w:tc>
        <w:tc>
          <w:tcPr>
            <w:tcW w:w="60" w:type="dxa"/>
            <w:tcBorders/>
            <w:shd w:fill="FFFFFF" w:val="clear"/>
            <w:vAlign w:val="center"/>
          </w:tcPr>
          <w:p>
            <w:pPr>
              <w:pStyle w:val="TableContents"/>
              <w:spacing w:before="0" w:after="283"/>
              <w:rPr/>
            </w:pPr>
            <w:r>
              <w:rPr/>
              <w:t> </w:t>
            </w:r>
          </w:p>
        </w:tc>
      </w:tr>
      <w:tr>
        <w:trPr/>
        <w:tc>
          <w:tcPr>
            <w:tcW w:w="302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Accrued state and local taxes</w:t>
            </w:r>
          </w:p>
        </w:tc>
        <w:tc>
          <w:tcPr>
            <w:tcW w:w="60" w:type="dxa"/>
            <w:tcBorders/>
            <w:shd w:fill="CCEEFF" w:val="clear"/>
            <w:vAlign w:val="center"/>
          </w:tcPr>
          <w:p>
            <w:pPr>
              <w:pStyle w:val="TableContents"/>
              <w:spacing w:before="0" w:after="283"/>
              <w:rPr/>
            </w:pPr>
            <w:r>
              <w:rPr/>
              <w:t> </w:t>
            </w:r>
          </w:p>
        </w:tc>
        <w:tc>
          <w:tcPr>
            <w:tcW w:w="234" w:type="dxa"/>
            <w:tcBorders/>
            <w:shd w:fill="CCEEFF" w:val="clear"/>
            <w:vAlign w:val="center"/>
          </w:tcPr>
          <w:p>
            <w:pPr>
              <w:pStyle w:val="TableContents"/>
              <w:spacing w:before="0" w:after="283"/>
              <w:ind w:left="0" w:right="0" w:hanging="0"/>
              <w:rPr/>
            </w:pPr>
            <w:r>
              <w:rPr/>
              <w:t> </w:t>
            </w:r>
          </w:p>
        </w:tc>
        <w:tc>
          <w:tcPr>
            <w:tcW w:w="110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570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80" w:type="dxa"/>
            <w:tcBorders/>
            <w:shd w:fill="CCEEFF" w:val="clear"/>
            <w:vAlign w:val="center"/>
          </w:tcPr>
          <w:p>
            <w:pPr>
              <w:pStyle w:val="TableContents"/>
              <w:spacing w:before="0" w:after="283"/>
              <w:ind w:left="0" w:right="0" w:hanging="0"/>
              <w:rPr/>
            </w:pPr>
            <w:r>
              <w:rPr/>
              <w:t> </w:t>
            </w:r>
          </w:p>
        </w:tc>
        <w:tc>
          <w:tcPr>
            <w:tcW w:w="1329"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588</w:t>
            </w:r>
          </w:p>
        </w:tc>
        <w:tc>
          <w:tcPr>
            <w:tcW w:w="60" w:type="dxa"/>
            <w:tcBorders/>
            <w:shd w:fill="CCEEFF" w:val="clear"/>
            <w:vAlign w:val="center"/>
          </w:tcPr>
          <w:p>
            <w:pPr>
              <w:pStyle w:val="TableContents"/>
              <w:spacing w:before="0" w:after="283"/>
              <w:ind w:left="0" w:right="0" w:hanging="0"/>
              <w:rPr/>
            </w:pPr>
            <w:r>
              <w:rPr/>
              <w:t> </w:t>
            </w:r>
          </w:p>
        </w:tc>
      </w:tr>
      <w:tr>
        <w:trPr/>
        <w:tc>
          <w:tcPr>
            <w:tcW w:w="3020"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Accrued interest</w:t>
            </w:r>
          </w:p>
        </w:tc>
        <w:tc>
          <w:tcPr>
            <w:tcW w:w="60" w:type="dxa"/>
            <w:tcBorders/>
            <w:shd w:fill="FFFFFF" w:val="clear"/>
            <w:vAlign w:val="center"/>
          </w:tcPr>
          <w:p>
            <w:pPr>
              <w:pStyle w:val="TableContents"/>
              <w:spacing w:before="0" w:after="0"/>
              <w:ind w:left="0" w:right="0" w:hanging="0"/>
              <w:rPr/>
            </w:pPr>
            <w:r>
              <w:rPr/>
              <w:t> </w:t>
            </w:r>
          </w:p>
        </w:tc>
        <w:tc>
          <w:tcPr>
            <w:tcW w:w="234" w:type="dxa"/>
            <w:tcBorders/>
            <w:shd w:fill="FFFFFF" w:val="clear"/>
            <w:vAlign w:val="center"/>
          </w:tcPr>
          <w:p>
            <w:pPr>
              <w:pStyle w:val="TableContents"/>
              <w:spacing w:before="0" w:after="0"/>
              <w:ind w:left="0" w:right="0" w:hanging="0"/>
              <w:rPr/>
            </w:pPr>
            <w:r>
              <w:rPr/>
              <w:t> </w:t>
            </w:r>
          </w:p>
        </w:tc>
        <w:tc>
          <w:tcPr>
            <w:tcW w:w="1105" w:type="dxa"/>
            <w:tcBorders/>
            <w:shd w:fill="FFFF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635</w:t>
            </w:r>
          </w:p>
        </w:tc>
        <w:tc>
          <w:tcPr>
            <w:tcW w:w="60" w:type="dxa"/>
            <w:tcBorders/>
            <w:shd w:fill="FFFFFF" w:val="clear"/>
            <w:vAlign w:val="center"/>
          </w:tcPr>
          <w:p>
            <w:pPr>
              <w:pStyle w:val="TableContents"/>
              <w:spacing w:before="0" w:after="0"/>
              <w:ind w:left="0" w:right="0" w:hanging="0"/>
              <w:rPr/>
            </w:pPr>
            <w:r>
              <w:rPr/>
              <w:t> </w:t>
            </w:r>
          </w:p>
        </w:tc>
        <w:tc>
          <w:tcPr>
            <w:tcW w:w="60" w:type="dxa"/>
            <w:tcBorders/>
            <w:shd w:fill="FFFFFF" w:val="clear"/>
            <w:vAlign w:val="center"/>
          </w:tcPr>
          <w:p>
            <w:pPr>
              <w:pStyle w:val="TableContents"/>
              <w:spacing w:before="0" w:after="0"/>
              <w:ind w:left="0" w:right="0" w:hanging="0"/>
              <w:rPr/>
            </w:pPr>
            <w:r>
              <w:rPr/>
              <w:t> </w:t>
            </w:r>
          </w:p>
        </w:tc>
        <w:tc>
          <w:tcPr>
            <w:tcW w:w="280" w:type="dxa"/>
            <w:tcBorders/>
            <w:shd w:fill="FFFFFF" w:val="clear"/>
            <w:vAlign w:val="center"/>
          </w:tcPr>
          <w:p>
            <w:pPr>
              <w:pStyle w:val="TableContents"/>
              <w:spacing w:before="0" w:after="0"/>
              <w:ind w:left="0" w:right="0" w:hanging="0"/>
              <w:rPr/>
            </w:pPr>
            <w:r>
              <w:rPr/>
              <w:t> </w:t>
            </w:r>
          </w:p>
        </w:tc>
        <w:tc>
          <w:tcPr>
            <w:tcW w:w="1329" w:type="dxa"/>
            <w:tcBorders/>
            <w:shd w:fill="FFFF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1,597</w:t>
            </w:r>
          </w:p>
        </w:tc>
        <w:tc>
          <w:tcPr>
            <w:tcW w:w="60" w:type="dxa"/>
            <w:tcBorders/>
            <w:shd w:fill="FFFFFF" w:val="clear"/>
            <w:vAlign w:val="center"/>
          </w:tcPr>
          <w:p>
            <w:pPr>
              <w:pStyle w:val="TableContents"/>
              <w:spacing w:before="0" w:after="0"/>
              <w:rPr/>
            </w:pPr>
            <w:r>
              <w:rPr/>
              <w:t> </w:t>
            </w:r>
          </w:p>
        </w:tc>
      </w:tr>
      <w:tr>
        <w:trPr/>
        <w:tc>
          <w:tcPr>
            <w:tcW w:w="302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Accrued shipping and tariff expenses</w:t>
            </w:r>
          </w:p>
        </w:tc>
        <w:tc>
          <w:tcPr>
            <w:tcW w:w="60" w:type="dxa"/>
            <w:tcBorders/>
            <w:shd w:fill="CCEEFF" w:val="clear"/>
            <w:vAlign w:val="center"/>
          </w:tcPr>
          <w:p>
            <w:pPr>
              <w:pStyle w:val="TableContents"/>
              <w:spacing w:before="0" w:after="283"/>
              <w:rPr/>
            </w:pPr>
            <w:r>
              <w:rPr/>
              <w:t> </w:t>
            </w:r>
          </w:p>
        </w:tc>
        <w:tc>
          <w:tcPr>
            <w:tcW w:w="234" w:type="dxa"/>
            <w:tcBorders/>
            <w:shd w:fill="CCEEFF" w:val="clear"/>
            <w:vAlign w:val="center"/>
          </w:tcPr>
          <w:p>
            <w:pPr>
              <w:pStyle w:val="TableContents"/>
              <w:spacing w:before="0" w:after="283"/>
              <w:rPr/>
            </w:pPr>
            <w:r>
              <w:rPr/>
              <w:t> </w:t>
            </w:r>
          </w:p>
        </w:tc>
        <w:tc>
          <w:tcPr>
            <w:tcW w:w="1105"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2</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80" w:type="dxa"/>
            <w:tcBorders/>
            <w:shd w:fill="CCEEFF" w:val="clear"/>
            <w:vAlign w:val="center"/>
          </w:tcPr>
          <w:p>
            <w:pPr>
              <w:pStyle w:val="TableContents"/>
              <w:spacing w:before="0" w:after="283"/>
              <w:rPr/>
            </w:pPr>
            <w:r>
              <w:rPr/>
              <w:t> </w:t>
            </w:r>
          </w:p>
        </w:tc>
        <w:tc>
          <w:tcPr>
            <w:tcW w:w="1329"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rPr/>
            </w:pPr>
            <w:r>
              <w:rPr/>
              <w:t> </w:t>
            </w:r>
          </w:p>
        </w:tc>
      </w:tr>
      <w:tr>
        <w:trPr/>
        <w:tc>
          <w:tcPr>
            <w:tcW w:w="3020" w:type="dxa"/>
            <w:tcBorders/>
            <w:shd w:fill="FFFFFF" w:val="clear"/>
            <w:vAlign w:val="center"/>
          </w:tcPr>
          <w:p>
            <w:pPr>
              <w:pStyle w:val="TableContents"/>
              <w:spacing w:before="0" w:after="0"/>
              <w:rPr>
                <w:rFonts w:ascii="Times New Roman" w:hAnsi="Times New Roman"/>
                <w:sz w:val="20"/>
              </w:rPr>
            </w:pPr>
            <w:r>
              <w:rPr>
                <w:rFonts w:ascii="Times New Roman" w:hAnsi="Times New Roman"/>
                <w:sz w:val="20"/>
              </w:rPr>
              <w:t>Advanced payments</w:t>
            </w:r>
          </w:p>
        </w:tc>
        <w:tc>
          <w:tcPr>
            <w:tcW w:w="60" w:type="dxa"/>
            <w:tcBorders/>
            <w:shd w:fill="FFFFFF" w:val="clear"/>
            <w:vAlign w:val="center"/>
          </w:tcPr>
          <w:p>
            <w:pPr>
              <w:pStyle w:val="TableContents"/>
              <w:spacing w:before="0" w:after="283"/>
              <w:rPr/>
            </w:pPr>
            <w:r>
              <w:rPr/>
              <w:t> </w:t>
            </w:r>
          </w:p>
        </w:tc>
        <w:tc>
          <w:tcPr>
            <w:tcW w:w="234" w:type="dxa"/>
            <w:tcBorders/>
            <w:shd w:fill="FFFFFF" w:val="clear"/>
            <w:vAlign w:val="center"/>
          </w:tcPr>
          <w:p>
            <w:pPr>
              <w:pStyle w:val="TableContents"/>
              <w:spacing w:before="0" w:after="283"/>
              <w:rPr/>
            </w:pPr>
            <w:r>
              <w:rPr/>
              <w:t> </w:t>
            </w:r>
          </w:p>
        </w:tc>
        <w:tc>
          <w:tcPr>
            <w:tcW w:w="1105"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200</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80" w:type="dxa"/>
            <w:tcBorders/>
            <w:shd w:fill="FFFFFF" w:val="clear"/>
            <w:vAlign w:val="center"/>
          </w:tcPr>
          <w:p>
            <w:pPr>
              <w:pStyle w:val="TableContents"/>
              <w:spacing w:before="0" w:after="283"/>
              <w:rPr/>
            </w:pPr>
            <w:r>
              <w:rPr/>
              <w:t> </w:t>
            </w:r>
          </w:p>
        </w:tc>
        <w:tc>
          <w:tcPr>
            <w:tcW w:w="1329"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216</w:t>
            </w:r>
          </w:p>
        </w:tc>
        <w:tc>
          <w:tcPr>
            <w:tcW w:w="60" w:type="dxa"/>
            <w:tcBorders/>
            <w:shd w:fill="FFFFFF" w:val="clear"/>
            <w:vAlign w:val="center"/>
          </w:tcPr>
          <w:p>
            <w:pPr>
              <w:pStyle w:val="TableContents"/>
              <w:spacing w:before="0" w:after="283"/>
              <w:ind w:left="0" w:right="0" w:hanging="0"/>
              <w:rPr/>
            </w:pPr>
            <w:r>
              <w:rPr/>
              <w:t> </w:t>
            </w:r>
          </w:p>
        </w:tc>
      </w:tr>
      <w:tr>
        <w:trPr/>
        <w:tc>
          <w:tcPr>
            <w:tcW w:w="302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Accrued commission expenses</w:t>
            </w:r>
          </w:p>
        </w:tc>
        <w:tc>
          <w:tcPr>
            <w:tcW w:w="60" w:type="dxa"/>
            <w:tcBorders/>
            <w:shd w:fill="CCEEFF" w:val="clear"/>
            <w:vAlign w:val="center"/>
          </w:tcPr>
          <w:p>
            <w:pPr>
              <w:pStyle w:val="TableContents"/>
              <w:spacing w:before="0" w:after="0"/>
              <w:ind w:left="0" w:right="0" w:hanging="0"/>
              <w:rPr/>
            </w:pPr>
            <w:r>
              <w:rPr/>
              <w:t> </w:t>
            </w:r>
          </w:p>
        </w:tc>
        <w:tc>
          <w:tcPr>
            <w:tcW w:w="234" w:type="dxa"/>
            <w:tcBorders/>
            <w:shd w:fill="CCEEFF" w:val="clear"/>
            <w:vAlign w:val="center"/>
          </w:tcPr>
          <w:p>
            <w:pPr>
              <w:pStyle w:val="TableContents"/>
              <w:spacing w:before="0" w:after="0"/>
              <w:ind w:left="0" w:right="0" w:hanging="0"/>
              <w:rPr/>
            </w:pPr>
            <w:r>
              <w:rPr/>
              <w:t> </w:t>
            </w:r>
          </w:p>
        </w:tc>
        <w:tc>
          <w:tcPr>
            <w:tcW w:w="1105"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940</w:t>
            </w:r>
          </w:p>
        </w:tc>
        <w:tc>
          <w:tcPr>
            <w:tcW w:w="60" w:type="dxa"/>
            <w:tcBorders/>
            <w:shd w:fill="CCEEFF" w:val="clear"/>
            <w:vAlign w:val="center"/>
          </w:tcPr>
          <w:p>
            <w:pPr>
              <w:pStyle w:val="TableContents"/>
              <w:spacing w:before="0" w:after="0"/>
              <w:ind w:left="0" w:right="0" w:hanging="0"/>
              <w:rPr/>
            </w:pPr>
            <w:r>
              <w:rPr/>
              <w:t> </w:t>
            </w:r>
          </w:p>
        </w:tc>
        <w:tc>
          <w:tcPr>
            <w:tcW w:w="60" w:type="dxa"/>
            <w:tcBorders/>
            <w:shd w:fill="CCEEFF" w:val="clear"/>
            <w:vAlign w:val="center"/>
          </w:tcPr>
          <w:p>
            <w:pPr>
              <w:pStyle w:val="TableContents"/>
              <w:spacing w:before="0" w:after="0"/>
              <w:ind w:left="0" w:right="0" w:hanging="0"/>
              <w:rPr/>
            </w:pPr>
            <w:r>
              <w:rPr/>
              <w:t> </w:t>
            </w:r>
          </w:p>
        </w:tc>
        <w:tc>
          <w:tcPr>
            <w:tcW w:w="280" w:type="dxa"/>
            <w:tcBorders/>
            <w:shd w:fill="CCEEFF" w:val="clear"/>
            <w:vAlign w:val="center"/>
          </w:tcPr>
          <w:p>
            <w:pPr>
              <w:pStyle w:val="TableContents"/>
              <w:spacing w:before="0" w:after="0"/>
              <w:ind w:left="0" w:right="0" w:hanging="0"/>
              <w:rPr/>
            </w:pPr>
            <w:r>
              <w:rPr/>
              <w:t> </w:t>
            </w:r>
          </w:p>
        </w:tc>
        <w:tc>
          <w:tcPr>
            <w:tcW w:w="1329"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937</w:t>
            </w:r>
          </w:p>
        </w:tc>
        <w:tc>
          <w:tcPr>
            <w:tcW w:w="60" w:type="dxa"/>
            <w:tcBorders/>
            <w:shd w:fill="CCEEFF" w:val="clear"/>
            <w:vAlign w:val="center"/>
          </w:tcPr>
          <w:p>
            <w:pPr>
              <w:pStyle w:val="TableContents"/>
              <w:spacing w:before="0" w:after="0"/>
              <w:rPr/>
            </w:pPr>
            <w:r>
              <w:rPr/>
              <w:t> </w:t>
            </w:r>
          </w:p>
        </w:tc>
      </w:tr>
      <w:tr>
        <w:trPr/>
        <w:tc>
          <w:tcPr>
            <w:tcW w:w="3020" w:type="dxa"/>
            <w:tcBorders/>
            <w:shd w:fill="FFFFFF" w:val="clear"/>
            <w:vAlign w:val="center"/>
          </w:tcPr>
          <w:p>
            <w:pPr>
              <w:pStyle w:val="TableContents"/>
              <w:spacing w:before="0" w:after="0"/>
              <w:rPr>
                <w:rFonts w:ascii="Times New Roman" w:hAnsi="Times New Roman"/>
                <w:sz w:val="20"/>
              </w:rPr>
            </w:pPr>
            <w:r>
              <w:rPr>
                <w:rFonts w:ascii="Times New Roman" w:hAnsi="Times New Roman"/>
                <w:sz w:val="20"/>
              </w:rPr>
              <w:t>Accrued professional fees</w:t>
            </w:r>
          </w:p>
        </w:tc>
        <w:tc>
          <w:tcPr>
            <w:tcW w:w="60" w:type="dxa"/>
            <w:tcBorders/>
            <w:shd w:fill="FFFFFF" w:val="clear"/>
            <w:vAlign w:val="center"/>
          </w:tcPr>
          <w:p>
            <w:pPr>
              <w:pStyle w:val="TableContents"/>
              <w:spacing w:before="0" w:after="283"/>
              <w:rPr/>
            </w:pPr>
            <w:r>
              <w:rPr/>
              <w:t> </w:t>
            </w:r>
          </w:p>
        </w:tc>
        <w:tc>
          <w:tcPr>
            <w:tcW w:w="234" w:type="dxa"/>
            <w:tcBorders/>
            <w:shd w:fill="FFFFFF" w:val="clear"/>
            <w:vAlign w:val="center"/>
          </w:tcPr>
          <w:p>
            <w:pPr>
              <w:pStyle w:val="TableContents"/>
              <w:spacing w:before="0" w:after="283"/>
              <w:ind w:left="0" w:right="0" w:hanging="0"/>
              <w:rPr/>
            </w:pPr>
            <w:r>
              <w:rPr/>
              <w:t> </w:t>
            </w:r>
          </w:p>
        </w:tc>
        <w:tc>
          <w:tcPr>
            <w:tcW w:w="110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207</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80" w:type="dxa"/>
            <w:tcBorders/>
            <w:shd w:fill="FFFFFF" w:val="clear"/>
            <w:vAlign w:val="center"/>
          </w:tcPr>
          <w:p>
            <w:pPr>
              <w:pStyle w:val="TableContents"/>
              <w:spacing w:before="0" w:after="283"/>
              <w:ind w:left="0" w:right="0" w:hanging="0"/>
              <w:rPr/>
            </w:pPr>
            <w:r>
              <w:rPr/>
              <w:t> </w:t>
            </w:r>
          </w:p>
        </w:tc>
        <w:tc>
          <w:tcPr>
            <w:tcW w:w="1329"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409</w:t>
            </w:r>
          </w:p>
        </w:tc>
        <w:tc>
          <w:tcPr>
            <w:tcW w:w="60" w:type="dxa"/>
            <w:tcBorders/>
            <w:shd w:fill="FFFFFF" w:val="clear"/>
            <w:vAlign w:val="center"/>
          </w:tcPr>
          <w:p>
            <w:pPr>
              <w:pStyle w:val="TableContents"/>
              <w:spacing w:before="0" w:after="283"/>
              <w:rPr/>
            </w:pPr>
            <w:r>
              <w:rPr/>
              <w:t> </w:t>
            </w:r>
          </w:p>
        </w:tc>
      </w:tr>
      <w:tr>
        <w:trPr/>
        <w:tc>
          <w:tcPr>
            <w:tcW w:w="302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Accrued product warranty</w:t>
            </w:r>
          </w:p>
        </w:tc>
        <w:tc>
          <w:tcPr>
            <w:tcW w:w="60" w:type="dxa"/>
            <w:tcBorders/>
            <w:shd w:fill="CCEEFF" w:val="clear"/>
            <w:vAlign w:val="center"/>
          </w:tcPr>
          <w:p>
            <w:pPr>
              <w:pStyle w:val="TableContents"/>
              <w:spacing w:before="0" w:after="283"/>
              <w:rPr/>
            </w:pPr>
            <w:r>
              <w:rPr/>
              <w:t> </w:t>
            </w:r>
          </w:p>
        </w:tc>
        <w:tc>
          <w:tcPr>
            <w:tcW w:w="234" w:type="dxa"/>
            <w:tcBorders/>
            <w:shd w:fill="CCEEFF" w:val="clear"/>
            <w:vAlign w:val="center"/>
          </w:tcPr>
          <w:p>
            <w:pPr>
              <w:pStyle w:val="TableContents"/>
              <w:spacing w:before="0" w:after="283"/>
              <w:ind w:left="0" w:right="0" w:hanging="0"/>
              <w:rPr/>
            </w:pPr>
            <w:r>
              <w:rPr/>
              <w:t> </w:t>
            </w:r>
          </w:p>
        </w:tc>
        <w:tc>
          <w:tcPr>
            <w:tcW w:w="110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80" w:type="dxa"/>
            <w:tcBorders/>
            <w:shd w:fill="CCEEFF" w:val="clear"/>
            <w:vAlign w:val="center"/>
          </w:tcPr>
          <w:p>
            <w:pPr>
              <w:pStyle w:val="TableContents"/>
              <w:spacing w:before="0" w:after="283"/>
              <w:ind w:left="0" w:right="0" w:hanging="0"/>
              <w:rPr/>
            </w:pPr>
            <w:r>
              <w:rPr/>
              <w:t> </w:t>
            </w:r>
          </w:p>
        </w:tc>
        <w:tc>
          <w:tcPr>
            <w:tcW w:w="1329"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140</w:t>
            </w:r>
          </w:p>
        </w:tc>
        <w:tc>
          <w:tcPr>
            <w:tcW w:w="60" w:type="dxa"/>
            <w:tcBorders/>
            <w:shd w:fill="CCEEFF" w:val="clear"/>
            <w:vAlign w:val="center"/>
          </w:tcPr>
          <w:p>
            <w:pPr>
              <w:pStyle w:val="TableContents"/>
              <w:spacing w:before="0" w:after="283"/>
              <w:rPr/>
            </w:pPr>
            <w:r>
              <w:rPr/>
              <w:t> </w:t>
            </w:r>
          </w:p>
        </w:tc>
      </w:tr>
      <w:tr>
        <w:trPr/>
        <w:tc>
          <w:tcPr>
            <w:tcW w:w="3020" w:type="dxa"/>
            <w:tcBorders/>
            <w:shd w:fill="FFFFFF" w:val="clear"/>
            <w:vAlign w:val="center"/>
          </w:tcPr>
          <w:p>
            <w:pPr>
              <w:pStyle w:val="TableContents"/>
              <w:spacing w:before="0" w:after="0"/>
              <w:rPr>
                <w:rFonts w:ascii="Times New Roman" w:hAnsi="Times New Roman"/>
                <w:sz w:val="20"/>
              </w:rPr>
            </w:pPr>
            <w:r>
              <w:rPr>
                <w:rFonts w:ascii="Times New Roman" w:hAnsi="Times New Roman"/>
                <w:sz w:val="20"/>
              </w:rPr>
              <w:t>Accrued capital expenditure</w:t>
            </w:r>
          </w:p>
        </w:tc>
        <w:tc>
          <w:tcPr>
            <w:tcW w:w="60" w:type="dxa"/>
            <w:tcBorders/>
            <w:shd w:fill="FFFFFF" w:val="clear"/>
            <w:vAlign w:val="center"/>
          </w:tcPr>
          <w:p>
            <w:pPr>
              <w:pStyle w:val="TableContents"/>
              <w:spacing w:before="0" w:after="283"/>
              <w:rPr/>
            </w:pPr>
            <w:r>
              <w:rPr/>
              <w:t> </w:t>
            </w:r>
          </w:p>
        </w:tc>
        <w:tc>
          <w:tcPr>
            <w:tcW w:w="234" w:type="dxa"/>
            <w:tcBorders/>
            <w:shd w:fill="FFFFFF" w:val="clear"/>
            <w:vAlign w:val="center"/>
          </w:tcPr>
          <w:p>
            <w:pPr>
              <w:pStyle w:val="TableContents"/>
              <w:spacing w:before="0" w:after="283"/>
              <w:rPr/>
            </w:pPr>
            <w:r>
              <w:rPr/>
              <w:t> </w:t>
            </w:r>
          </w:p>
        </w:tc>
        <w:tc>
          <w:tcPr>
            <w:tcW w:w="1105"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20</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80" w:type="dxa"/>
            <w:tcBorders/>
            <w:shd w:fill="FFFFFF" w:val="clear"/>
            <w:vAlign w:val="center"/>
          </w:tcPr>
          <w:p>
            <w:pPr>
              <w:pStyle w:val="TableContents"/>
              <w:spacing w:before="0" w:after="283"/>
              <w:rPr/>
            </w:pPr>
            <w:r>
              <w:rPr/>
              <w:t> </w:t>
            </w:r>
          </w:p>
        </w:tc>
        <w:tc>
          <w:tcPr>
            <w:tcW w:w="1329" w:type="dxa"/>
            <w:tcBorders/>
            <w:shd w:fill="FFFFFF" w:val="cle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rPr/>
            </w:pPr>
            <w:r>
              <w:rPr/>
              <w:t> </w:t>
            </w:r>
          </w:p>
        </w:tc>
      </w:tr>
      <w:tr>
        <w:trPr/>
        <w:tc>
          <w:tcPr>
            <w:tcW w:w="302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Accrued other</w:t>
            </w:r>
          </w:p>
        </w:tc>
        <w:tc>
          <w:tcPr>
            <w:tcW w:w="60" w:type="dxa"/>
            <w:tcBorders/>
            <w:shd w:fill="CCEEFF" w:val="clear"/>
            <w:vAlign w:val="center"/>
          </w:tcPr>
          <w:p>
            <w:pPr>
              <w:pStyle w:val="TableContents"/>
              <w:spacing w:before="0" w:after="283"/>
              <w:rPr/>
            </w:pPr>
            <w:r>
              <w:rPr/>
              <w:t> </w:t>
            </w:r>
          </w:p>
        </w:tc>
        <w:tc>
          <w:tcPr>
            <w:tcW w:w="234"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110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646</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80"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1329"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368</w:t>
            </w:r>
          </w:p>
        </w:tc>
        <w:tc>
          <w:tcPr>
            <w:tcW w:w="60" w:type="dxa"/>
            <w:tcBorders/>
            <w:shd w:fill="CCEEFF" w:val="clear"/>
            <w:vAlign w:val="center"/>
          </w:tcPr>
          <w:p>
            <w:pPr>
              <w:pStyle w:val="TableContents"/>
              <w:spacing w:before="0" w:after="283"/>
              <w:rPr/>
            </w:pPr>
            <w:r>
              <w:rPr/>
              <w:t> </w:t>
            </w:r>
          </w:p>
        </w:tc>
      </w:tr>
      <w:tr>
        <w:trPr/>
        <w:tc>
          <w:tcPr>
            <w:tcW w:w="3020" w:type="dxa"/>
            <w:tcBorders/>
            <w:shd w:fill="FFFFFF" w:val="clear"/>
            <w:vAlign w:val="center"/>
          </w:tcPr>
          <w:p>
            <w:pPr>
              <w:pStyle w:val="TableContents"/>
              <w:spacing w:before="0" w:after="0"/>
              <w:rPr>
                <w:rFonts w:ascii="Times New Roman" w:hAnsi="Times New Roman"/>
                <w:sz w:val="20"/>
              </w:rPr>
            </w:pPr>
            <w:r>
              <w:rPr>
                <w:rFonts w:ascii="Times New Roman" w:hAnsi="Times New Roman"/>
                <w:sz w:val="20"/>
              </w:rPr>
              <w:t>Total accrued liabilities</w:t>
            </w:r>
          </w:p>
        </w:tc>
        <w:tc>
          <w:tcPr>
            <w:tcW w:w="60" w:type="dxa"/>
            <w:tcBorders/>
            <w:shd w:fill="FFFFFF" w:val="clear"/>
            <w:vAlign w:val="center"/>
          </w:tcPr>
          <w:p>
            <w:pPr>
              <w:pStyle w:val="TableContents"/>
              <w:spacing w:before="0" w:after="283"/>
              <w:ind w:left="0" w:right="0" w:hanging="0"/>
              <w:rPr/>
            </w:pPr>
            <w:r>
              <w:rPr/>
              <w:t> </w:t>
            </w:r>
          </w:p>
        </w:tc>
        <w:tc>
          <w:tcPr>
            <w:tcW w:w="234"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10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13,505</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80"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329"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17,222</w:t>
            </w:r>
          </w:p>
        </w:tc>
        <w:tc>
          <w:tcPr>
            <w:tcW w:w="60" w:type="dxa"/>
            <w:tcBorders/>
            <w:shd w:fill="FFFFFF" w:val="clear"/>
            <w:vAlign w:val="center"/>
          </w:tcPr>
          <w:p>
            <w:pPr>
              <w:pStyle w:val="TableContents"/>
              <w:spacing w:before="0" w:after="283"/>
              <w:rPr/>
            </w:pPr>
            <w:r>
              <w:rPr/>
              <w:t> </w:t>
            </w:r>
          </w:p>
        </w:tc>
      </w:tr>
    </w:tbl>
    <w:p>
      <w:pPr>
        <w:pStyle w:val="TextBody"/>
        <w:spacing w:before="0" w:after="0"/>
        <w:ind w:left="0" w:right="0" w:hanging="0"/>
        <w:jc w:val="left"/>
        <w:rPr/>
      </w:pPr>
      <w:r>
        <w:rPr/>
        <w:t>​</w:t>
      </w:r>
    </w:p>
    <w:p>
      <w:pPr>
        <w:pStyle w:val="TextBody"/>
        <w:rPr/>
      </w:pPr>
      <w:r>
        <w:rPr/>
        <w:t xml:space="preserve">  </w:t>
      </w:r>
    </w:p>
    <w:p>
      <w:pPr>
        <w:pStyle w:val="TextBody"/>
        <w:spacing w:before="0" w:after="0"/>
        <w:ind w:left="0" w:right="0" w:hanging="0"/>
        <w:jc w:val="left"/>
        <w:rPr/>
      </w:pPr>
      <w:r>
        <w:rPr>
          <w:rFonts w:ascii="Times New Roman" w:hAnsi="Times New Roman"/>
          <w:b/>
          <w:sz w:val="20"/>
        </w:rPr>
        <w:t xml:space="preserve">Note </w:t>
      </w:r>
      <w:r>
        <w:rPr>
          <w:rStyle w:val="Emphasis"/>
          <w:rFonts w:ascii="Times New Roman" w:hAnsi="Times New Roman"/>
          <w:b/>
          <w:sz w:val="20"/>
        </w:rPr>
        <w:t>14.</w:t>
      </w:r>
      <w:r>
        <w:rPr>
          <w:rFonts w:ascii="Times New Roman" w:hAnsi="Times New Roman"/>
          <w:b/>
          <w:sz w:val="20"/>
        </w:rPr>
        <w:t>  Other Income and Expense</w:t>
      </w:r>
    </w:p>
    <w:p>
      <w:pPr>
        <w:pStyle w:val="TextBody"/>
        <w:spacing w:before="0" w:after="0"/>
        <w:ind w:left="0" w:right="0" w:hanging="0"/>
        <w:jc w:val="left"/>
        <w:rPr/>
      </w:pPr>
      <w:r>
        <w:rPr/>
        <w:t>​</w:t>
      </w:r>
    </w:p>
    <w:p>
      <w:pPr>
        <w:pStyle w:val="TextBody"/>
        <w:spacing w:before="0" w:after="0"/>
        <w:ind w:left="0" w:right="0" w:firstLine="720"/>
        <w:jc w:val="left"/>
        <w:rPr>
          <w:rFonts w:ascii="Times New Roman" w:hAnsi="Times New Roman"/>
          <w:sz w:val="20"/>
        </w:rPr>
      </w:pPr>
      <w:r>
        <w:rPr>
          <w:rFonts w:ascii="Times New Roman" w:hAnsi="Times New Roman"/>
          <w:sz w:val="20"/>
        </w:rPr>
        <w:t>Other income and (expense) consisted of the following for the periods indicated (in thousands):</w:t>
      </w:r>
    </w:p>
    <w:p>
      <w:pPr>
        <w:pStyle w:val="TextBody"/>
        <w:spacing w:before="0" w:after="0"/>
        <w:ind w:left="0" w:right="0" w:hanging="0"/>
        <w:jc w:val="left"/>
        <w:rPr/>
      </w:pPr>
      <w:r>
        <w:rPr/>
        <w:t> </w:t>
      </w:r>
    </w:p>
    <w:tbl>
      <w:tblPr>
        <w:tblW w:w="6027" w:type="dxa"/>
        <w:jc w:val="left"/>
        <w:tblInd w:w="0" w:type="dxa"/>
        <w:tblCellMar>
          <w:top w:w="0" w:type="dxa"/>
          <w:left w:w="0" w:type="dxa"/>
          <w:bottom w:w="0" w:type="dxa"/>
          <w:right w:w="0" w:type="dxa"/>
        </w:tblCellMar>
      </w:tblPr>
      <w:tblGrid>
        <w:gridCol w:w="3305"/>
        <w:gridCol w:w="60"/>
        <w:gridCol w:w="273"/>
        <w:gridCol w:w="865"/>
        <w:gridCol w:w="175"/>
        <w:gridCol w:w="131"/>
        <w:gridCol w:w="273"/>
        <w:gridCol w:w="865"/>
        <w:gridCol w:w="80"/>
      </w:tblGrid>
      <w:tr>
        <w:trPr/>
        <w:tc>
          <w:tcPr>
            <w:tcW w:w="330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582"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Three months ended March 31,</w:t>
            </w:r>
          </w:p>
        </w:tc>
        <w:tc>
          <w:tcPr>
            <w:tcW w:w="80" w:type="dxa"/>
            <w:tcBorders/>
            <w:shd w:fill="FFFFFF" w:val="clear"/>
            <w:vAlign w:val="center"/>
          </w:tcPr>
          <w:p>
            <w:pPr>
              <w:pStyle w:val="TableContents"/>
              <w:spacing w:before="0" w:after="283"/>
              <w:rPr/>
            </w:pPr>
            <w:r>
              <w:rPr/>
              <w:t> </w:t>
            </w:r>
          </w:p>
        </w:tc>
      </w:tr>
      <w:tr>
        <w:trPr/>
        <w:tc>
          <w:tcPr>
            <w:tcW w:w="3305" w:type="dxa"/>
            <w:tcBorders/>
            <w:shd w:fill="FFFFFF" w:val="clear"/>
            <w:vAlign w:val="center"/>
          </w:tcPr>
          <w:p>
            <w:pPr>
              <w:pStyle w:val="TableContents"/>
              <w:spacing w:before="0" w:after="0"/>
              <w:rPr>
                <w:caps w:val="false"/>
                <w:smallCaps w:val="false"/>
              </w:rPr>
            </w:pPr>
            <w:r>
              <w:rPr>
                <w:caps w:val="false"/>
                <w:smallCaps w:val="false"/>
              </w:rPr>
              <w:t>​</w:t>
            </w:r>
          </w:p>
        </w:tc>
        <w:tc>
          <w:tcPr>
            <w:tcW w:w="60" w:type="dxa"/>
            <w:tcBorders/>
            <w:shd w:fill="FFFFFF" w:val="clear"/>
            <w:vAlign w:val="center"/>
          </w:tcPr>
          <w:p>
            <w:pPr>
              <w:pStyle w:val="TableContents"/>
              <w:spacing w:before="0" w:after="283"/>
              <w:ind w:left="0" w:right="0" w:hanging="0"/>
              <w:rPr/>
            </w:pPr>
            <w:r>
              <w:rPr/>
              <w:t> </w:t>
            </w:r>
          </w:p>
        </w:tc>
        <w:tc>
          <w:tcPr>
            <w:tcW w:w="1138"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2023</w:t>
            </w:r>
          </w:p>
        </w:tc>
        <w:tc>
          <w:tcPr>
            <w:tcW w:w="175" w:type="dxa"/>
            <w:tcBorders/>
            <w:shd w:fill="FFFFFF" w:val="clear"/>
            <w:vAlign w:val="center"/>
          </w:tcPr>
          <w:p>
            <w:pPr>
              <w:pStyle w:val="TableContents"/>
              <w:spacing w:before="0" w:after="283"/>
              <w:rPr/>
            </w:pPr>
            <w:r>
              <w:rPr/>
              <w:t> </w:t>
            </w:r>
          </w:p>
        </w:tc>
        <w:tc>
          <w:tcPr>
            <w:tcW w:w="131" w:type="dxa"/>
            <w:tcBorders/>
            <w:shd w:fill="FFFFFF" w:val="clear"/>
            <w:vAlign w:val="center"/>
          </w:tcPr>
          <w:p>
            <w:pPr>
              <w:pStyle w:val="TableContents"/>
              <w:spacing w:before="0" w:after="283"/>
              <w:ind w:left="0" w:right="0" w:hanging="0"/>
              <w:rPr/>
            </w:pPr>
            <w:r>
              <w:rPr/>
              <w:t> </w:t>
            </w:r>
          </w:p>
        </w:tc>
        <w:tc>
          <w:tcPr>
            <w:tcW w:w="1138"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2022</w:t>
            </w:r>
          </w:p>
        </w:tc>
        <w:tc>
          <w:tcPr>
            <w:tcW w:w="80" w:type="dxa"/>
            <w:tcBorders/>
            <w:shd w:fill="FFFFFF" w:val="clear"/>
            <w:vAlign w:val="center"/>
          </w:tcPr>
          <w:p>
            <w:pPr>
              <w:pStyle w:val="TableContents"/>
              <w:spacing w:before="0" w:after="283"/>
              <w:rPr/>
            </w:pPr>
            <w:r>
              <w:rPr/>
              <w:t> </w:t>
            </w:r>
          </w:p>
        </w:tc>
      </w:tr>
      <w:tr>
        <w:trPr/>
        <w:tc>
          <w:tcPr>
            <w:tcW w:w="330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Foreign exchange transaction gain (loss)</w:t>
            </w:r>
          </w:p>
        </w:tc>
        <w:tc>
          <w:tcPr>
            <w:tcW w:w="60" w:type="dxa"/>
            <w:tcBorders/>
            <w:shd w:fill="CCEEFF" w:val="clear"/>
            <w:vAlign w:val="center"/>
          </w:tcPr>
          <w:p>
            <w:pPr>
              <w:pStyle w:val="TableContents"/>
              <w:spacing w:before="0" w:after="283"/>
              <w:ind w:left="0" w:right="0" w:hanging="0"/>
              <w:rPr/>
            </w:pPr>
            <w:r>
              <w:rPr/>
              <w:t> </w:t>
            </w:r>
          </w:p>
        </w:tc>
        <w:tc>
          <w:tcPr>
            <w:tcW w:w="273"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6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(237</w:t>
            </w:r>
          </w:p>
        </w:tc>
        <w:tc>
          <w:tcPr>
            <w:tcW w:w="17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131" w:type="dxa"/>
            <w:tcBorders/>
            <w:shd w:fill="CCEEFF" w:val="clear"/>
            <w:vAlign w:val="center"/>
          </w:tcPr>
          <w:p>
            <w:pPr>
              <w:pStyle w:val="TableContents"/>
              <w:spacing w:before="0" w:after="283"/>
              <w:ind w:left="0" w:right="0" w:hanging="0"/>
              <w:rPr/>
            </w:pPr>
            <w:r>
              <w:rPr/>
              <w:t> </w:t>
            </w:r>
          </w:p>
        </w:tc>
        <w:tc>
          <w:tcPr>
            <w:tcW w:w="273"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6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(523</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3305"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Government subsidy income</w:t>
            </w:r>
          </w:p>
        </w:tc>
        <w:tc>
          <w:tcPr>
            <w:tcW w:w="60" w:type="dxa"/>
            <w:tcBorders/>
            <w:shd w:fill="FFFFFF" w:val="clear"/>
            <w:vAlign w:val="center"/>
          </w:tcPr>
          <w:p>
            <w:pPr>
              <w:pStyle w:val="TableContents"/>
              <w:spacing w:before="0" w:after="283"/>
              <w:rPr/>
            </w:pPr>
            <w:r>
              <w:rPr/>
              <w:t> </w:t>
            </w:r>
          </w:p>
        </w:tc>
        <w:tc>
          <w:tcPr>
            <w:tcW w:w="273" w:type="dxa"/>
            <w:tcBorders/>
            <w:shd w:fill="FFFFFF" w:val="clear"/>
            <w:vAlign w:val="center"/>
          </w:tcPr>
          <w:p>
            <w:pPr>
              <w:pStyle w:val="TableContents"/>
              <w:spacing w:before="0" w:after="283"/>
              <w:ind w:left="0" w:right="0" w:hanging="0"/>
              <w:rPr/>
            </w:pPr>
            <w:r>
              <w:rPr/>
              <w:t> </w:t>
            </w:r>
          </w:p>
        </w:tc>
        <w:tc>
          <w:tcPr>
            <w:tcW w:w="86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118</w:t>
            </w:r>
          </w:p>
        </w:tc>
        <w:tc>
          <w:tcPr>
            <w:tcW w:w="175" w:type="dxa"/>
            <w:tcBorders/>
            <w:shd w:fill="FFFFFF" w:val="clear"/>
            <w:vAlign w:val="center"/>
          </w:tcPr>
          <w:p>
            <w:pPr>
              <w:pStyle w:val="TableContents"/>
              <w:spacing w:before="0" w:after="283"/>
              <w:rPr/>
            </w:pPr>
            <w:r>
              <w:rPr/>
              <w:t> </w:t>
            </w:r>
          </w:p>
        </w:tc>
        <w:tc>
          <w:tcPr>
            <w:tcW w:w="131" w:type="dxa"/>
            <w:tcBorders/>
            <w:shd w:fill="FFFFFF" w:val="clear"/>
            <w:vAlign w:val="center"/>
          </w:tcPr>
          <w:p>
            <w:pPr>
              <w:pStyle w:val="TableContents"/>
              <w:spacing w:before="0" w:after="283"/>
              <w:rPr/>
            </w:pPr>
            <w:r>
              <w:rPr/>
              <w:t> </w:t>
            </w:r>
          </w:p>
        </w:tc>
        <w:tc>
          <w:tcPr>
            <w:tcW w:w="273" w:type="dxa"/>
            <w:tcBorders/>
            <w:shd w:fill="FFFFFF" w:val="clear"/>
            <w:vAlign w:val="center"/>
          </w:tcPr>
          <w:p>
            <w:pPr>
              <w:pStyle w:val="TableContents"/>
              <w:spacing w:before="0" w:after="283"/>
              <w:ind w:left="0" w:right="0" w:hanging="0"/>
              <w:rPr/>
            </w:pPr>
            <w:r>
              <w:rPr/>
              <w:t> </w:t>
            </w:r>
          </w:p>
        </w:tc>
        <w:tc>
          <w:tcPr>
            <w:tcW w:w="86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w:t>
            </w:r>
          </w:p>
        </w:tc>
        <w:tc>
          <w:tcPr>
            <w:tcW w:w="80" w:type="dxa"/>
            <w:tcBorders/>
            <w:shd w:fill="FFFFFF" w:val="clear"/>
            <w:vAlign w:val="center"/>
          </w:tcPr>
          <w:p>
            <w:pPr>
              <w:pStyle w:val="TableContents"/>
              <w:spacing w:before="0" w:after="283"/>
              <w:rPr/>
            </w:pPr>
            <w:r>
              <w:rPr/>
              <w:t> </w:t>
            </w:r>
          </w:p>
        </w:tc>
      </w:tr>
      <w:tr>
        <w:trPr/>
        <w:tc>
          <w:tcPr>
            <w:tcW w:w="330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Other non-operating gain</w:t>
            </w:r>
          </w:p>
        </w:tc>
        <w:tc>
          <w:tcPr>
            <w:tcW w:w="60" w:type="dxa"/>
            <w:tcBorders/>
            <w:shd w:fill="CCEEFF" w:val="clear"/>
            <w:vAlign w:val="center"/>
          </w:tcPr>
          <w:p>
            <w:pPr>
              <w:pStyle w:val="TableContents"/>
              <w:spacing w:before="0" w:after="283"/>
              <w:rPr/>
            </w:pPr>
            <w:r>
              <w:rPr/>
              <w:t> </w:t>
            </w:r>
          </w:p>
        </w:tc>
        <w:tc>
          <w:tcPr>
            <w:tcW w:w="273" w:type="dxa"/>
            <w:tcBorders/>
            <w:shd w:fill="CCEEFF" w:val="clear"/>
            <w:vAlign w:val="center"/>
          </w:tcPr>
          <w:p>
            <w:pPr>
              <w:pStyle w:val="TableContents"/>
              <w:spacing w:before="0" w:after="283"/>
              <w:ind w:left="0" w:right="0" w:hanging="0"/>
              <w:rPr/>
            </w:pPr>
            <w:r>
              <w:rPr/>
              <w:t> </w:t>
            </w:r>
          </w:p>
        </w:tc>
        <w:tc>
          <w:tcPr>
            <w:tcW w:w="86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101</w:t>
            </w:r>
          </w:p>
        </w:tc>
        <w:tc>
          <w:tcPr>
            <w:tcW w:w="175" w:type="dxa"/>
            <w:tcBorders/>
            <w:shd w:fill="CCEEFF" w:val="clear"/>
            <w:vAlign w:val="center"/>
          </w:tcPr>
          <w:p>
            <w:pPr>
              <w:pStyle w:val="TableContents"/>
              <w:spacing w:before="0" w:after="283"/>
              <w:rPr/>
            </w:pPr>
            <w:r>
              <w:rPr/>
              <w:t> </w:t>
            </w:r>
          </w:p>
        </w:tc>
        <w:tc>
          <w:tcPr>
            <w:tcW w:w="131" w:type="dxa"/>
            <w:tcBorders/>
            <w:shd w:fill="CCEEFF" w:val="clear"/>
            <w:vAlign w:val="center"/>
          </w:tcPr>
          <w:p>
            <w:pPr>
              <w:pStyle w:val="TableContents"/>
              <w:spacing w:before="0" w:after="283"/>
              <w:rPr/>
            </w:pPr>
            <w:r>
              <w:rPr/>
              <w:t> </w:t>
            </w:r>
          </w:p>
        </w:tc>
        <w:tc>
          <w:tcPr>
            <w:tcW w:w="273" w:type="dxa"/>
            <w:tcBorders/>
            <w:shd w:fill="CCEEFF" w:val="clear"/>
            <w:vAlign w:val="center"/>
          </w:tcPr>
          <w:p>
            <w:pPr>
              <w:pStyle w:val="TableContents"/>
              <w:spacing w:before="0" w:after="283"/>
              <w:ind w:left="0" w:right="0" w:hanging="0"/>
              <w:rPr/>
            </w:pPr>
            <w:r>
              <w:rPr/>
              <w:t> </w:t>
            </w:r>
          </w:p>
        </w:tc>
        <w:tc>
          <w:tcPr>
            <w:tcW w:w="86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w:t>
            </w:r>
          </w:p>
        </w:tc>
        <w:tc>
          <w:tcPr>
            <w:tcW w:w="80" w:type="dxa"/>
            <w:tcBorders/>
            <w:shd w:fill="CCEEFF" w:val="clear"/>
            <w:vAlign w:val="center"/>
          </w:tcPr>
          <w:p>
            <w:pPr>
              <w:pStyle w:val="TableContents"/>
              <w:spacing w:before="0" w:after="283"/>
              <w:rPr/>
            </w:pPr>
            <w:r>
              <w:rPr/>
              <w:t> </w:t>
            </w:r>
          </w:p>
        </w:tc>
      </w:tr>
      <w:tr>
        <w:trPr/>
        <w:tc>
          <w:tcPr>
            <w:tcW w:w="3305"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Gain (loss) on disposal of assets</w:t>
            </w:r>
          </w:p>
        </w:tc>
        <w:tc>
          <w:tcPr>
            <w:tcW w:w="60" w:type="dxa"/>
            <w:tcBorders/>
            <w:shd w:fill="FFFFFF" w:val="clear"/>
            <w:vAlign w:val="center"/>
          </w:tcPr>
          <w:p>
            <w:pPr>
              <w:pStyle w:val="TableContents"/>
              <w:spacing w:before="0" w:after="283"/>
              <w:rPr/>
            </w:pPr>
            <w:r>
              <w:rPr/>
              <w:t> </w:t>
            </w:r>
          </w:p>
        </w:tc>
        <w:tc>
          <w:tcPr>
            <w:tcW w:w="273"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86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w:t>
            </w:r>
          </w:p>
        </w:tc>
        <w:tc>
          <w:tcPr>
            <w:tcW w:w="17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131" w:type="dxa"/>
            <w:tcBorders/>
            <w:shd w:fill="FFFFFF" w:val="clear"/>
            <w:vAlign w:val="center"/>
          </w:tcPr>
          <w:p>
            <w:pPr>
              <w:pStyle w:val="TableContents"/>
              <w:spacing w:before="0" w:after="283"/>
              <w:rPr/>
            </w:pPr>
            <w:r>
              <w:rPr/>
              <w:t> </w:t>
            </w:r>
          </w:p>
        </w:tc>
        <w:tc>
          <w:tcPr>
            <w:tcW w:w="273"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86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39</w:t>
            </w:r>
          </w:p>
        </w:tc>
        <w:tc>
          <w:tcPr>
            <w:tcW w:w="80" w:type="dxa"/>
            <w:tcBorders/>
            <w:shd w:fill="FFFFFF" w:val="clear"/>
            <w:vAlign w:val="center"/>
          </w:tcPr>
          <w:p>
            <w:pPr>
              <w:pStyle w:val="TableContents"/>
              <w:spacing w:before="0" w:after="283"/>
              <w:rPr/>
            </w:pPr>
            <w:r>
              <w:rPr/>
              <w:t> </w:t>
            </w:r>
          </w:p>
        </w:tc>
      </w:tr>
      <w:tr>
        <w:trPr/>
        <w:tc>
          <w:tcPr>
            <w:tcW w:w="330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Total other income (expenses) , net</w:t>
            </w:r>
          </w:p>
        </w:tc>
        <w:tc>
          <w:tcPr>
            <w:tcW w:w="60" w:type="dxa"/>
            <w:tcBorders/>
            <w:shd w:fill="CCEEFF" w:val="clear"/>
            <w:vAlign w:val="center"/>
          </w:tcPr>
          <w:p>
            <w:pPr>
              <w:pStyle w:val="TableContents"/>
              <w:spacing w:before="0" w:after="283"/>
              <w:ind w:left="0" w:right="0" w:hanging="0"/>
              <w:rPr/>
            </w:pPr>
            <w:r>
              <w:rPr/>
              <w:t> </w:t>
            </w:r>
          </w:p>
        </w:tc>
        <w:tc>
          <w:tcPr>
            <w:tcW w:w="273"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65"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(21</w:t>
            </w:r>
          </w:p>
        </w:tc>
        <w:tc>
          <w:tcPr>
            <w:tcW w:w="17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131" w:type="dxa"/>
            <w:tcBorders/>
            <w:shd w:fill="CCEEFF" w:val="clear"/>
            <w:vAlign w:val="center"/>
          </w:tcPr>
          <w:p>
            <w:pPr>
              <w:pStyle w:val="TableContents"/>
              <w:spacing w:before="0" w:after="283"/>
              <w:ind w:left="0" w:right="0" w:hanging="0"/>
              <w:rPr/>
            </w:pPr>
            <w:r>
              <w:rPr/>
              <w:t> </w:t>
            </w:r>
          </w:p>
        </w:tc>
        <w:tc>
          <w:tcPr>
            <w:tcW w:w="273"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65"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(450</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bl>
    <w:p>
      <w:pPr>
        <w:pStyle w:val="TextBody"/>
        <w:spacing w:before="0" w:after="0"/>
        <w:ind w:left="0" w:right="0" w:hanging="0"/>
        <w:jc w:val="left"/>
        <w:rPr/>
      </w:pPr>
      <w:r>
        <w:rPr/>
        <w:t>​</w:t>
      </w:r>
    </w:p>
    <w:p>
      <w:pPr>
        <w:pStyle w:val="TextBody"/>
        <w:spacing w:before="0" w:after="0"/>
        <w:jc w:val="center"/>
        <w:rPr/>
      </w:pPr>
      <w:r>
        <w:rPr>
          <w:rStyle w:val="Emphasis"/>
          <w:rFonts w:ascii="Times New Roman" w:hAnsi="Times New Roman"/>
          <w:sz w:val="20"/>
        </w:rPr>
        <w:t>18</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rPr/>
      </w:pPr>
      <w:r>
        <w:rPr/>
        <w:t xml:space="preserve">  </w:t>
      </w:r>
    </w:p>
    <w:p>
      <w:pPr>
        <w:pStyle w:val="TextBody"/>
        <w:rPr/>
      </w:pPr>
      <w:r>
        <w:rPr/>
        <w:t xml:space="preserve">  </w:t>
      </w:r>
    </w:p>
    <w:p>
      <w:pPr>
        <w:pStyle w:val="TextBody"/>
        <w:spacing w:before="0" w:after="0"/>
        <w:ind w:left="0" w:right="0" w:hanging="0"/>
        <w:jc w:val="left"/>
        <w:rPr/>
      </w:pPr>
      <w:r>
        <w:rPr>
          <w:rFonts w:ascii="Times New Roman" w:hAnsi="Times New Roman"/>
          <w:b/>
          <w:sz w:val="20"/>
        </w:rPr>
        <w:t xml:space="preserve">Note </w:t>
      </w:r>
      <w:r>
        <w:rPr>
          <w:rStyle w:val="Emphasis"/>
          <w:rFonts w:ascii="Times New Roman" w:hAnsi="Times New Roman"/>
          <w:b/>
          <w:sz w:val="20"/>
        </w:rPr>
        <w:t>15.</w:t>
      </w:r>
      <w:r>
        <w:rPr>
          <w:rFonts w:ascii="Times New Roman" w:hAnsi="Times New Roman"/>
          <w:b/>
          <w:sz w:val="20"/>
        </w:rPr>
        <w:t>  Share-Based Compensation</w:t>
      </w:r>
    </w:p>
    <w:p>
      <w:pPr>
        <w:pStyle w:val="TextBody"/>
        <w:spacing w:before="0" w:after="0"/>
        <w:ind w:left="0" w:right="0" w:hanging="0"/>
        <w:jc w:val="left"/>
        <w:rPr/>
      </w:pPr>
      <w:r>
        <w:rPr/>
        <w:t>​</w:t>
      </w:r>
    </w:p>
    <w:p>
      <w:pPr>
        <w:pStyle w:val="TextBody"/>
        <w:spacing w:before="0" w:after="0"/>
        <w:ind w:left="0" w:right="0" w:hanging="0"/>
        <w:jc w:val="left"/>
        <w:rPr>
          <w:rFonts w:ascii="Times New Roman" w:hAnsi="Times New Roman"/>
          <w:i/>
          <w:sz w:val="20"/>
        </w:rPr>
      </w:pPr>
      <w:r>
        <w:rPr>
          <w:rFonts w:ascii="Times New Roman" w:hAnsi="Times New Roman"/>
          <w:i/>
          <w:sz w:val="20"/>
        </w:rPr>
        <w:t>Equity Plans</w:t>
      </w:r>
    </w:p>
    <w:p>
      <w:pPr>
        <w:pStyle w:val="TextBody"/>
        <w:spacing w:before="0" w:after="0"/>
        <w:ind w:left="0" w:right="0" w:hanging="0"/>
        <w:jc w:val="left"/>
        <w:rPr/>
      </w:pPr>
      <w:r>
        <w:rPr/>
        <w:t>​</w:t>
      </w:r>
    </w:p>
    <w:p>
      <w:pPr>
        <w:pStyle w:val="TextBody"/>
        <w:spacing w:before="0" w:after="0"/>
        <w:ind w:left="0" w:right="0" w:firstLine="720"/>
        <w:jc w:val="left"/>
        <w:rPr>
          <w:rFonts w:ascii="Times New Roman" w:hAnsi="Times New Roman"/>
          <w:sz w:val="20"/>
        </w:rPr>
      </w:pPr>
      <w:r>
        <w:rPr>
          <w:rFonts w:ascii="Times New Roman" w:hAnsi="Times New Roman"/>
          <w:sz w:val="20"/>
        </w:rPr>
        <w:t>The Company’s board of directors and stockholders approved the following equity plans:</w:t>
      </w:r>
    </w:p>
    <w:p>
      <w:pPr>
        <w:pStyle w:val="TextBody"/>
        <w:spacing w:before="0" w:after="0"/>
        <w:ind w:left="720" w:right="0" w:hanging="720"/>
        <w:jc w:val="left"/>
        <w:rPr/>
      </w:pPr>
      <w:r>
        <w:rPr/>
        <w:t>​</w:t>
      </w:r>
    </w:p>
    <w:tbl>
      <w:tblPr>
        <w:tblW w:w="3970" w:type="dxa"/>
        <w:jc w:val="left"/>
        <w:tblInd w:w="0" w:type="dxa"/>
        <w:tblCellMar>
          <w:top w:w="0" w:type="dxa"/>
          <w:left w:w="0" w:type="dxa"/>
          <w:bottom w:w="0" w:type="dxa"/>
          <w:right w:w="0" w:type="dxa"/>
        </w:tblCellMar>
      </w:tblPr>
      <w:tblGrid>
        <w:gridCol w:w="60"/>
        <w:gridCol w:w="170"/>
        <w:gridCol w:w="374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jc w:val="left"/>
              <w:rPr/>
            </w:pPr>
            <w:r>
              <w:rPr/>
              <w:t>●</w:t>
            </w:r>
          </w:p>
        </w:tc>
        <w:tc>
          <w:tcPr>
            <w:tcW w:w="3740" w:type="dxa"/>
            <w:tcBorders/>
            <w:shd w:fill="auto" w:val="clear"/>
            <w:vAlign w:val="center"/>
          </w:tcPr>
          <w:p>
            <w:pPr>
              <w:pStyle w:val="TableContents"/>
              <w:spacing w:before="0" w:after="0"/>
              <w:ind w:left="0" w:right="0" w:hanging="0"/>
              <w:jc w:val="left"/>
              <w:rPr/>
            </w:pPr>
            <w:r>
              <w:rPr>
                <w:rFonts w:ascii="Times New Roman" w:hAnsi="Times New Roman"/>
                <w:sz w:val="20"/>
              </w:rPr>
              <w:t xml:space="preserve">the </w:t>
            </w:r>
            <w:r>
              <w:rPr>
                <w:rStyle w:val="Emphasis"/>
                <w:rFonts w:ascii="Times New Roman" w:hAnsi="Times New Roman"/>
                <w:sz w:val="20"/>
              </w:rPr>
              <w:t>2013</w:t>
            </w:r>
            <w:r>
              <w:rPr>
                <w:rFonts w:ascii="Times New Roman" w:hAnsi="Times New Roman"/>
                <w:sz w:val="20"/>
              </w:rPr>
              <w:t xml:space="preserve"> Equity Incentive Plan (</w:t>
            </w:r>
            <w:r>
              <w:rPr>
                <w:rStyle w:val="Emphasis"/>
                <w:rFonts w:ascii="Times New Roman" w:hAnsi="Times New Roman"/>
                <w:sz w:val="20"/>
              </w:rPr>
              <w:t>“2013</w:t>
            </w:r>
            <w:r>
              <w:rPr>
                <w:rFonts w:ascii="Times New Roman" w:hAnsi="Times New Roman"/>
                <w:sz w:val="20"/>
              </w:rPr>
              <w:t xml:space="preserve"> Plan”)</w:t>
            </w:r>
          </w:p>
        </w:tc>
      </w:tr>
    </w:tbl>
    <w:tbl>
      <w:tblPr>
        <w:tblW w:w="3970" w:type="dxa"/>
        <w:jc w:val="left"/>
        <w:tblInd w:w="0" w:type="dxa"/>
        <w:tblCellMar>
          <w:top w:w="0" w:type="dxa"/>
          <w:left w:w="0" w:type="dxa"/>
          <w:bottom w:w="0" w:type="dxa"/>
          <w:right w:w="0" w:type="dxa"/>
        </w:tblCellMar>
      </w:tblPr>
      <w:tblGrid>
        <w:gridCol w:w="60"/>
        <w:gridCol w:w="170"/>
        <w:gridCol w:w="374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jc w:val="left"/>
              <w:rPr/>
            </w:pPr>
            <w:r>
              <w:rPr/>
              <w:t>●</w:t>
            </w:r>
          </w:p>
        </w:tc>
        <w:tc>
          <w:tcPr>
            <w:tcW w:w="3740" w:type="dxa"/>
            <w:tcBorders/>
            <w:shd w:fill="auto" w:val="clear"/>
            <w:vAlign w:val="center"/>
          </w:tcPr>
          <w:p>
            <w:pPr>
              <w:pStyle w:val="TableContents"/>
              <w:spacing w:before="0" w:after="0"/>
              <w:ind w:left="0" w:right="0" w:hanging="0"/>
              <w:jc w:val="left"/>
              <w:rPr/>
            </w:pPr>
            <w:r>
              <w:rPr>
                <w:rFonts w:ascii="Times New Roman" w:hAnsi="Times New Roman"/>
                <w:sz w:val="20"/>
              </w:rPr>
              <w:t xml:space="preserve">the </w:t>
            </w:r>
            <w:r>
              <w:rPr>
                <w:rStyle w:val="Emphasis"/>
                <w:rFonts w:ascii="Times New Roman" w:hAnsi="Times New Roman"/>
                <w:sz w:val="20"/>
              </w:rPr>
              <w:t>2021</w:t>
            </w:r>
            <w:r>
              <w:rPr>
                <w:rFonts w:ascii="Times New Roman" w:hAnsi="Times New Roman"/>
                <w:sz w:val="20"/>
              </w:rPr>
              <w:t xml:space="preserve"> Equity Incentive Plan (</w:t>
            </w:r>
            <w:r>
              <w:rPr>
                <w:rStyle w:val="Emphasis"/>
                <w:rFonts w:ascii="Times New Roman" w:hAnsi="Times New Roman"/>
                <w:sz w:val="20"/>
              </w:rPr>
              <w:t>“2021</w:t>
            </w:r>
            <w:r>
              <w:rPr>
                <w:rFonts w:ascii="Times New Roman" w:hAnsi="Times New Roman"/>
                <w:sz w:val="20"/>
              </w:rPr>
              <w:t xml:space="preserve"> Plan”)</w:t>
            </w:r>
          </w:p>
        </w:tc>
      </w:tr>
    </w:tbl>
    <w:p>
      <w:pPr>
        <w:pStyle w:val="TextBody"/>
        <w:spacing w:before="0" w:after="0"/>
        <w:ind w:left="0" w:right="0" w:firstLine="720"/>
        <w:jc w:val="left"/>
        <w:rPr/>
      </w:pPr>
      <w:r>
        <w:rPr/>
        <w:t> </w:t>
      </w:r>
    </w:p>
    <w:p>
      <w:pPr>
        <w:pStyle w:val="TextBody"/>
        <w:spacing w:before="0" w:after="0"/>
        <w:ind w:left="0" w:right="0" w:firstLine="720"/>
        <w:jc w:val="left"/>
        <w:rPr/>
      </w:pPr>
      <w:r>
        <w:rPr>
          <w:rFonts w:ascii="Times New Roman" w:hAnsi="Times New Roman"/>
          <w:sz w:val="20"/>
        </w:rPr>
        <w:t xml:space="preserve">The Company issued stock options, restricted stock awards (“RSAs”) and restricted stock units (“RSUs”) to employees, consultants and non-employee directors. Stock option awards generally vest over a four-year period and have a maximum term of ten years. Stock options under these plans have been granted with an exercise price equal to the fair market value on the date of the grant. Nonqualified and Incentive Stock Options, RSAs and RSUs </w:t>
      </w:r>
      <w:r>
        <w:rPr>
          <w:rStyle w:val="Emphasis"/>
          <w:rFonts w:ascii="Times New Roman" w:hAnsi="Times New Roman"/>
          <w:sz w:val="20"/>
        </w:rPr>
        <w:t xml:space="preserve">may </w:t>
      </w:r>
      <w:r>
        <w:rPr>
          <w:rFonts w:ascii="Times New Roman" w:hAnsi="Times New Roman"/>
          <w:sz w:val="20"/>
        </w:rPr>
        <w:t xml:space="preserve">be granted from these plans. Prior to the Company’s initial public offering in </w:t>
      </w:r>
      <w:r>
        <w:rPr>
          <w:rStyle w:val="Emphasis"/>
          <w:rFonts w:ascii="Times New Roman" w:hAnsi="Times New Roman"/>
          <w:sz w:val="20"/>
        </w:rPr>
        <w:t xml:space="preserve">September 2013, </w:t>
      </w:r>
      <w:r>
        <w:rPr>
          <w:rFonts w:ascii="Times New Roman" w:hAnsi="Times New Roman"/>
          <w:sz w:val="20"/>
        </w:rPr>
        <w:t xml:space="preserve">the fair market value of the Company’s stock had been historically determined by the board of directors and from time to time with the assistance of </w:t>
      </w:r>
      <w:r>
        <w:rPr>
          <w:rStyle w:val="Emphasis"/>
          <w:rFonts w:ascii="Times New Roman" w:hAnsi="Times New Roman"/>
          <w:sz w:val="20"/>
        </w:rPr>
        <w:t>third</w:t>
      </w:r>
      <w:r>
        <w:rPr>
          <w:rFonts w:ascii="Times New Roman" w:hAnsi="Times New Roman"/>
          <w:sz w:val="20"/>
        </w:rPr>
        <w:t>-party valuation specialists.</w:t>
      </w:r>
    </w:p>
    <w:p>
      <w:pPr>
        <w:pStyle w:val="TextBody"/>
        <w:spacing w:before="0" w:after="0"/>
        <w:ind w:left="0" w:right="0" w:firstLine="720"/>
        <w:jc w:val="left"/>
        <w:rPr/>
      </w:pPr>
      <w:r>
        <w:rPr/>
        <w:t>​</w:t>
      </w:r>
    </w:p>
    <w:p>
      <w:pPr>
        <w:pStyle w:val="TextBody"/>
        <w:spacing w:before="0" w:after="0"/>
        <w:ind w:left="0" w:right="0" w:hanging="0"/>
        <w:jc w:val="left"/>
        <w:rPr>
          <w:rFonts w:ascii="Times New Roman" w:hAnsi="Times New Roman"/>
          <w:i/>
          <w:sz w:val="20"/>
        </w:rPr>
      </w:pPr>
      <w:r>
        <w:rPr>
          <w:rFonts w:ascii="Times New Roman" w:hAnsi="Times New Roman"/>
          <w:i/>
          <w:sz w:val="20"/>
        </w:rPr>
        <w:t>Stock Options</w:t>
      </w:r>
    </w:p>
    <w:p>
      <w:pPr>
        <w:pStyle w:val="TextBody"/>
        <w:spacing w:before="0" w:after="0"/>
        <w:ind w:left="0" w:right="0" w:hanging="0"/>
        <w:jc w:val="left"/>
        <w:rPr/>
      </w:pPr>
      <w:r>
        <w:rPr/>
        <w:t>​</w:t>
      </w:r>
    </w:p>
    <w:p>
      <w:pPr>
        <w:pStyle w:val="TextBody"/>
        <w:spacing w:before="0" w:after="0"/>
        <w:ind w:left="0" w:right="0" w:firstLine="720"/>
        <w:jc w:val="left"/>
        <w:rPr/>
      </w:pPr>
      <w:r>
        <w:rPr>
          <w:rFonts w:ascii="Times New Roman" w:hAnsi="Times New Roman"/>
          <w:sz w:val="20"/>
        </w:rPr>
        <w:t xml:space="preserve">Options have been granted to the Company’s employees under the </w:t>
      </w:r>
      <w:r>
        <w:rPr>
          <w:rStyle w:val="Emphasis"/>
          <w:rFonts w:ascii="Times New Roman" w:hAnsi="Times New Roman"/>
          <w:sz w:val="20"/>
        </w:rPr>
        <w:t>two</w:t>
      </w:r>
      <w:r>
        <w:rPr>
          <w:rFonts w:ascii="Times New Roman" w:hAnsi="Times New Roman"/>
          <w:sz w:val="20"/>
        </w:rPr>
        <w:t xml:space="preserve"> incentive plans and generally become exercisable as to 25% of the shares on the </w:t>
      </w:r>
      <w:r>
        <w:rPr>
          <w:rStyle w:val="Emphasis"/>
          <w:rFonts w:ascii="Times New Roman" w:hAnsi="Times New Roman"/>
          <w:sz w:val="20"/>
        </w:rPr>
        <w:t>first</w:t>
      </w:r>
      <w:r>
        <w:rPr>
          <w:rFonts w:ascii="Times New Roman" w:hAnsi="Times New Roman"/>
          <w:sz w:val="20"/>
        </w:rPr>
        <w:t xml:space="preserve"> anniversary date following the date of grant and 12.5% on a semi-annual basis thereafter. All options expire </w:t>
      </w:r>
      <w:r>
        <w:rPr>
          <w:rStyle w:val="Emphasis"/>
          <w:rFonts w:ascii="Times New Roman" w:hAnsi="Times New Roman"/>
          <w:sz w:val="20"/>
        </w:rPr>
        <w:t>ten</w:t>
      </w:r>
      <w:r>
        <w:rPr>
          <w:rFonts w:ascii="Times New Roman" w:hAnsi="Times New Roman"/>
          <w:sz w:val="20"/>
        </w:rPr>
        <w:t xml:space="preserve"> years after the date of grant.</w:t>
      </w:r>
    </w:p>
    <w:p>
      <w:pPr>
        <w:pStyle w:val="TextBody"/>
        <w:spacing w:before="0" w:after="0"/>
        <w:ind w:left="0" w:right="0" w:firstLine="720"/>
        <w:jc w:val="left"/>
        <w:rPr/>
      </w:pPr>
      <w:r>
        <w:rPr/>
        <w:t>​</w:t>
      </w:r>
    </w:p>
    <w:p>
      <w:pPr>
        <w:pStyle w:val="TextBody"/>
        <w:spacing w:before="0" w:after="0"/>
        <w:ind w:left="720" w:right="0" w:hanging="0"/>
        <w:jc w:val="left"/>
        <w:rPr>
          <w:rFonts w:ascii="Times New Roman" w:hAnsi="Times New Roman"/>
          <w:sz w:val="20"/>
        </w:rPr>
      </w:pPr>
      <w:r>
        <w:rPr>
          <w:rFonts w:ascii="Times New Roman" w:hAnsi="Times New Roman"/>
          <w:sz w:val="20"/>
        </w:rPr>
        <w:t>The following is a summary of option activity:</w:t>
      </w:r>
    </w:p>
    <w:p>
      <w:pPr>
        <w:pStyle w:val="TextBody"/>
        <w:spacing w:before="0" w:after="0"/>
        <w:ind w:left="720" w:right="0" w:hanging="0"/>
        <w:jc w:val="left"/>
        <w:rPr/>
      </w:pPr>
      <w:r>
        <w:rPr/>
        <w:t>​</w:t>
      </w:r>
    </w:p>
    <w:tbl>
      <w:tblPr>
        <w:tblW w:w="8827" w:type="dxa"/>
        <w:jc w:val="left"/>
        <w:tblInd w:w="0" w:type="dxa"/>
        <w:tblCellMar>
          <w:top w:w="0" w:type="dxa"/>
          <w:left w:w="0" w:type="dxa"/>
          <w:bottom w:w="0" w:type="dxa"/>
          <w:right w:w="0" w:type="dxa"/>
        </w:tblCellMar>
      </w:tblPr>
      <w:tblGrid>
        <w:gridCol w:w="2555"/>
        <w:gridCol w:w="60"/>
        <w:gridCol w:w="134"/>
        <w:gridCol w:w="755"/>
        <w:gridCol w:w="80"/>
        <w:gridCol w:w="60"/>
        <w:gridCol w:w="167"/>
        <w:gridCol w:w="648"/>
        <w:gridCol w:w="60"/>
        <w:gridCol w:w="60"/>
        <w:gridCol w:w="489"/>
        <w:gridCol w:w="490"/>
        <w:gridCol w:w="60"/>
        <w:gridCol w:w="60"/>
        <w:gridCol w:w="230"/>
        <w:gridCol w:w="704"/>
        <w:gridCol w:w="60"/>
        <w:gridCol w:w="60"/>
        <w:gridCol w:w="139"/>
        <w:gridCol w:w="886"/>
        <w:gridCol w:w="60"/>
        <w:gridCol w:w="60"/>
        <w:gridCol w:w="542"/>
        <w:gridCol w:w="348"/>
        <w:gridCol w:w="60"/>
      </w:tblGrid>
      <w:tr>
        <w:trPr/>
        <w:tc>
          <w:tcPr>
            <w:tcW w:w="25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89" w:type="dxa"/>
            <w:gridSpan w:val="2"/>
            <w:tcBorders/>
            <w:shd w:fill="FFFFFF" w:val="clear"/>
            <w:vAlign w:val="center"/>
          </w:tcPr>
          <w:p>
            <w:pPr>
              <w:pStyle w:val="TableContents"/>
              <w:spacing w:before="0" w:after="0"/>
              <w:ind w:left="0" w:right="0" w:hanging="0"/>
              <w:rPr>
                <w:caps w:val="false"/>
                <w:smallCaps w:val="false"/>
              </w:rPr>
            </w:pPr>
            <w:r>
              <w:rPr>
                <w:caps w:val="false"/>
                <w:smallCaps w:val="false"/>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15" w:type="dxa"/>
            <w:gridSpan w:val="2"/>
            <w:tcBorders/>
            <w:shd w:fill="FFFFFF" w:val="clear"/>
            <w:vAlign w:val="center"/>
          </w:tcPr>
          <w:p>
            <w:pPr>
              <w:pStyle w:val="TableContents"/>
              <w:spacing w:before="0" w:after="0"/>
              <w:ind w:left="0" w:right="0" w:hanging="0"/>
              <w:rPr>
                <w:caps w:val="false"/>
                <w:smallCaps w:val="false"/>
              </w:rPr>
            </w:pPr>
            <w:r>
              <w:rPr>
                <w:caps w:val="false"/>
                <w:smallCaps w:val="false"/>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979"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Weighted</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934" w:type="dxa"/>
            <w:gridSpan w:val="2"/>
            <w:tcBorders/>
            <w:shd w:fill="FFFFFF" w:val="clear"/>
            <w:vAlign w:val="center"/>
          </w:tcPr>
          <w:p>
            <w:pPr>
              <w:pStyle w:val="TableContents"/>
              <w:spacing w:before="0" w:after="0"/>
              <w:ind w:left="0" w:right="0" w:hanging="0"/>
              <w:rPr>
                <w:caps w:val="false"/>
                <w:smallCaps w:val="false"/>
              </w:rPr>
            </w:pPr>
            <w:r>
              <w:rPr>
                <w:caps w:val="false"/>
                <w:smallCaps w:val="false"/>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025"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Weighted</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90" w:type="dxa"/>
            <w:gridSpan w:val="2"/>
            <w:tcBorders/>
            <w:shd w:fill="FFFFFF" w:val="clear"/>
            <w:vAlign w:val="center"/>
          </w:tcPr>
          <w:p>
            <w:pPr>
              <w:pStyle w:val="TableContents"/>
              <w:spacing w:before="0" w:after="0"/>
              <w:ind w:left="0" w:right="0" w:hanging="0"/>
              <w:rPr>
                <w:caps w:val="false"/>
                <w:smallCaps w:val="false"/>
              </w:rPr>
            </w:pPr>
            <w:r>
              <w:rPr>
                <w:caps w:val="false"/>
                <w:smallCaps w:val="false"/>
              </w:rPr>
              <w:t>​</w:t>
            </w:r>
          </w:p>
        </w:tc>
        <w:tc>
          <w:tcPr>
            <w:tcW w:w="60" w:type="dxa"/>
            <w:tcBorders/>
            <w:shd w:fill="FFFFFF" w:val="clear"/>
            <w:vAlign w:val="center"/>
          </w:tcPr>
          <w:p>
            <w:pPr>
              <w:pStyle w:val="TableContents"/>
              <w:spacing w:before="0" w:after="283"/>
              <w:rPr/>
            </w:pPr>
            <w:r>
              <w:rPr/>
              <w:t> </w:t>
            </w:r>
          </w:p>
        </w:tc>
      </w:tr>
      <w:tr>
        <w:trPr/>
        <w:tc>
          <w:tcPr>
            <w:tcW w:w="2555" w:type="dxa"/>
            <w:tcBorders/>
            <w:shd w:fill="FFFFFF" w:val="clear"/>
            <w:vAlign w:val="center"/>
          </w:tcPr>
          <w:p>
            <w:pPr>
              <w:pStyle w:val="TableContents"/>
              <w:spacing w:before="0" w:after="0"/>
              <w:rPr>
                <w:caps w:val="false"/>
                <w:smallCaps w:val="false"/>
              </w:rPr>
            </w:pPr>
            <w:r>
              <w:rPr>
                <w:caps w:val="false"/>
                <w:smallCaps w:val="false"/>
              </w:rPr>
              <w:t>​</w:t>
            </w:r>
          </w:p>
        </w:tc>
        <w:tc>
          <w:tcPr>
            <w:tcW w:w="60" w:type="dxa"/>
            <w:tcBorders/>
            <w:shd w:fill="FFFFFF" w:val="clear"/>
            <w:vAlign w:val="center"/>
          </w:tcPr>
          <w:p>
            <w:pPr>
              <w:pStyle w:val="TableContents"/>
              <w:spacing w:before="0" w:after="283"/>
              <w:ind w:left="0" w:right="0" w:hanging="0"/>
              <w:rPr/>
            </w:pPr>
            <w:r>
              <w:rPr/>
              <w:t> </w:t>
            </w:r>
          </w:p>
        </w:tc>
        <w:tc>
          <w:tcPr>
            <w:tcW w:w="889" w:type="dxa"/>
            <w:gridSpan w:val="2"/>
            <w:tcBorders/>
            <w:shd w:fill="FFFFFF" w:val="clear"/>
            <w:vAlign w:val="center"/>
          </w:tcPr>
          <w:p>
            <w:pPr>
              <w:pStyle w:val="TableContents"/>
              <w:spacing w:before="0" w:after="0"/>
              <w:ind w:left="0" w:right="0" w:hanging="0"/>
              <w:rPr>
                <w:caps w:val="false"/>
                <w:smallCaps w:val="false"/>
              </w:rPr>
            </w:pPr>
            <w:r>
              <w:rPr>
                <w:caps w:val="false"/>
                <w:smallCaps w:val="false"/>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15"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Weighted</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979"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Average</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934" w:type="dxa"/>
            <w:gridSpan w:val="2"/>
            <w:tcBorders/>
            <w:shd w:fill="FFFFFF" w:val="clear"/>
            <w:vAlign w:val="center"/>
          </w:tcPr>
          <w:p>
            <w:pPr>
              <w:pStyle w:val="TableContents"/>
              <w:spacing w:before="0" w:after="0"/>
              <w:ind w:left="0" w:right="0" w:hanging="0"/>
              <w:rPr>
                <w:caps w:val="false"/>
                <w:smallCaps w:val="false"/>
              </w:rPr>
            </w:pPr>
            <w:r>
              <w:rPr>
                <w:caps w:val="false"/>
                <w:smallCaps w:val="false"/>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025"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Average</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90" w:type="dxa"/>
            <w:gridSpan w:val="2"/>
            <w:tcBorders/>
            <w:shd w:fill="FFFFFF" w:val="clear"/>
            <w:vAlign w:val="center"/>
          </w:tcPr>
          <w:p>
            <w:pPr>
              <w:pStyle w:val="TableContents"/>
              <w:spacing w:before="0" w:after="0"/>
              <w:ind w:left="0" w:right="0" w:hanging="0"/>
              <w:rPr>
                <w:caps w:val="false"/>
                <w:smallCaps w:val="false"/>
              </w:rPr>
            </w:pPr>
            <w:r>
              <w:rPr>
                <w:caps w:val="false"/>
                <w:smallCaps w:val="false"/>
              </w:rPr>
              <w:t>​</w:t>
            </w:r>
          </w:p>
        </w:tc>
        <w:tc>
          <w:tcPr>
            <w:tcW w:w="60" w:type="dxa"/>
            <w:tcBorders/>
            <w:shd w:fill="FFFFFF" w:val="clear"/>
            <w:vAlign w:val="center"/>
          </w:tcPr>
          <w:p>
            <w:pPr>
              <w:pStyle w:val="TableContents"/>
              <w:spacing w:before="0" w:after="283"/>
              <w:rPr/>
            </w:pPr>
            <w:r>
              <w:rPr/>
              <w:t> </w:t>
            </w:r>
          </w:p>
        </w:tc>
      </w:tr>
      <w:tr>
        <w:trPr/>
        <w:tc>
          <w:tcPr>
            <w:tcW w:w="2555" w:type="dxa"/>
            <w:tcBorders/>
            <w:shd w:fill="FFFFFF" w:val="clear"/>
            <w:vAlign w:val="center"/>
          </w:tcPr>
          <w:p>
            <w:pPr>
              <w:pStyle w:val="TableContents"/>
              <w:spacing w:before="0" w:after="0"/>
              <w:rPr>
                <w:caps w:val="false"/>
                <w:smallCaps w:val="false"/>
              </w:rPr>
            </w:pPr>
            <w:r>
              <w:rPr>
                <w:caps w:val="false"/>
                <w:smallCaps w:val="false"/>
              </w:rPr>
              <w:t>​</w:t>
            </w:r>
          </w:p>
        </w:tc>
        <w:tc>
          <w:tcPr>
            <w:tcW w:w="60" w:type="dxa"/>
            <w:tcBorders/>
            <w:shd w:fill="FFFFFF" w:val="clear"/>
            <w:vAlign w:val="center"/>
          </w:tcPr>
          <w:p>
            <w:pPr>
              <w:pStyle w:val="TableContents"/>
              <w:spacing w:before="0" w:after="283"/>
              <w:ind w:left="0" w:right="0" w:hanging="0"/>
              <w:rPr/>
            </w:pPr>
            <w:r>
              <w:rPr/>
              <w:t> </w:t>
            </w:r>
          </w:p>
        </w:tc>
        <w:tc>
          <w:tcPr>
            <w:tcW w:w="889" w:type="dxa"/>
            <w:gridSpan w:val="2"/>
            <w:tcBorders/>
            <w:shd w:fill="FFFFFF" w:val="clear"/>
            <w:vAlign w:val="center"/>
          </w:tcPr>
          <w:p>
            <w:pPr>
              <w:pStyle w:val="TableContents"/>
              <w:spacing w:before="0" w:after="0"/>
              <w:ind w:left="0" w:right="0" w:hanging="0"/>
              <w:rPr>
                <w:caps w:val="false"/>
                <w:smallCaps w:val="false"/>
              </w:rPr>
            </w:pPr>
            <w:r>
              <w:rPr>
                <w:caps w:val="false"/>
                <w:smallCaps w:val="false"/>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15"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Average</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979"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Share Price</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934"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Weighted</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025"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Remaining</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90"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Aggregate</w:t>
            </w:r>
          </w:p>
        </w:tc>
        <w:tc>
          <w:tcPr>
            <w:tcW w:w="60" w:type="dxa"/>
            <w:tcBorders/>
            <w:shd w:fill="FFFFFF" w:val="clear"/>
            <w:vAlign w:val="center"/>
          </w:tcPr>
          <w:p>
            <w:pPr>
              <w:pStyle w:val="TableContents"/>
              <w:spacing w:before="0" w:after="283"/>
              <w:rPr/>
            </w:pPr>
            <w:r>
              <w:rPr/>
              <w:t> </w:t>
            </w:r>
          </w:p>
        </w:tc>
      </w:tr>
      <w:tr>
        <w:trPr/>
        <w:tc>
          <w:tcPr>
            <w:tcW w:w="2555" w:type="dxa"/>
            <w:tcBorders/>
            <w:shd w:fill="FFFFFF" w:val="clear"/>
            <w:vAlign w:val="center"/>
          </w:tcPr>
          <w:p>
            <w:pPr>
              <w:pStyle w:val="TableContents"/>
              <w:spacing w:before="0" w:after="0"/>
              <w:rPr>
                <w:caps w:val="false"/>
                <w:smallCaps w:val="false"/>
              </w:rPr>
            </w:pPr>
            <w:r>
              <w:rPr>
                <w:caps w:val="false"/>
                <w:smallCaps w:val="false"/>
              </w:rPr>
              <w:t>​</w:t>
            </w:r>
          </w:p>
        </w:tc>
        <w:tc>
          <w:tcPr>
            <w:tcW w:w="60" w:type="dxa"/>
            <w:tcBorders/>
            <w:shd w:fill="FFFFFF" w:val="clear"/>
            <w:vAlign w:val="center"/>
          </w:tcPr>
          <w:p>
            <w:pPr>
              <w:pStyle w:val="TableContents"/>
              <w:spacing w:before="0" w:after="283"/>
              <w:ind w:left="0" w:right="0" w:hanging="0"/>
              <w:rPr/>
            </w:pPr>
            <w:r>
              <w:rPr/>
              <w:t> </w:t>
            </w:r>
          </w:p>
        </w:tc>
        <w:tc>
          <w:tcPr>
            <w:tcW w:w="889"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Number of</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15"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Exercise</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979"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on Date of</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934"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Average</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025"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Contractual</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90"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Intrinsic</w:t>
            </w:r>
          </w:p>
        </w:tc>
        <w:tc>
          <w:tcPr>
            <w:tcW w:w="60" w:type="dxa"/>
            <w:tcBorders/>
            <w:shd w:fill="FFFFFF" w:val="clear"/>
            <w:vAlign w:val="center"/>
          </w:tcPr>
          <w:p>
            <w:pPr>
              <w:pStyle w:val="TableContents"/>
              <w:spacing w:before="0" w:after="283"/>
              <w:rPr/>
            </w:pPr>
            <w:r>
              <w:rPr/>
              <w:t> </w:t>
            </w:r>
          </w:p>
        </w:tc>
      </w:tr>
      <w:tr>
        <w:trPr/>
        <w:tc>
          <w:tcPr>
            <w:tcW w:w="2555" w:type="dxa"/>
            <w:tcBorders/>
            <w:shd w:fill="FFFFFF" w:val="clear"/>
            <w:vAlign w:val="center"/>
          </w:tcPr>
          <w:p>
            <w:pPr>
              <w:pStyle w:val="TableContents"/>
              <w:spacing w:before="0" w:after="0"/>
              <w:rPr>
                <w:caps w:val="false"/>
                <w:smallCaps w:val="false"/>
              </w:rPr>
            </w:pPr>
            <w:r>
              <w:rPr>
                <w:caps w:val="false"/>
                <w:smallCaps w:val="false"/>
              </w:rPr>
              <w:t>​</w:t>
            </w:r>
          </w:p>
        </w:tc>
        <w:tc>
          <w:tcPr>
            <w:tcW w:w="60" w:type="dxa"/>
            <w:tcBorders/>
            <w:shd w:fill="FFFFFF" w:val="clear"/>
            <w:vAlign w:val="center"/>
          </w:tcPr>
          <w:p>
            <w:pPr>
              <w:pStyle w:val="TableContents"/>
              <w:spacing w:before="0" w:after="283"/>
              <w:ind w:left="0" w:right="0" w:hanging="0"/>
              <w:rPr/>
            </w:pPr>
            <w:r>
              <w:rPr/>
              <w:t> </w:t>
            </w:r>
          </w:p>
        </w:tc>
        <w:tc>
          <w:tcPr>
            <w:tcW w:w="889"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shares</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1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Price</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979"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Exercise</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93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Fair Value</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02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Life</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9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Value</w:t>
            </w:r>
          </w:p>
        </w:tc>
        <w:tc>
          <w:tcPr>
            <w:tcW w:w="60" w:type="dxa"/>
            <w:tcBorders/>
            <w:shd w:fill="FFFFFF" w:val="clear"/>
            <w:vAlign w:val="center"/>
          </w:tcPr>
          <w:p>
            <w:pPr>
              <w:pStyle w:val="TableContents"/>
              <w:spacing w:before="0" w:after="283"/>
              <w:rPr/>
            </w:pPr>
            <w:r>
              <w:rPr/>
              <w:t> </w:t>
            </w:r>
          </w:p>
        </w:tc>
      </w:tr>
      <w:tr>
        <w:trPr/>
        <w:tc>
          <w:tcPr>
            <w:tcW w:w="2555" w:type="dxa"/>
            <w:tcBorders/>
            <w:shd w:fill="FFFFFF" w:val="clear"/>
            <w:vAlign w:val="center"/>
          </w:tcPr>
          <w:p>
            <w:pPr>
              <w:pStyle w:val="TableContents"/>
              <w:spacing w:before="0" w:after="0"/>
              <w:rPr>
                <w:caps w:val="false"/>
                <w:smallCaps w:val="false"/>
              </w:rPr>
            </w:pPr>
            <w:r>
              <w:rPr>
                <w:caps w:val="false"/>
                <w:smallCaps w:val="false"/>
              </w:rPr>
              <w:t>​</w:t>
            </w:r>
          </w:p>
        </w:tc>
        <w:tc>
          <w:tcPr>
            <w:tcW w:w="60" w:type="dxa"/>
            <w:tcBorders/>
            <w:shd w:fill="FFFFFF" w:val="clear"/>
            <w:vAlign w:val="center"/>
          </w:tcPr>
          <w:p>
            <w:pPr>
              <w:pStyle w:val="TableContents"/>
              <w:spacing w:before="0" w:after="283"/>
              <w:ind w:left="0" w:right="0" w:hanging="0"/>
              <w:rPr/>
            </w:pPr>
            <w:r>
              <w:rPr/>
              <w:t> </w:t>
            </w:r>
          </w:p>
        </w:tc>
        <w:tc>
          <w:tcPr>
            <w:tcW w:w="6152" w:type="dxa"/>
            <w:gridSpan w:val="22"/>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price data)</w:t>
            </w:r>
          </w:p>
        </w:tc>
        <w:tc>
          <w:tcPr>
            <w:tcW w:w="60" w:type="dxa"/>
            <w:tcBorders/>
            <w:shd w:fill="FFFFFF" w:val="clear"/>
            <w:vAlign w:val="center"/>
          </w:tcPr>
          <w:p>
            <w:pPr>
              <w:pStyle w:val="TableContents"/>
              <w:spacing w:before="0" w:after="283"/>
              <w:rPr/>
            </w:pPr>
            <w:r>
              <w:rPr/>
              <w:t> </w:t>
            </w:r>
          </w:p>
        </w:tc>
      </w:tr>
      <w:tr>
        <w:trPr/>
        <w:tc>
          <w:tcPr>
            <w:tcW w:w="255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Outstanding at January 1, 2023</w:t>
            </w:r>
          </w:p>
        </w:tc>
        <w:tc>
          <w:tcPr>
            <w:tcW w:w="60" w:type="dxa"/>
            <w:tcBorders/>
            <w:shd w:fill="CCEEFF" w:val="clear"/>
            <w:vAlign w:val="center"/>
          </w:tcPr>
          <w:p>
            <w:pPr>
              <w:pStyle w:val="TableContents"/>
              <w:spacing w:before="0" w:after="283"/>
              <w:rPr/>
            </w:pPr>
            <w:r>
              <w:rPr/>
              <w:t> </w:t>
            </w:r>
          </w:p>
        </w:tc>
        <w:tc>
          <w:tcPr>
            <w:tcW w:w="134" w:type="dxa"/>
            <w:tcBorders/>
            <w:shd w:fill="CCEEFF" w:val="clear"/>
            <w:vAlign w:val="center"/>
          </w:tcPr>
          <w:p>
            <w:pPr>
              <w:pStyle w:val="TableContents"/>
              <w:spacing w:before="0" w:after="283"/>
              <w:ind w:left="0" w:right="0" w:hanging="0"/>
              <w:rPr/>
            </w:pPr>
            <w:r>
              <w:rPr/>
              <w:t> </w:t>
            </w:r>
          </w:p>
        </w:tc>
        <w:tc>
          <w:tcPr>
            <w:tcW w:w="75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263</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67"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48"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10.41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489" w:type="dxa"/>
            <w:tcBorders/>
            <w:shd w:fill="CCEEFF" w:val="clear"/>
            <w:vAlign w:val="center"/>
          </w:tcPr>
          <w:p>
            <w:pPr>
              <w:pStyle w:val="TableContents"/>
              <w:spacing w:before="0" w:after="0"/>
              <w:ind w:left="0" w:right="0" w:hanging="0"/>
              <w:rPr>
                <w:caps w:val="false"/>
                <w:smallCaps w:val="false"/>
              </w:rPr>
            </w:pPr>
            <w:r>
              <w:rPr>
                <w:caps w:val="false"/>
                <w:smallCaps w:val="false"/>
              </w:rPr>
              <w:t>​</w:t>
            </w:r>
          </w:p>
        </w:tc>
        <w:tc>
          <w:tcPr>
            <w:tcW w:w="490" w:type="dxa"/>
            <w:tcBorders/>
            <w:shd w:fill="CCEEFF" w:val="clear"/>
            <w:vAlign w:val="center"/>
          </w:tcPr>
          <w:p>
            <w:pPr>
              <w:pStyle w:val="TableContents"/>
              <w:spacing w:before="0" w:after="283"/>
              <w:rPr/>
            </w:pPr>
            <w:r>
              <w:rPr>
                <w:rStyle w:val="Emphasis"/>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30"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04"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5.45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9" w:type="dxa"/>
            <w:tcBorders/>
            <w:shd w:fill="CCEEFF" w:val="clear"/>
            <w:vAlign w:val="center"/>
          </w:tcPr>
          <w:p>
            <w:pPr>
              <w:pStyle w:val="TableContents"/>
              <w:spacing w:before="0" w:after="283"/>
              <w:ind w:left="0" w:right="0" w:hanging="0"/>
              <w:rPr/>
            </w:pPr>
            <w:r>
              <w:rPr/>
              <w:t> </w:t>
            </w:r>
          </w:p>
        </w:tc>
        <w:tc>
          <w:tcPr>
            <w:tcW w:w="88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0.71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542"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348"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r>
      <w:tr>
        <w:trPr/>
        <w:tc>
          <w:tcPr>
            <w:tcW w:w="2555" w:type="dxa"/>
            <w:tcBorders/>
            <w:shd w:fill="FFFFFF" w:val="clear"/>
            <w:vAlign w:val="center"/>
          </w:tcPr>
          <w:p>
            <w:pPr>
              <w:pStyle w:val="TableContents"/>
              <w:spacing w:before="0" w:after="0"/>
              <w:rPr>
                <w:rFonts w:ascii="Times New Roman" w:hAnsi="Times New Roman"/>
                <w:sz w:val="20"/>
              </w:rPr>
            </w:pPr>
            <w:r>
              <w:rPr>
                <w:rFonts w:ascii="Times New Roman" w:hAnsi="Times New Roman"/>
                <w:sz w:val="20"/>
              </w:rPr>
              <w:t>Exercised</w:t>
            </w:r>
          </w:p>
        </w:tc>
        <w:tc>
          <w:tcPr>
            <w:tcW w:w="60" w:type="dxa"/>
            <w:tcBorders/>
            <w:shd w:fill="FFFFFF" w:val="clear"/>
            <w:vAlign w:val="center"/>
          </w:tcPr>
          <w:p>
            <w:pPr>
              <w:pStyle w:val="TableContents"/>
              <w:spacing w:before="0" w:after="283"/>
              <w:rPr/>
            </w:pPr>
            <w:r>
              <w:rPr/>
              <w:t> </w:t>
            </w:r>
          </w:p>
        </w:tc>
        <w:tc>
          <w:tcPr>
            <w:tcW w:w="134" w:type="dxa"/>
            <w:tcBorders/>
            <w:shd w:fill="FFFFFF" w:val="clear"/>
            <w:vAlign w:val="center"/>
          </w:tcPr>
          <w:p>
            <w:pPr>
              <w:pStyle w:val="TableContents"/>
              <w:spacing w:before="0" w:after="283"/>
              <w:rPr/>
            </w:pPr>
            <w:r>
              <w:rPr/>
              <w:t> </w:t>
            </w:r>
          </w:p>
        </w:tc>
        <w:tc>
          <w:tcPr>
            <w:tcW w:w="755"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7" w:type="dxa"/>
            <w:tcBorders/>
            <w:shd w:fill="FFFFFF" w:val="clear"/>
            <w:vAlign w:val="center"/>
          </w:tcPr>
          <w:p>
            <w:pPr>
              <w:pStyle w:val="TableContents"/>
              <w:spacing w:before="0" w:after="283"/>
              <w:rPr/>
            </w:pPr>
            <w:r>
              <w:rPr/>
              <w:t> </w:t>
            </w:r>
          </w:p>
        </w:tc>
        <w:tc>
          <w:tcPr>
            <w:tcW w:w="648"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489" w:type="dxa"/>
            <w:tcBorders/>
            <w:shd w:fill="FFFFFF" w:val="clear"/>
            <w:vAlign w:val="center"/>
          </w:tcPr>
          <w:p>
            <w:pPr>
              <w:pStyle w:val="TableContents"/>
              <w:spacing w:before="0" w:after="283"/>
              <w:rPr/>
            </w:pPr>
            <w:r>
              <w:rPr/>
              <w:t> </w:t>
            </w:r>
          </w:p>
        </w:tc>
        <w:tc>
          <w:tcPr>
            <w:tcW w:w="490" w:type="dxa"/>
            <w:tcBorders/>
            <w:shd w:fill="FFFFFF" w:val="clear"/>
            <w:vAlign w:val="center"/>
          </w:tcPr>
          <w:p>
            <w:pPr>
              <w:pStyle w:val="TableContents"/>
              <w:spacing w:before="0" w:after="283"/>
              <w:rPr/>
            </w:pPr>
            <w:r>
              <w:rPr>
                <w:rStyle w:val="Emphasis"/>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30" w:type="dxa"/>
            <w:tcBorders/>
            <w:shd w:fill="FFFFFF" w:val="clear"/>
            <w:vAlign w:val="center"/>
          </w:tcPr>
          <w:p>
            <w:pPr>
              <w:pStyle w:val="TableContents"/>
              <w:spacing w:before="0" w:after="283"/>
              <w:rPr/>
            </w:pPr>
            <w:r>
              <w:rPr/>
              <w:t> </w:t>
            </w:r>
          </w:p>
        </w:tc>
        <w:tc>
          <w:tcPr>
            <w:tcW w:w="704"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9" w:type="dxa"/>
            <w:tcBorders/>
            <w:shd w:fill="FFFFFF" w:val="clear"/>
            <w:vAlign w:val="center"/>
          </w:tcPr>
          <w:p>
            <w:pPr>
              <w:pStyle w:val="TableContents"/>
              <w:spacing w:before="0" w:after="283"/>
              <w:rPr/>
            </w:pPr>
            <w:r>
              <w:rPr/>
              <w:t> </w:t>
            </w:r>
          </w:p>
        </w:tc>
        <w:tc>
          <w:tcPr>
            <w:tcW w:w="886" w:type="dxa"/>
            <w:tcBorders/>
            <w:shd w:fill="FFFFFF" w:val="clear"/>
            <w:vAlign w:val="center"/>
          </w:tcPr>
          <w:p>
            <w:pPr>
              <w:pStyle w:val="TableContents"/>
              <w:spacing w:before="0" w:after="283"/>
              <w:jc w:val="right"/>
              <w:rPr/>
            </w:pPr>
            <w:r>
              <w:rPr>
                <w:rStyle w:val="Emphasis"/>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542" w:type="dxa"/>
            <w:tcBorders/>
            <w:shd w:fill="FFFFFF" w:val="clear"/>
            <w:vAlign w:val="center"/>
          </w:tcPr>
          <w:p>
            <w:pPr>
              <w:pStyle w:val="TableContents"/>
              <w:spacing w:before="0" w:after="283"/>
              <w:rPr/>
            </w:pPr>
            <w:r>
              <w:rPr/>
              <w:t> </w:t>
            </w:r>
          </w:p>
        </w:tc>
        <w:tc>
          <w:tcPr>
            <w:tcW w:w="348"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ind w:left="0" w:right="0" w:hanging="0"/>
              <w:rPr/>
            </w:pPr>
            <w:r>
              <w:rPr/>
              <w:t> </w:t>
            </w:r>
          </w:p>
        </w:tc>
      </w:tr>
      <w:tr>
        <w:trPr/>
        <w:tc>
          <w:tcPr>
            <w:tcW w:w="255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Forfeited</w:t>
            </w:r>
          </w:p>
        </w:tc>
        <w:tc>
          <w:tcPr>
            <w:tcW w:w="60" w:type="dxa"/>
            <w:tcBorders/>
            <w:shd w:fill="CCEEFF" w:val="clear"/>
            <w:vAlign w:val="center"/>
          </w:tcPr>
          <w:p>
            <w:pPr>
              <w:pStyle w:val="TableContents"/>
              <w:spacing w:before="0" w:after="283"/>
              <w:rPr/>
            </w:pPr>
            <w:r>
              <w:rPr/>
              <w:t> </w:t>
            </w:r>
          </w:p>
        </w:tc>
        <w:tc>
          <w:tcPr>
            <w:tcW w:w="134"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(34</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67" w:type="dxa"/>
            <w:tcBorders/>
            <w:shd w:fill="CCEEFF" w:val="clear"/>
            <w:vAlign w:val="center"/>
          </w:tcPr>
          <w:p>
            <w:pPr>
              <w:pStyle w:val="TableContents"/>
              <w:spacing w:before="0" w:after="283"/>
              <w:rPr/>
            </w:pPr>
            <w:r>
              <w:rPr/>
              <w:t> </w:t>
            </w:r>
          </w:p>
        </w:tc>
        <w:tc>
          <w:tcPr>
            <w:tcW w:w="648"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7.50</w:t>
            </w:r>
          </w:p>
        </w:tc>
        <w:tc>
          <w:tcPr>
            <w:tcW w:w="60" w:type="dxa"/>
            <w:tcBorders/>
            <w:shd w:fill="CCEEFF" w:val="clear"/>
            <w:vAlign w:val="center"/>
          </w:tcPr>
          <w:p>
            <w:pPr>
              <w:pStyle w:val="TableContents"/>
              <w:spacing w:before="0" w:after="283"/>
              <w:ind w:left="0" w:right="0" w:hanging="0"/>
              <w:rPr/>
            </w:pPr>
            <w:r>
              <w:rPr/>
              <w:t> </w:t>
            </w:r>
          </w:p>
        </w:tc>
        <w:tc>
          <w:tcPr>
            <w:tcW w:w="60" w:type="dxa"/>
            <w:tcBorders/>
            <w:shd w:fill="CCEEFF" w:val="clear"/>
            <w:vAlign w:val="center"/>
          </w:tcPr>
          <w:p>
            <w:pPr>
              <w:pStyle w:val="TableContents"/>
              <w:spacing w:before="0" w:after="0"/>
              <w:ind w:left="0" w:right="0" w:hanging="0"/>
              <w:rPr/>
            </w:pPr>
            <w:r>
              <w:rPr/>
              <w:t> </w:t>
            </w:r>
          </w:p>
        </w:tc>
        <w:tc>
          <w:tcPr>
            <w:tcW w:w="489" w:type="dxa"/>
            <w:tcBorders/>
            <w:shd w:fill="CCEEFF" w:val="clear"/>
            <w:vAlign w:val="center"/>
          </w:tcPr>
          <w:p>
            <w:pPr>
              <w:pStyle w:val="TableContents"/>
              <w:spacing w:before="0" w:after="0"/>
              <w:ind w:left="0" w:right="0" w:hanging="0"/>
              <w:rPr/>
            </w:pPr>
            <w:r>
              <w:rPr/>
              <w:t> </w:t>
            </w:r>
          </w:p>
        </w:tc>
        <w:tc>
          <w:tcPr>
            <w:tcW w:w="490" w:type="dxa"/>
            <w:tcBorders/>
            <w:shd w:fill="CCEEFF" w:val="clear"/>
            <w:vAlign w:val="center"/>
          </w:tcPr>
          <w:p>
            <w:pPr>
              <w:pStyle w:val="TableContents"/>
              <w:spacing w:before="0" w:after="0"/>
              <w:ind w:left="0" w:right="0" w:hanging="0"/>
              <w:rPr/>
            </w:pPr>
            <w:r>
              <w:rPr>
                <w:rStyle w:val="Emphasis"/>
              </w:rPr>
              <w:t> </w:t>
            </w:r>
          </w:p>
        </w:tc>
        <w:tc>
          <w:tcPr>
            <w:tcW w:w="60" w:type="dxa"/>
            <w:tcBorders/>
            <w:shd w:fill="CCEEFF" w:val="clear"/>
            <w:vAlign w:val="center"/>
          </w:tcPr>
          <w:p>
            <w:pPr>
              <w:pStyle w:val="TableContents"/>
              <w:spacing w:before="0" w:after="0"/>
              <w:rPr/>
            </w:pPr>
            <w:r>
              <w:rPr/>
              <w:t> </w:t>
            </w:r>
          </w:p>
        </w:tc>
        <w:tc>
          <w:tcPr>
            <w:tcW w:w="60" w:type="dxa"/>
            <w:tcBorders/>
            <w:shd w:fill="CCEEFF" w:val="clear"/>
            <w:vAlign w:val="center"/>
          </w:tcPr>
          <w:p>
            <w:pPr>
              <w:pStyle w:val="TableContents"/>
              <w:spacing w:before="0" w:after="283"/>
              <w:rPr/>
            </w:pPr>
            <w:r>
              <w:rPr/>
              <w:t> </w:t>
            </w:r>
          </w:p>
        </w:tc>
        <w:tc>
          <w:tcPr>
            <w:tcW w:w="230" w:type="dxa"/>
            <w:tcBorders/>
            <w:shd w:fill="CCEEFF" w:val="clear"/>
            <w:vAlign w:val="center"/>
          </w:tcPr>
          <w:p>
            <w:pPr>
              <w:pStyle w:val="TableContents"/>
              <w:spacing w:before="0" w:after="283"/>
              <w:rPr/>
            </w:pPr>
            <w:r>
              <w:rPr/>
              <w:t> </w:t>
            </w:r>
          </w:p>
        </w:tc>
        <w:tc>
          <w:tcPr>
            <w:tcW w:w="704"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4.73</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9" w:type="dxa"/>
            <w:tcBorders/>
            <w:shd w:fill="CCEEFF" w:val="clear"/>
            <w:vAlign w:val="center"/>
          </w:tcPr>
          <w:p>
            <w:pPr>
              <w:pStyle w:val="TableContents"/>
              <w:spacing w:before="0" w:after="283"/>
              <w:rPr/>
            </w:pPr>
            <w:r>
              <w:rPr/>
              <w:t> </w:t>
            </w:r>
          </w:p>
        </w:tc>
        <w:tc>
          <w:tcPr>
            <w:tcW w:w="886" w:type="dxa"/>
            <w:tcBorders/>
            <w:shd w:fill="CCEEFF" w:val="clear"/>
            <w:vAlign w:val="center"/>
          </w:tcPr>
          <w:p>
            <w:pPr>
              <w:pStyle w:val="TableContents"/>
              <w:spacing w:before="0" w:after="283"/>
              <w:jc w:val="right"/>
              <w:rPr/>
            </w:pPr>
            <w:r>
              <w:rPr>
                <w:rStyle w:val="Emphasis"/>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42" w:type="dxa"/>
            <w:tcBorders/>
            <w:shd w:fill="CCEEFF" w:val="clear"/>
            <w:vAlign w:val="center"/>
          </w:tcPr>
          <w:p>
            <w:pPr>
              <w:pStyle w:val="TableContents"/>
              <w:spacing w:before="0" w:after="283"/>
              <w:rPr/>
            </w:pPr>
            <w:r>
              <w:rPr/>
              <w:t> </w:t>
            </w:r>
          </w:p>
        </w:tc>
        <w:tc>
          <w:tcPr>
            <w:tcW w:w="348"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ind w:left="0" w:right="0" w:hanging="0"/>
              <w:rPr/>
            </w:pPr>
            <w:r>
              <w:rPr/>
              <w:t> </w:t>
            </w:r>
          </w:p>
        </w:tc>
      </w:tr>
      <w:tr>
        <w:trPr/>
        <w:tc>
          <w:tcPr>
            <w:tcW w:w="2555" w:type="dxa"/>
            <w:tcBorders/>
            <w:shd w:fill="FFFFFF" w:val="clear"/>
            <w:vAlign w:val="center"/>
          </w:tcPr>
          <w:p>
            <w:pPr>
              <w:pStyle w:val="TableContents"/>
              <w:spacing w:before="0" w:after="0"/>
              <w:rPr>
                <w:rFonts w:ascii="Times New Roman" w:hAnsi="Times New Roman"/>
                <w:sz w:val="20"/>
              </w:rPr>
            </w:pPr>
            <w:r>
              <w:rPr>
                <w:rFonts w:ascii="Times New Roman" w:hAnsi="Times New Roman"/>
                <w:sz w:val="20"/>
              </w:rPr>
              <w:t>Outstanding, March 31, 2023</w:t>
            </w:r>
          </w:p>
        </w:tc>
        <w:tc>
          <w:tcPr>
            <w:tcW w:w="60" w:type="dxa"/>
            <w:tcBorders/>
            <w:shd w:fill="FFFFFF" w:val="clear"/>
            <w:vAlign w:val="center"/>
          </w:tcPr>
          <w:p>
            <w:pPr>
              <w:pStyle w:val="TableContents"/>
              <w:spacing w:before="0" w:after="283"/>
              <w:rPr/>
            </w:pPr>
            <w:r>
              <w:rPr/>
              <w:t> </w:t>
            </w:r>
          </w:p>
        </w:tc>
        <w:tc>
          <w:tcPr>
            <w:tcW w:w="134" w:type="dxa"/>
            <w:tcBorders/>
            <w:shd w:fill="FFFFFF" w:val="clear"/>
            <w:vAlign w:val="center"/>
          </w:tcPr>
          <w:p>
            <w:pPr>
              <w:pStyle w:val="TableContents"/>
              <w:spacing w:before="0" w:after="283"/>
              <w:rPr/>
            </w:pPr>
            <w:r>
              <w:rPr/>
              <w:t> </w:t>
            </w:r>
          </w:p>
        </w:tc>
        <w:tc>
          <w:tcPr>
            <w:tcW w:w="755"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229</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7" w:type="dxa"/>
            <w:tcBorders/>
            <w:shd w:fill="FFFFFF" w:val="clear"/>
            <w:vAlign w:val="center"/>
          </w:tcPr>
          <w:p>
            <w:pPr>
              <w:pStyle w:val="TableContents"/>
              <w:spacing w:before="0" w:after="283"/>
              <w:rPr/>
            </w:pPr>
            <w:r>
              <w:rPr/>
              <w:t> </w:t>
            </w:r>
          </w:p>
        </w:tc>
        <w:tc>
          <w:tcPr>
            <w:tcW w:w="648"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10.84</w:t>
            </w:r>
          </w:p>
        </w:tc>
        <w:tc>
          <w:tcPr>
            <w:tcW w:w="60" w:type="dxa"/>
            <w:tcBorders/>
            <w:shd w:fill="FFFFFF" w:val="clear"/>
            <w:vAlign w:val="center"/>
          </w:tcPr>
          <w:p>
            <w:pPr>
              <w:pStyle w:val="TableContents"/>
              <w:spacing w:before="0" w:after="283"/>
              <w:ind w:left="0" w:right="0" w:hanging="0"/>
              <w:rPr/>
            </w:pPr>
            <w:r>
              <w:rPr/>
              <w:t> </w:t>
            </w:r>
          </w:p>
        </w:tc>
        <w:tc>
          <w:tcPr>
            <w:tcW w:w="60" w:type="dxa"/>
            <w:tcBorders/>
            <w:shd w:fill="FFFFFF" w:val="clear"/>
            <w:vAlign w:val="center"/>
          </w:tcPr>
          <w:p>
            <w:pPr>
              <w:pStyle w:val="TableContents"/>
              <w:spacing w:before="0" w:after="0"/>
              <w:ind w:left="0" w:right="0" w:hanging="0"/>
              <w:rPr/>
            </w:pPr>
            <w:r>
              <w:rPr/>
              <w:t> </w:t>
            </w:r>
          </w:p>
        </w:tc>
        <w:tc>
          <w:tcPr>
            <w:tcW w:w="489" w:type="dxa"/>
            <w:tcBorders/>
            <w:shd w:fill="FFFFFF" w:val="clear"/>
            <w:vAlign w:val="center"/>
          </w:tcPr>
          <w:p>
            <w:pPr>
              <w:pStyle w:val="TableContents"/>
              <w:spacing w:before="0" w:after="0"/>
              <w:ind w:left="0" w:right="0" w:hanging="0"/>
              <w:rPr/>
            </w:pPr>
            <w:r>
              <w:rPr/>
              <w:t>​</w:t>
            </w:r>
          </w:p>
        </w:tc>
        <w:tc>
          <w:tcPr>
            <w:tcW w:w="490" w:type="dxa"/>
            <w:tcBorders/>
            <w:shd w:fill="FFFFFF" w:val="clear"/>
            <w:vAlign w:val="center"/>
          </w:tcPr>
          <w:p>
            <w:pPr>
              <w:pStyle w:val="TableContents"/>
              <w:spacing w:before="0" w:after="0"/>
              <w:ind w:left="0" w:right="0" w:hanging="0"/>
              <w:rPr/>
            </w:pPr>
            <w:r>
              <w:rPr>
                <w:rStyle w:val="Emphasis"/>
              </w:rPr>
              <w:t> </w:t>
            </w:r>
          </w:p>
        </w:tc>
        <w:tc>
          <w:tcPr>
            <w:tcW w:w="60" w:type="dxa"/>
            <w:tcBorders/>
            <w:shd w:fill="FFFFFF" w:val="clear"/>
            <w:vAlign w:val="center"/>
          </w:tcPr>
          <w:p>
            <w:pPr>
              <w:pStyle w:val="TableContents"/>
              <w:spacing w:before="0" w:after="0"/>
              <w:rPr/>
            </w:pPr>
            <w:r>
              <w:rPr/>
              <w:t> </w:t>
            </w:r>
          </w:p>
        </w:tc>
        <w:tc>
          <w:tcPr>
            <w:tcW w:w="60" w:type="dxa"/>
            <w:tcBorders/>
            <w:shd w:fill="FFFFFF" w:val="clear"/>
            <w:vAlign w:val="center"/>
          </w:tcPr>
          <w:p>
            <w:pPr>
              <w:pStyle w:val="TableContents"/>
              <w:spacing w:before="0" w:after="283"/>
              <w:rPr/>
            </w:pPr>
            <w:r>
              <w:rPr/>
              <w:t> </w:t>
            </w:r>
          </w:p>
        </w:tc>
        <w:tc>
          <w:tcPr>
            <w:tcW w:w="230" w:type="dxa"/>
            <w:tcBorders/>
            <w:shd w:fill="FFFFFF" w:val="clear"/>
            <w:vAlign w:val="center"/>
          </w:tcPr>
          <w:p>
            <w:pPr>
              <w:pStyle w:val="TableContents"/>
              <w:spacing w:before="0" w:after="283"/>
              <w:rPr/>
            </w:pPr>
            <w:r>
              <w:rPr/>
              <w:t> </w:t>
            </w:r>
          </w:p>
        </w:tc>
        <w:tc>
          <w:tcPr>
            <w:tcW w:w="704"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5.56</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9" w:type="dxa"/>
            <w:tcBorders/>
            <w:shd w:fill="FFFFFF" w:val="clear"/>
            <w:vAlign w:val="center"/>
          </w:tcPr>
          <w:p>
            <w:pPr>
              <w:pStyle w:val="TableContents"/>
              <w:spacing w:before="0" w:after="283"/>
              <w:rPr/>
            </w:pPr>
            <w:r>
              <w:rPr/>
              <w:t> </w:t>
            </w:r>
          </w:p>
        </w:tc>
        <w:tc>
          <w:tcPr>
            <w:tcW w:w="886"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0.57</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542" w:type="dxa"/>
            <w:tcBorders/>
            <w:shd w:fill="FFFFFF" w:val="clear"/>
            <w:vAlign w:val="center"/>
          </w:tcPr>
          <w:p>
            <w:pPr>
              <w:pStyle w:val="TableContents"/>
              <w:spacing w:before="0" w:after="283"/>
              <w:rPr/>
            </w:pPr>
            <w:r>
              <w:rPr/>
              <w:t> </w:t>
            </w:r>
          </w:p>
        </w:tc>
        <w:tc>
          <w:tcPr>
            <w:tcW w:w="348"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ind w:left="0" w:right="0" w:hanging="0"/>
              <w:rPr/>
            </w:pPr>
            <w:r>
              <w:rPr/>
              <w:t> </w:t>
            </w:r>
          </w:p>
        </w:tc>
      </w:tr>
      <w:tr>
        <w:trPr/>
        <w:tc>
          <w:tcPr>
            <w:tcW w:w="255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Exercisable, March 31, 2023</w:t>
            </w:r>
          </w:p>
        </w:tc>
        <w:tc>
          <w:tcPr>
            <w:tcW w:w="60" w:type="dxa"/>
            <w:tcBorders/>
            <w:shd w:fill="CCEEFF" w:val="clear"/>
            <w:vAlign w:val="center"/>
          </w:tcPr>
          <w:p>
            <w:pPr>
              <w:pStyle w:val="TableContents"/>
              <w:spacing w:before="0" w:after="283"/>
              <w:rPr/>
            </w:pPr>
            <w:r>
              <w:rPr/>
              <w:t> </w:t>
            </w:r>
          </w:p>
        </w:tc>
        <w:tc>
          <w:tcPr>
            <w:tcW w:w="134"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229</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67" w:type="dxa"/>
            <w:tcBorders/>
            <w:shd w:fill="CCEEFF" w:val="clear"/>
            <w:vAlign w:val="center"/>
          </w:tcPr>
          <w:p>
            <w:pPr>
              <w:pStyle w:val="TableContents"/>
              <w:spacing w:before="0" w:after="283"/>
              <w:rPr/>
            </w:pPr>
            <w:r>
              <w:rPr/>
              <w:t> </w:t>
            </w:r>
          </w:p>
        </w:tc>
        <w:tc>
          <w:tcPr>
            <w:tcW w:w="648"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10.84</w:t>
            </w:r>
          </w:p>
        </w:tc>
        <w:tc>
          <w:tcPr>
            <w:tcW w:w="60" w:type="dxa"/>
            <w:tcBorders/>
            <w:shd w:fill="CCEEFF" w:val="clear"/>
            <w:vAlign w:val="center"/>
          </w:tcPr>
          <w:p>
            <w:pPr>
              <w:pStyle w:val="TableContents"/>
              <w:spacing w:before="0" w:after="283"/>
              <w:ind w:left="0" w:right="0" w:hanging="0"/>
              <w:rPr/>
            </w:pPr>
            <w:r>
              <w:rPr/>
              <w:t> </w:t>
            </w:r>
          </w:p>
        </w:tc>
        <w:tc>
          <w:tcPr>
            <w:tcW w:w="60" w:type="dxa"/>
            <w:tcBorders/>
            <w:shd w:fill="CCEEFF" w:val="clear"/>
            <w:vAlign w:val="center"/>
          </w:tcPr>
          <w:p>
            <w:pPr>
              <w:pStyle w:val="TableContents"/>
              <w:spacing w:before="0" w:after="0"/>
              <w:ind w:left="0" w:right="0" w:hanging="0"/>
              <w:rPr/>
            </w:pPr>
            <w:r>
              <w:rPr/>
              <w:t> </w:t>
            </w:r>
          </w:p>
        </w:tc>
        <w:tc>
          <w:tcPr>
            <w:tcW w:w="489" w:type="dxa"/>
            <w:tcBorders/>
            <w:shd w:fill="CCEEFF" w:val="clear"/>
            <w:vAlign w:val="center"/>
          </w:tcPr>
          <w:p>
            <w:pPr>
              <w:pStyle w:val="TableContents"/>
              <w:spacing w:before="0" w:after="0"/>
              <w:ind w:left="0" w:right="0" w:hanging="0"/>
              <w:rPr/>
            </w:pPr>
            <w:r>
              <w:rPr/>
              <w:t>​</w:t>
            </w:r>
          </w:p>
        </w:tc>
        <w:tc>
          <w:tcPr>
            <w:tcW w:w="490" w:type="dxa"/>
            <w:tcBorders/>
            <w:shd w:fill="CCEEFF" w:val="clear"/>
            <w:vAlign w:val="center"/>
          </w:tcPr>
          <w:p>
            <w:pPr>
              <w:pStyle w:val="TableContents"/>
              <w:spacing w:before="0" w:after="0"/>
              <w:ind w:left="0" w:right="0" w:hanging="0"/>
              <w:rPr/>
            </w:pPr>
            <w:r>
              <w:rPr>
                <w:rStyle w:val="Emphasis"/>
              </w:rPr>
              <w:t> </w:t>
            </w:r>
          </w:p>
        </w:tc>
        <w:tc>
          <w:tcPr>
            <w:tcW w:w="60" w:type="dxa"/>
            <w:tcBorders/>
            <w:shd w:fill="CCEEFF" w:val="clear"/>
            <w:vAlign w:val="center"/>
          </w:tcPr>
          <w:p>
            <w:pPr>
              <w:pStyle w:val="TableContents"/>
              <w:spacing w:before="0" w:after="0"/>
              <w:rPr/>
            </w:pPr>
            <w:r>
              <w:rPr/>
              <w:t> </w:t>
            </w:r>
          </w:p>
        </w:tc>
        <w:tc>
          <w:tcPr>
            <w:tcW w:w="60" w:type="dxa"/>
            <w:tcBorders/>
            <w:shd w:fill="CCEEFF" w:val="clear"/>
            <w:vAlign w:val="center"/>
          </w:tcPr>
          <w:p>
            <w:pPr>
              <w:pStyle w:val="TableContents"/>
              <w:spacing w:before="0" w:after="283"/>
              <w:rPr/>
            </w:pPr>
            <w:r>
              <w:rPr/>
              <w:t> </w:t>
            </w:r>
          </w:p>
        </w:tc>
        <w:tc>
          <w:tcPr>
            <w:tcW w:w="230" w:type="dxa"/>
            <w:tcBorders/>
            <w:shd w:fill="CCEEFF" w:val="clear"/>
            <w:vAlign w:val="center"/>
          </w:tcPr>
          <w:p>
            <w:pPr>
              <w:pStyle w:val="TableContents"/>
              <w:spacing w:before="0" w:after="283"/>
              <w:rPr/>
            </w:pPr>
            <w:r>
              <w:rPr/>
              <w:t> </w:t>
            </w:r>
          </w:p>
        </w:tc>
        <w:tc>
          <w:tcPr>
            <w:tcW w:w="704"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5.56</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9" w:type="dxa"/>
            <w:tcBorders/>
            <w:shd w:fill="CCEEFF" w:val="clear"/>
            <w:vAlign w:val="center"/>
          </w:tcPr>
          <w:p>
            <w:pPr>
              <w:pStyle w:val="TableContents"/>
              <w:spacing w:before="0" w:after="283"/>
              <w:rPr/>
            </w:pPr>
            <w:r>
              <w:rPr/>
              <w:t> </w:t>
            </w:r>
          </w:p>
        </w:tc>
        <w:tc>
          <w:tcPr>
            <w:tcW w:w="886"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0.57</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42" w:type="dxa"/>
            <w:tcBorders/>
            <w:shd w:fill="CCEEFF" w:val="clear"/>
            <w:vAlign w:val="center"/>
          </w:tcPr>
          <w:p>
            <w:pPr>
              <w:pStyle w:val="TableContents"/>
              <w:spacing w:before="0" w:after="283"/>
              <w:rPr/>
            </w:pPr>
            <w:r>
              <w:rPr/>
              <w:t> </w:t>
            </w:r>
          </w:p>
        </w:tc>
        <w:tc>
          <w:tcPr>
            <w:tcW w:w="348"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ind w:left="0" w:right="0" w:hanging="0"/>
              <w:rPr/>
            </w:pPr>
            <w:r>
              <w:rPr/>
              <w:t> </w:t>
            </w:r>
          </w:p>
        </w:tc>
      </w:tr>
      <w:tr>
        <w:trPr/>
        <w:tc>
          <w:tcPr>
            <w:tcW w:w="2555" w:type="dxa"/>
            <w:tcBorders/>
            <w:shd w:fill="FFFFFF" w:val="clear"/>
            <w:vAlign w:val="center"/>
          </w:tcPr>
          <w:p>
            <w:pPr>
              <w:pStyle w:val="TableContents"/>
              <w:spacing w:before="0" w:after="0"/>
              <w:rPr>
                <w:rFonts w:ascii="Times New Roman" w:hAnsi="Times New Roman"/>
                <w:sz w:val="20"/>
              </w:rPr>
            </w:pPr>
            <w:r>
              <w:rPr>
                <w:rFonts w:ascii="Times New Roman" w:hAnsi="Times New Roman"/>
                <w:sz w:val="20"/>
              </w:rPr>
              <w:t>Vested and expected to vest</w:t>
            </w:r>
          </w:p>
        </w:tc>
        <w:tc>
          <w:tcPr>
            <w:tcW w:w="60" w:type="dxa"/>
            <w:tcBorders/>
            <w:shd w:fill="FFFFFF" w:val="clear"/>
            <w:vAlign w:val="center"/>
          </w:tcPr>
          <w:p>
            <w:pPr>
              <w:pStyle w:val="TableContents"/>
              <w:spacing w:before="0" w:after="283"/>
              <w:rPr/>
            </w:pPr>
            <w:r>
              <w:rPr/>
              <w:t> </w:t>
            </w:r>
          </w:p>
        </w:tc>
        <w:tc>
          <w:tcPr>
            <w:tcW w:w="134" w:type="dxa"/>
            <w:tcBorders/>
            <w:shd w:fill="FFFFFF" w:val="clear"/>
            <w:vAlign w:val="center"/>
          </w:tcPr>
          <w:p>
            <w:pPr>
              <w:pStyle w:val="TableContents"/>
              <w:spacing w:before="0" w:after="283"/>
              <w:rPr/>
            </w:pPr>
            <w:r>
              <w:rPr/>
              <w:t> </w:t>
            </w:r>
          </w:p>
        </w:tc>
        <w:tc>
          <w:tcPr>
            <w:tcW w:w="755"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229</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7" w:type="dxa"/>
            <w:tcBorders/>
            <w:shd w:fill="FFFFFF" w:val="clear"/>
            <w:vAlign w:val="center"/>
          </w:tcPr>
          <w:p>
            <w:pPr>
              <w:pStyle w:val="TableContents"/>
              <w:spacing w:before="0" w:after="283"/>
              <w:rPr/>
            </w:pPr>
            <w:r>
              <w:rPr/>
              <w:t> </w:t>
            </w:r>
          </w:p>
        </w:tc>
        <w:tc>
          <w:tcPr>
            <w:tcW w:w="648"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10.84</w:t>
            </w:r>
          </w:p>
        </w:tc>
        <w:tc>
          <w:tcPr>
            <w:tcW w:w="60" w:type="dxa"/>
            <w:tcBorders/>
            <w:shd w:fill="FFFFFF" w:val="clear"/>
            <w:vAlign w:val="center"/>
          </w:tcPr>
          <w:p>
            <w:pPr>
              <w:pStyle w:val="TableContents"/>
              <w:spacing w:before="0" w:after="283"/>
              <w:ind w:left="0" w:right="0" w:hanging="0"/>
              <w:rPr/>
            </w:pPr>
            <w:r>
              <w:rPr/>
              <w:t> </w:t>
            </w:r>
          </w:p>
        </w:tc>
        <w:tc>
          <w:tcPr>
            <w:tcW w:w="60" w:type="dxa"/>
            <w:tcBorders/>
            <w:shd w:fill="FFFFFF" w:val="clear"/>
            <w:vAlign w:val="center"/>
          </w:tcPr>
          <w:p>
            <w:pPr>
              <w:pStyle w:val="TableContents"/>
              <w:spacing w:before="0" w:after="0"/>
              <w:ind w:left="0" w:right="0" w:hanging="0"/>
              <w:rPr/>
            </w:pPr>
            <w:r>
              <w:rPr/>
              <w:t> </w:t>
            </w:r>
          </w:p>
        </w:tc>
        <w:tc>
          <w:tcPr>
            <w:tcW w:w="489" w:type="dxa"/>
            <w:tcBorders/>
            <w:shd w:fill="FFFFFF" w:val="clear"/>
            <w:vAlign w:val="center"/>
          </w:tcPr>
          <w:p>
            <w:pPr>
              <w:pStyle w:val="TableContents"/>
              <w:spacing w:before="0" w:after="0"/>
              <w:ind w:left="0" w:right="0" w:hanging="0"/>
              <w:rPr/>
            </w:pPr>
            <w:r>
              <w:rPr/>
              <w:t>​</w:t>
            </w:r>
          </w:p>
        </w:tc>
        <w:tc>
          <w:tcPr>
            <w:tcW w:w="490" w:type="dxa"/>
            <w:tcBorders/>
            <w:shd w:fill="FFFFFF" w:val="clear"/>
            <w:vAlign w:val="center"/>
          </w:tcPr>
          <w:p>
            <w:pPr>
              <w:pStyle w:val="TableContents"/>
              <w:spacing w:before="0" w:after="0"/>
              <w:ind w:left="0" w:right="0" w:hanging="0"/>
              <w:rPr/>
            </w:pPr>
            <w:r>
              <w:rPr>
                <w:rStyle w:val="Emphasis"/>
              </w:rPr>
              <w:t> </w:t>
            </w:r>
          </w:p>
        </w:tc>
        <w:tc>
          <w:tcPr>
            <w:tcW w:w="60" w:type="dxa"/>
            <w:tcBorders/>
            <w:shd w:fill="FFFFFF" w:val="clear"/>
            <w:vAlign w:val="center"/>
          </w:tcPr>
          <w:p>
            <w:pPr>
              <w:pStyle w:val="TableContents"/>
              <w:spacing w:before="0" w:after="0"/>
              <w:rPr/>
            </w:pPr>
            <w:r>
              <w:rPr/>
              <w:t> </w:t>
            </w:r>
          </w:p>
        </w:tc>
        <w:tc>
          <w:tcPr>
            <w:tcW w:w="60" w:type="dxa"/>
            <w:tcBorders/>
            <w:shd w:fill="FFFFFF" w:val="clear"/>
            <w:vAlign w:val="center"/>
          </w:tcPr>
          <w:p>
            <w:pPr>
              <w:pStyle w:val="TableContents"/>
              <w:spacing w:before="0" w:after="283"/>
              <w:rPr/>
            </w:pPr>
            <w:r>
              <w:rPr/>
              <w:t> </w:t>
            </w:r>
          </w:p>
        </w:tc>
        <w:tc>
          <w:tcPr>
            <w:tcW w:w="230" w:type="dxa"/>
            <w:tcBorders/>
            <w:shd w:fill="FFFFFF" w:val="clear"/>
            <w:vAlign w:val="center"/>
          </w:tcPr>
          <w:p>
            <w:pPr>
              <w:pStyle w:val="TableContents"/>
              <w:spacing w:before="0" w:after="283"/>
              <w:rPr/>
            </w:pPr>
            <w:r>
              <w:rPr/>
              <w:t> </w:t>
            </w:r>
          </w:p>
        </w:tc>
        <w:tc>
          <w:tcPr>
            <w:tcW w:w="704"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5.56</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9" w:type="dxa"/>
            <w:tcBorders/>
            <w:shd w:fill="FFFFFF" w:val="clear"/>
            <w:vAlign w:val="center"/>
          </w:tcPr>
          <w:p>
            <w:pPr>
              <w:pStyle w:val="TableContents"/>
              <w:spacing w:before="0" w:after="283"/>
              <w:rPr/>
            </w:pPr>
            <w:r>
              <w:rPr/>
              <w:t> </w:t>
            </w:r>
          </w:p>
        </w:tc>
        <w:tc>
          <w:tcPr>
            <w:tcW w:w="886"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0.57</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542" w:type="dxa"/>
            <w:tcBorders/>
            <w:shd w:fill="FFFFFF" w:val="clear"/>
            <w:vAlign w:val="center"/>
          </w:tcPr>
          <w:p>
            <w:pPr>
              <w:pStyle w:val="TableContents"/>
              <w:spacing w:before="0" w:after="283"/>
              <w:rPr/>
            </w:pPr>
            <w:r>
              <w:rPr/>
              <w:t> </w:t>
            </w:r>
          </w:p>
        </w:tc>
        <w:tc>
          <w:tcPr>
            <w:tcW w:w="348"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r>
    </w:tbl>
    <w:p>
      <w:pPr>
        <w:pStyle w:val="TextBody"/>
        <w:rPr/>
      </w:pPr>
      <w:r>
        <w:rPr/>
        <w:t xml:space="preserve">  </w:t>
      </w:r>
    </w:p>
    <w:p>
      <w:pPr>
        <w:pStyle w:val="TextBody"/>
        <w:spacing w:before="0" w:after="0"/>
        <w:ind w:left="0" w:right="0" w:firstLine="720"/>
        <w:jc w:val="left"/>
        <w:rPr/>
      </w:pPr>
      <w:r>
        <w:rPr/>
        <w:t> </w:t>
      </w:r>
    </w:p>
    <w:p>
      <w:pPr>
        <w:pStyle w:val="TextBody"/>
        <w:spacing w:before="0" w:after="0"/>
        <w:ind w:left="0" w:right="0" w:firstLine="720"/>
        <w:jc w:val="left"/>
        <w:rPr/>
      </w:pPr>
      <w:r>
        <w:rPr>
          <w:rFonts w:ascii="Times New Roman" w:hAnsi="Times New Roman"/>
          <w:sz w:val="20"/>
        </w:rPr>
        <w:t xml:space="preserve">As of </w:t>
      </w:r>
      <w:r>
        <w:rPr>
          <w:rStyle w:val="Emphasis"/>
          <w:rFonts w:ascii="Times New Roman" w:hAnsi="Times New Roman"/>
          <w:sz w:val="20"/>
        </w:rPr>
        <w:t>March 31, 2023</w:t>
      </w:r>
      <w:r>
        <w:rPr>
          <w:rFonts w:ascii="Times New Roman" w:hAnsi="Times New Roman"/>
          <w:sz w:val="20"/>
        </w:rPr>
        <w:t>, there was no unrecognized stock option expense.</w:t>
      </w:r>
    </w:p>
    <w:p>
      <w:pPr>
        <w:pStyle w:val="TextBody"/>
        <w:spacing w:before="0" w:after="0"/>
        <w:ind w:left="0" w:right="0" w:firstLine="720"/>
        <w:jc w:val="left"/>
        <w:rPr/>
      </w:pPr>
      <w:r>
        <w:rPr/>
        <w:t>​</w:t>
      </w:r>
    </w:p>
    <w:p>
      <w:pPr>
        <w:pStyle w:val="TextBody"/>
        <w:spacing w:before="0" w:after="0"/>
        <w:ind w:left="0" w:right="0" w:hanging="0"/>
        <w:jc w:val="left"/>
        <w:rPr>
          <w:rFonts w:ascii="Times New Roman" w:hAnsi="Times New Roman"/>
          <w:i/>
          <w:sz w:val="20"/>
        </w:rPr>
      </w:pPr>
      <w:r>
        <w:rPr>
          <w:rFonts w:ascii="Times New Roman" w:hAnsi="Times New Roman"/>
          <w:i/>
          <w:sz w:val="20"/>
        </w:rPr>
        <w:t>Performance Based Incentive Plan</w:t>
      </w:r>
    </w:p>
    <w:p>
      <w:pPr>
        <w:pStyle w:val="TextBody"/>
        <w:spacing w:before="0" w:after="0"/>
        <w:ind w:left="0" w:right="0" w:hanging="0"/>
        <w:jc w:val="left"/>
        <w:rPr/>
      </w:pPr>
      <w:r>
        <w:rPr/>
        <w:t> </w:t>
      </w:r>
    </w:p>
    <w:p>
      <w:pPr>
        <w:pStyle w:val="TextBody"/>
        <w:spacing w:before="0" w:after="0"/>
        <w:ind w:left="0" w:right="0" w:firstLine="720"/>
        <w:jc w:val="left"/>
        <w:rPr/>
      </w:pPr>
      <w:r>
        <w:rPr/>
        <w:t>​</w:t>
      </w:r>
      <w:r>
        <w:rPr>
          <w:rFonts w:ascii="Times New Roman" w:hAnsi="Times New Roman"/>
          <w:sz w:val="20"/>
        </w:rPr>
        <w:t xml:space="preserve">The Company approved to grant restricted performance stock units (“PSUs”) to senior executives as a part of our long-term equity compensation program starting from </w:t>
      </w:r>
      <w:r>
        <w:rPr>
          <w:rStyle w:val="Emphasis"/>
          <w:rFonts w:ascii="Times New Roman" w:hAnsi="Times New Roman"/>
          <w:sz w:val="20"/>
        </w:rPr>
        <w:t xml:space="preserve">June 2021. </w:t>
      </w:r>
      <w:r>
        <w:rPr>
          <w:rFonts w:ascii="Times New Roman" w:hAnsi="Times New Roman"/>
          <w:sz w:val="20"/>
        </w:rPr>
        <w:t xml:space="preserve">The number of shares of common stock that will ultimately be issued to settle PSUs granted ranges from 0% to 200% of the number granted and is determined based on certain performance criteria over a </w:t>
      </w:r>
      <w:r>
        <w:rPr>
          <w:rStyle w:val="Emphasis"/>
          <w:rFonts w:ascii="Times New Roman" w:hAnsi="Times New Roman"/>
          <w:sz w:val="20"/>
        </w:rPr>
        <w:t>three</w:t>
      </w:r>
      <w:r>
        <w:rPr>
          <w:rFonts w:ascii="Times New Roman" w:hAnsi="Times New Roman"/>
          <w:sz w:val="20"/>
        </w:rPr>
        <w:t xml:space="preserve">-year measurement period. The performance criteria for the PSUs are based on a combination of the performance of our stock price and the Total Shareholder Return (“TSR”) for the performance period compared with the TSR of certain peer companies or index for the performance period. PSUs granted vest 100% on the </w:t>
      </w:r>
      <w:r>
        <w:rPr>
          <w:rStyle w:val="Emphasis"/>
          <w:rFonts w:ascii="Times New Roman" w:hAnsi="Times New Roman"/>
          <w:sz w:val="20"/>
        </w:rPr>
        <w:t>third</w:t>
      </w:r>
      <w:r>
        <w:rPr>
          <w:rFonts w:ascii="Times New Roman" w:hAnsi="Times New Roman"/>
          <w:sz w:val="20"/>
        </w:rPr>
        <w:t> anniversary of their grant, assuming achievement of the applicable performance criteria. We estimated the fair value of the PSUs using a Monte Carlo simulation model on the date of grant. Compensation expense is recognized ratably over the explicit service period</w:t>
      </w:r>
      <w:r>
        <w:rPr>
          <w:rFonts w:ascii="Times New Roman" w:hAnsi="Times New Roman"/>
          <w:sz w:val="20"/>
          <w:highlight w:val="white"/>
        </w:rPr>
        <w:t xml:space="preserve">. The Company recognized </w:t>
      </w:r>
      <w:r>
        <w:rPr>
          <w:rFonts w:ascii="Times New Roman" w:hAnsi="Times New Roman"/>
          <w:sz w:val="20"/>
        </w:rPr>
        <w:t xml:space="preserve">PSU expenses for the </w:t>
      </w:r>
      <w:r>
        <w:rPr>
          <w:rStyle w:val="Emphasis"/>
          <w:rFonts w:ascii="Times New Roman" w:hAnsi="Times New Roman"/>
          <w:sz w:val="20"/>
        </w:rPr>
        <w:t>three</w:t>
      </w:r>
      <w:r>
        <w:rPr>
          <w:rFonts w:ascii="Times New Roman" w:hAnsi="Times New Roman"/>
          <w:sz w:val="20"/>
        </w:rPr>
        <w:t xml:space="preserve"> months ended on </w:t>
      </w:r>
      <w:r>
        <w:rPr>
          <w:rStyle w:val="Emphasis"/>
          <w:rFonts w:ascii="Times New Roman" w:hAnsi="Times New Roman"/>
          <w:sz w:val="20"/>
        </w:rPr>
        <w:t>March 31, 2023 </w:t>
      </w:r>
      <w:r>
        <w:rPr>
          <w:rFonts w:ascii="Times New Roman" w:hAnsi="Times New Roman"/>
          <w:sz w:val="20"/>
        </w:rPr>
        <w:t xml:space="preserve">and </w:t>
      </w:r>
      <w:r>
        <w:rPr>
          <w:rStyle w:val="Emphasis"/>
          <w:rFonts w:ascii="Times New Roman" w:hAnsi="Times New Roman"/>
          <w:sz w:val="20"/>
        </w:rPr>
        <w:t>2022</w:t>
      </w:r>
      <w:r>
        <w:rPr>
          <w:rFonts w:ascii="Times New Roman" w:hAnsi="Times New Roman"/>
          <w:sz w:val="20"/>
        </w:rPr>
        <w:t> of $0.4 million and $0.3 million, respectively.</w:t>
      </w:r>
    </w:p>
    <w:p>
      <w:pPr>
        <w:pStyle w:val="TextBody"/>
        <w:spacing w:before="0" w:after="0"/>
        <w:ind w:left="0" w:right="0" w:firstLine="720"/>
        <w:jc w:val="left"/>
        <w:rPr/>
      </w:pPr>
      <w:r>
        <w:rPr/>
        <w:t> </w:t>
      </w:r>
    </w:p>
    <w:p>
      <w:pPr>
        <w:pStyle w:val="TextBody"/>
        <w:spacing w:before="0" w:after="0"/>
        <w:ind w:left="160" w:right="0" w:firstLine="540"/>
        <w:rPr>
          <w:rFonts w:ascii="Times New Roman" w:hAnsi="Times New Roman"/>
          <w:caps w:val="false"/>
          <w:smallCaps w:val="false"/>
          <w:sz w:val="20"/>
        </w:rPr>
      </w:pPr>
      <w:r>
        <w:rPr>
          <w:rFonts w:ascii="Times New Roman" w:hAnsi="Times New Roman"/>
          <w:caps w:val="false"/>
          <w:smallCaps w:val="false"/>
          <w:sz w:val="20"/>
        </w:rPr>
        <w:t>The following is a summary of PSU activity:</w:t>
      </w:r>
    </w:p>
    <w:p>
      <w:pPr>
        <w:pStyle w:val="TextBody"/>
        <w:spacing w:before="0" w:after="0"/>
        <w:ind w:left="160" w:right="0" w:firstLine="540"/>
        <w:rPr>
          <w:caps w:val="false"/>
          <w:smallCaps w:val="false"/>
        </w:rPr>
      </w:pPr>
      <w:r>
        <w:rPr>
          <w:caps w:val="false"/>
          <w:smallCaps w:val="false"/>
        </w:rPr>
        <w:t> </w:t>
      </w:r>
    </w:p>
    <w:tbl>
      <w:tblPr>
        <w:tblW w:w="7177" w:type="dxa"/>
        <w:jc w:val="left"/>
        <w:tblInd w:w="0" w:type="dxa"/>
        <w:tblCellMar>
          <w:top w:w="0" w:type="dxa"/>
          <w:left w:w="0" w:type="dxa"/>
          <w:bottom w:w="0" w:type="dxa"/>
          <w:right w:w="0" w:type="dxa"/>
        </w:tblCellMar>
      </w:tblPr>
      <w:tblGrid>
        <w:gridCol w:w="2555"/>
        <w:gridCol w:w="60"/>
        <w:gridCol w:w="134"/>
        <w:gridCol w:w="755"/>
        <w:gridCol w:w="60"/>
        <w:gridCol w:w="60"/>
        <w:gridCol w:w="616"/>
        <w:gridCol w:w="618"/>
        <w:gridCol w:w="60"/>
        <w:gridCol w:w="60"/>
        <w:gridCol w:w="278"/>
        <w:gridCol w:w="851"/>
        <w:gridCol w:w="60"/>
        <w:gridCol w:w="60"/>
        <w:gridCol w:w="182"/>
        <w:gridCol w:w="708"/>
        <w:gridCol w:w="60"/>
      </w:tblGrid>
      <w:tr>
        <w:trPr/>
        <w:tc>
          <w:tcPr>
            <w:tcW w:w="25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89" w:type="dxa"/>
            <w:gridSpan w:val="2"/>
            <w:tcBorders/>
            <w:shd w:fill="FFFFFF" w:val="clear"/>
            <w:vAlign w:val="center"/>
          </w:tcPr>
          <w:p>
            <w:pPr>
              <w:pStyle w:val="TableContents"/>
              <w:spacing w:before="0" w:after="0"/>
              <w:ind w:left="0" w:right="0" w:hanging="0"/>
              <w:rPr>
                <w:caps w:val="false"/>
                <w:smallCaps w:val="false"/>
              </w:rPr>
            </w:pPr>
            <w:r>
              <w:rPr>
                <w:caps w:val="false"/>
                <w:smallCaps w:val="false"/>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34"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Weighted</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29" w:type="dxa"/>
            <w:gridSpan w:val="2"/>
            <w:tcBorders/>
            <w:shd w:fill="FFFFFF" w:val="clear"/>
            <w:vAlign w:val="center"/>
          </w:tcPr>
          <w:p>
            <w:pPr>
              <w:pStyle w:val="TableContents"/>
              <w:spacing w:before="0" w:after="0"/>
              <w:ind w:left="0" w:right="0" w:hanging="0"/>
              <w:rPr>
                <w:caps w:val="false"/>
                <w:smallCaps w:val="false"/>
              </w:rPr>
            </w:pPr>
            <w:r>
              <w:rPr>
                <w:caps w:val="false"/>
                <w:smallCaps w:val="false"/>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90" w:type="dxa"/>
            <w:gridSpan w:val="2"/>
            <w:tcBorders/>
            <w:shd w:fill="FFFFFF" w:val="clear"/>
            <w:vAlign w:val="center"/>
          </w:tcPr>
          <w:p>
            <w:pPr>
              <w:pStyle w:val="TableContents"/>
              <w:spacing w:before="0" w:after="0"/>
              <w:ind w:left="0" w:right="0" w:hanging="0"/>
              <w:rPr>
                <w:caps w:val="false"/>
                <w:smallCaps w:val="false"/>
              </w:rPr>
            </w:pPr>
            <w:r>
              <w:rPr>
                <w:caps w:val="false"/>
                <w:smallCaps w:val="false"/>
              </w:rPr>
              <w:t>​</w:t>
            </w:r>
          </w:p>
        </w:tc>
        <w:tc>
          <w:tcPr>
            <w:tcW w:w="60" w:type="dxa"/>
            <w:tcBorders/>
            <w:shd w:fill="FFFFFF" w:val="clear"/>
            <w:vAlign w:val="center"/>
          </w:tcPr>
          <w:p>
            <w:pPr>
              <w:pStyle w:val="TableContents"/>
              <w:spacing w:before="0" w:after="283"/>
              <w:rPr/>
            </w:pPr>
            <w:r>
              <w:rPr/>
              <w:t> </w:t>
            </w:r>
          </w:p>
        </w:tc>
      </w:tr>
      <w:tr>
        <w:trPr/>
        <w:tc>
          <w:tcPr>
            <w:tcW w:w="2555" w:type="dxa"/>
            <w:tcBorders/>
            <w:shd w:fill="FFFFFF" w:val="clear"/>
            <w:vAlign w:val="center"/>
          </w:tcPr>
          <w:p>
            <w:pPr>
              <w:pStyle w:val="TableContents"/>
              <w:spacing w:before="0" w:after="0"/>
              <w:rPr>
                <w:caps w:val="false"/>
                <w:smallCaps w:val="false"/>
              </w:rPr>
            </w:pPr>
            <w:r>
              <w:rPr>
                <w:caps w:val="false"/>
                <w:smallCaps w:val="false"/>
              </w:rPr>
              <w:t>​</w:t>
            </w:r>
          </w:p>
        </w:tc>
        <w:tc>
          <w:tcPr>
            <w:tcW w:w="60" w:type="dxa"/>
            <w:tcBorders/>
            <w:shd w:fill="FFFFFF" w:val="clear"/>
            <w:vAlign w:val="center"/>
          </w:tcPr>
          <w:p>
            <w:pPr>
              <w:pStyle w:val="TableContents"/>
              <w:spacing w:before="0" w:after="283"/>
              <w:ind w:left="0" w:right="0" w:hanging="0"/>
              <w:rPr/>
            </w:pPr>
            <w:r>
              <w:rPr/>
              <w:t> </w:t>
            </w:r>
          </w:p>
        </w:tc>
        <w:tc>
          <w:tcPr>
            <w:tcW w:w="889" w:type="dxa"/>
            <w:gridSpan w:val="2"/>
            <w:tcBorders/>
            <w:shd w:fill="FFFFFF" w:val="clear"/>
            <w:vAlign w:val="center"/>
          </w:tcPr>
          <w:p>
            <w:pPr>
              <w:pStyle w:val="TableContents"/>
              <w:spacing w:before="0" w:after="0"/>
              <w:ind w:left="0" w:right="0" w:hanging="0"/>
              <w:rPr>
                <w:caps w:val="false"/>
                <w:smallCaps w:val="false"/>
              </w:rPr>
            </w:pPr>
            <w:r>
              <w:rPr>
                <w:caps w:val="false"/>
                <w:smallCaps w:val="false"/>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34"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Average Share</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29"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Weighted</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90"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Aggregate</w:t>
            </w:r>
          </w:p>
        </w:tc>
        <w:tc>
          <w:tcPr>
            <w:tcW w:w="60" w:type="dxa"/>
            <w:tcBorders/>
            <w:shd w:fill="FFFFFF" w:val="clear"/>
            <w:vAlign w:val="center"/>
          </w:tcPr>
          <w:p>
            <w:pPr>
              <w:pStyle w:val="TableContents"/>
              <w:spacing w:before="0" w:after="283"/>
              <w:rPr/>
            </w:pPr>
            <w:r>
              <w:rPr/>
              <w:t> </w:t>
            </w:r>
          </w:p>
        </w:tc>
      </w:tr>
      <w:tr>
        <w:trPr/>
        <w:tc>
          <w:tcPr>
            <w:tcW w:w="2555" w:type="dxa"/>
            <w:tcBorders/>
            <w:shd w:fill="FFFFFF" w:val="clear"/>
            <w:vAlign w:val="center"/>
          </w:tcPr>
          <w:p>
            <w:pPr>
              <w:pStyle w:val="TableContents"/>
              <w:spacing w:before="0" w:after="0"/>
              <w:rPr>
                <w:caps w:val="false"/>
                <w:smallCaps w:val="false"/>
              </w:rPr>
            </w:pPr>
            <w:r>
              <w:rPr>
                <w:caps w:val="false"/>
                <w:smallCaps w:val="false"/>
              </w:rPr>
              <w:t>​</w:t>
            </w:r>
          </w:p>
        </w:tc>
        <w:tc>
          <w:tcPr>
            <w:tcW w:w="60" w:type="dxa"/>
            <w:tcBorders/>
            <w:shd w:fill="FFFFFF" w:val="clear"/>
            <w:vAlign w:val="center"/>
          </w:tcPr>
          <w:p>
            <w:pPr>
              <w:pStyle w:val="TableContents"/>
              <w:spacing w:before="0" w:after="283"/>
              <w:ind w:left="0" w:right="0" w:hanging="0"/>
              <w:rPr/>
            </w:pPr>
            <w:r>
              <w:rPr/>
              <w:t> </w:t>
            </w:r>
          </w:p>
        </w:tc>
        <w:tc>
          <w:tcPr>
            <w:tcW w:w="889"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Number of</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34"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Price on Date</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29"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Average Fair</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90"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Intrinsic</w:t>
            </w:r>
          </w:p>
        </w:tc>
        <w:tc>
          <w:tcPr>
            <w:tcW w:w="60" w:type="dxa"/>
            <w:tcBorders/>
            <w:shd w:fill="FFFFFF" w:val="clear"/>
            <w:vAlign w:val="center"/>
          </w:tcPr>
          <w:p>
            <w:pPr>
              <w:pStyle w:val="TableContents"/>
              <w:spacing w:before="0" w:after="283"/>
              <w:rPr/>
            </w:pPr>
            <w:r>
              <w:rPr/>
              <w:t> </w:t>
            </w:r>
          </w:p>
        </w:tc>
      </w:tr>
      <w:tr>
        <w:trPr/>
        <w:tc>
          <w:tcPr>
            <w:tcW w:w="2555" w:type="dxa"/>
            <w:tcBorders/>
            <w:shd w:fill="FFFFFF" w:val="clear"/>
            <w:vAlign w:val="center"/>
          </w:tcPr>
          <w:p>
            <w:pPr>
              <w:pStyle w:val="TableContents"/>
              <w:spacing w:before="0" w:after="0"/>
              <w:rPr>
                <w:caps w:val="false"/>
                <w:smallCaps w:val="false"/>
              </w:rPr>
            </w:pPr>
            <w:r>
              <w:rPr>
                <w:caps w:val="false"/>
                <w:smallCaps w:val="false"/>
              </w:rPr>
              <w:t>​</w:t>
            </w:r>
          </w:p>
        </w:tc>
        <w:tc>
          <w:tcPr>
            <w:tcW w:w="60" w:type="dxa"/>
            <w:tcBorders/>
            <w:shd w:fill="FFFFFF" w:val="clear"/>
            <w:vAlign w:val="center"/>
          </w:tcPr>
          <w:p>
            <w:pPr>
              <w:pStyle w:val="TableContents"/>
              <w:spacing w:before="0" w:after="283"/>
              <w:ind w:left="0" w:right="0" w:hanging="0"/>
              <w:rPr/>
            </w:pPr>
            <w:r>
              <w:rPr/>
              <w:t> </w:t>
            </w:r>
          </w:p>
        </w:tc>
        <w:tc>
          <w:tcPr>
            <w:tcW w:w="889"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shares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3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of Release</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29"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Value</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9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Value</w:t>
            </w:r>
          </w:p>
        </w:tc>
        <w:tc>
          <w:tcPr>
            <w:tcW w:w="60" w:type="dxa"/>
            <w:tcBorders/>
            <w:shd w:fill="FFFFFF" w:val="clear"/>
            <w:vAlign w:val="center"/>
          </w:tcPr>
          <w:p>
            <w:pPr>
              <w:pStyle w:val="TableContents"/>
              <w:spacing w:before="0" w:after="283"/>
              <w:rPr/>
            </w:pPr>
            <w:r>
              <w:rPr/>
              <w:t> </w:t>
            </w:r>
          </w:p>
        </w:tc>
      </w:tr>
      <w:tr>
        <w:trPr/>
        <w:tc>
          <w:tcPr>
            <w:tcW w:w="2555" w:type="dxa"/>
            <w:tcBorders/>
            <w:shd w:fill="FFFFFF" w:val="clear"/>
            <w:vAlign w:val="center"/>
          </w:tcPr>
          <w:p>
            <w:pPr>
              <w:pStyle w:val="TableContents"/>
              <w:spacing w:before="0" w:after="0"/>
              <w:rPr>
                <w:caps w:val="false"/>
                <w:smallCaps w:val="false"/>
              </w:rPr>
            </w:pPr>
            <w:r>
              <w:rPr>
                <w:caps w:val="false"/>
                <w:smallCaps w:val="false"/>
              </w:rPr>
              <w:t>​</w:t>
            </w:r>
          </w:p>
        </w:tc>
        <w:tc>
          <w:tcPr>
            <w:tcW w:w="60" w:type="dxa"/>
            <w:tcBorders/>
            <w:shd w:fill="FFFFFF" w:val="clear"/>
            <w:vAlign w:val="center"/>
          </w:tcPr>
          <w:p>
            <w:pPr>
              <w:pStyle w:val="TableContents"/>
              <w:spacing w:before="0" w:after="283"/>
              <w:ind w:left="0" w:right="0" w:hanging="0"/>
              <w:rPr/>
            </w:pPr>
            <w:r>
              <w:rPr/>
              <w:t> </w:t>
            </w:r>
          </w:p>
        </w:tc>
        <w:tc>
          <w:tcPr>
            <w:tcW w:w="4502" w:type="dxa"/>
            <w:gridSpan w:val="14"/>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price data)</w:t>
            </w:r>
          </w:p>
        </w:tc>
        <w:tc>
          <w:tcPr>
            <w:tcW w:w="60" w:type="dxa"/>
            <w:tcBorders/>
            <w:shd w:fill="FFFFFF" w:val="clear"/>
            <w:vAlign w:val="center"/>
          </w:tcPr>
          <w:p>
            <w:pPr>
              <w:pStyle w:val="TableContents"/>
              <w:spacing w:before="0" w:after="283"/>
              <w:rPr/>
            </w:pPr>
            <w:r>
              <w:rPr/>
              <w:t> </w:t>
            </w:r>
          </w:p>
        </w:tc>
      </w:tr>
      <w:tr>
        <w:trPr/>
        <w:tc>
          <w:tcPr>
            <w:tcW w:w="255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Outstanding at January 1, 2023</w:t>
            </w:r>
          </w:p>
        </w:tc>
        <w:tc>
          <w:tcPr>
            <w:tcW w:w="60" w:type="dxa"/>
            <w:tcBorders/>
            <w:shd w:fill="CCEEFF" w:val="clear"/>
            <w:vAlign w:val="center"/>
          </w:tcPr>
          <w:p>
            <w:pPr>
              <w:pStyle w:val="TableContents"/>
              <w:spacing w:before="0" w:after="283"/>
              <w:rPr/>
            </w:pPr>
            <w:r>
              <w:rPr/>
              <w:t> </w:t>
            </w:r>
          </w:p>
        </w:tc>
        <w:tc>
          <w:tcPr>
            <w:tcW w:w="134" w:type="dxa"/>
            <w:tcBorders/>
            <w:shd w:fill="CCEEFF" w:val="clear"/>
            <w:vAlign w:val="center"/>
          </w:tcPr>
          <w:p>
            <w:pPr>
              <w:pStyle w:val="TableContents"/>
              <w:spacing w:before="0" w:after="283"/>
              <w:ind w:left="0" w:right="0" w:hanging="0"/>
              <w:rPr/>
            </w:pPr>
            <w:r>
              <w:rPr/>
              <w:t> </w:t>
            </w:r>
          </w:p>
        </w:tc>
        <w:tc>
          <w:tcPr>
            <w:tcW w:w="75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766</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16" w:type="dxa"/>
            <w:tcBorders/>
            <w:shd w:fill="CCEEFF" w:val="clear"/>
            <w:vAlign w:val="center"/>
          </w:tcPr>
          <w:p>
            <w:pPr>
              <w:pStyle w:val="TableContents"/>
              <w:spacing w:before="0" w:after="283"/>
              <w:rPr/>
            </w:pPr>
            <w:r>
              <w:rPr/>
              <w:t> </w:t>
            </w:r>
          </w:p>
        </w:tc>
        <w:tc>
          <w:tcPr>
            <w:tcW w:w="618" w:type="dxa"/>
            <w:tcBorders/>
            <w:shd w:fill="CCEEFF" w:val="clear"/>
            <w:vAlign w:val="center"/>
          </w:tcPr>
          <w:p>
            <w:pPr>
              <w:pStyle w:val="TableContents"/>
              <w:spacing w:before="0" w:after="283"/>
              <w:jc w:val="right"/>
              <w:rPr/>
            </w:pPr>
            <w:r>
              <w:rPr>
                <w:rStyle w:val="Emphasis"/>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78"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51"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6.75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82"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08"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1,447</w:t>
            </w:r>
          </w:p>
        </w:tc>
        <w:tc>
          <w:tcPr>
            <w:tcW w:w="60" w:type="dxa"/>
            <w:tcBorders/>
            <w:shd w:fill="CCEEFF" w:val="clear"/>
            <w:vAlign w:val="center"/>
          </w:tcPr>
          <w:p>
            <w:pPr>
              <w:pStyle w:val="TableContents"/>
              <w:spacing w:before="0" w:after="283"/>
              <w:rPr/>
            </w:pPr>
            <w:r>
              <w:rPr/>
              <w:t> </w:t>
            </w:r>
          </w:p>
        </w:tc>
      </w:tr>
      <w:tr>
        <w:trPr/>
        <w:tc>
          <w:tcPr>
            <w:tcW w:w="2555"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Granted</w:t>
            </w:r>
          </w:p>
        </w:tc>
        <w:tc>
          <w:tcPr>
            <w:tcW w:w="60" w:type="dxa"/>
            <w:tcBorders/>
            <w:shd w:fill="FFFFFF" w:val="clear"/>
            <w:vAlign w:val="center"/>
          </w:tcPr>
          <w:p>
            <w:pPr>
              <w:pStyle w:val="TableContents"/>
              <w:spacing w:before="0" w:after="283"/>
              <w:rPr/>
            </w:pPr>
            <w:r>
              <w:rPr/>
              <w:t> </w:t>
            </w:r>
          </w:p>
        </w:tc>
        <w:tc>
          <w:tcPr>
            <w:tcW w:w="134" w:type="dxa"/>
            <w:tcBorders/>
            <w:shd w:fill="FFFFFF" w:val="clear"/>
            <w:vAlign w:val="center"/>
          </w:tcPr>
          <w:p>
            <w:pPr>
              <w:pStyle w:val="TableContents"/>
              <w:spacing w:before="0" w:after="283"/>
              <w:ind w:left="0" w:right="0" w:hanging="0"/>
              <w:rPr/>
            </w:pPr>
            <w:r>
              <w:rPr/>
              <w:t> </w:t>
            </w:r>
          </w:p>
        </w:tc>
        <w:tc>
          <w:tcPr>
            <w:tcW w:w="75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16" w:type="dxa"/>
            <w:tcBorders/>
            <w:shd w:fill="FFFFFF" w:val="clear"/>
            <w:vAlign w:val="center"/>
          </w:tcPr>
          <w:p>
            <w:pPr>
              <w:pStyle w:val="TableContents"/>
              <w:spacing w:before="0" w:after="283"/>
              <w:rPr/>
            </w:pPr>
            <w:r>
              <w:rPr/>
              <w:t> </w:t>
            </w:r>
          </w:p>
        </w:tc>
        <w:tc>
          <w:tcPr>
            <w:tcW w:w="618" w:type="dxa"/>
            <w:tcBorders/>
            <w:shd w:fill="FFFFFF" w:val="clear"/>
            <w:vAlign w:val="center"/>
          </w:tcPr>
          <w:p>
            <w:pPr>
              <w:pStyle w:val="TableContents"/>
              <w:spacing w:before="0" w:after="283"/>
              <w:jc w:val="right"/>
              <w:rPr/>
            </w:pPr>
            <w:r>
              <w:rPr>
                <w:rStyle w:val="Emphasis"/>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78" w:type="dxa"/>
            <w:tcBorders/>
            <w:shd w:fill="FFFFFF" w:val="clear"/>
            <w:vAlign w:val="center"/>
          </w:tcPr>
          <w:p>
            <w:pPr>
              <w:pStyle w:val="TableContents"/>
              <w:spacing w:before="0" w:after="283"/>
              <w:ind w:left="0" w:right="0" w:hanging="0"/>
              <w:rPr/>
            </w:pPr>
            <w:r>
              <w:rPr/>
              <w:t> </w:t>
            </w:r>
          </w:p>
        </w:tc>
        <w:tc>
          <w:tcPr>
            <w:tcW w:w="851"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82" w:type="dxa"/>
            <w:tcBorders/>
            <w:shd w:fill="FFFFFF" w:val="clear"/>
            <w:vAlign w:val="center"/>
          </w:tcPr>
          <w:p>
            <w:pPr>
              <w:pStyle w:val="TableContents"/>
              <w:spacing w:before="0" w:after="283"/>
              <w:ind w:left="0" w:right="0" w:hanging="0"/>
              <w:rPr/>
            </w:pPr>
            <w:r>
              <w:rPr/>
              <w:t> </w:t>
            </w:r>
          </w:p>
        </w:tc>
        <w:tc>
          <w:tcPr>
            <w:tcW w:w="708"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w:t>
            </w:r>
          </w:p>
        </w:tc>
        <w:tc>
          <w:tcPr>
            <w:tcW w:w="60" w:type="dxa"/>
            <w:tcBorders/>
            <w:shd w:fill="FFFFFF" w:val="clear"/>
            <w:vAlign w:val="center"/>
          </w:tcPr>
          <w:p>
            <w:pPr>
              <w:pStyle w:val="TableContents"/>
              <w:spacing w:before="0" w:after="283"/>
              <w:rPr/>
            </w:pPr>
            <w:r>
              <w:rPr/>
              <w:t> </w:t>
            </w:r>
          </w:p>
        </w:tc>
      </w:tr>
      <w:tr>
        <w:trPr/>
        <w:tc>
          <w:tcPr>
            <w:tcW w:w="255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Released</w:t>
            </w:r>
          </w:p>
        </w:tc>
        <w:tc>
          <w:tcPr>
            <w:tcW w:w="60" w:type="dxa"/>
            <w:tcBorders/>
            <w:shd w:fill="CCEEFF" w:val="clear"/>
            <w:vAlign w:val="center"/>
          </w:tcPr>
          <w:p>
            <w:pPr>
              <w:pStyle w:val="TableContents"/>
              <w:spacing w:before="0" w:after="283"/>
              <w:rPr/>
            </w:pPr>
            <w:r>
              <w:rPr/>
              <w:t> </w:t>
            </w:r>
          </w:p>
        </w:tc>
        <w:tc>
          <w:tcPr>
            <w:tcW w:w="134" w:type="dxa"/>
            <w:tcBorders/>
            <w:shd w:fill="CCEEFF" w:val="clear"/>
            <w:vAlign w:val="center"/>
          </w:tcPr>
          <w:p>
            <w:pPr>
              <w:pStyle w:val="TableContents"/>
              <w:spacing w:before="0" w:after="283"/>
              <w:ind w:left="0" w:right="0" w:hanging="0"/>
              <w:rPr/>
            </w:pPr>
            <w:r>
              <w:rPr/>
              <w:t> </w:t>
            </w:r>
          </w:p>
        </w:tc>
        <w:tc>
          <w:tcPr>
            <w:tcW w:w="75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16" w:type="dxa"/>
            <w:tcBorders/>
            <w:shd w:fill="CCEEFF" w:val="clear"/>
            <w:vAlign w:val="center"/>
          </w:tcPr>
          <w:p>
            <w:pPr>
              <w:pStyle w:val="TableContents"/>
              <w:spacing w:before="0" w:after="283"/>
              <w:rPr/>
            </w:pPr>
            <w:r>
              <w:rPr/>
              <w:t> </w:t>
            </w:r>
          </w:p>
        </w:tc>
        <w:tc>
          <w:tcPr>
            <w:tcW w:w="618" w:type="dxa"/>
            <w:tcBorders/>
            <w:shd w:fill="CCEEFF" w:val="clear"/>
            <w:vAlign w:val="center"/>
          </w:tcPr>
          <w:p>
            <w:pPr>
              <w:pStyle w:val="TableContents"/>
              <w:spacing w:before="0" w:after="283"/>
              <w:ind w:left="0" w:right="0" w:hanging="0"/>
              <w:jc w:val="right"/>
              <w:rPr/>
            </w:pPr>
            <w:r>
              <w:rPr>
                <w:rStyle w:val="Emphasis"/>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78" w:type="dxa"/>
            <w:tcBorders/>
            <w:shd w:fill="CCEEFF" w:val="clear"/>
            <w:vAlign w:val="center"/>
          </w:tcPr>
          <w:p>
            <w:pPr>
              <w:pStyle w:val="TableContents"/>
              <w:spacing w:before="0" w:after="283"/>
              <w:ind w:left="0" w:right="0" w:hanging="0"/>
              <w:rPr/>
            </w:pPr>
            <w:r>
              <w:rPr/>
              <w:t> </w:t>
            </w:r>
          </w:p>
        </w:tc>
        <w:tc>
          <w:tcPr>
            <w:tcW w:w="851"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2" w:type="dxa"/>
            <w:tcBorders/>
            <w:shd w:fill="CCEEFF" w:val="clear"/>
            <w:vAlign w:val="center"/>
          </w:tcPr>
          <w:p>
            <w:pPr>
              <w:pStyle w:val="TableContents"/>
              <w:spacing w:before="0" w:after="283"/>
              <w:ind w:left="0" w:right="0" w:hanging="0"/>
              <w:rPr/>
            </w:pPr>
            <w:r>
              <w:rPr/>
              <w:t> </w:t>
            </w:r>
          </w:p>
        </w:tc>
        <w:tc>
          <w:tcPr>
            <w:tcW w:w="708"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w:t>
            </w:r>
          </w:p>
        </w:tc>
        <w:tc>
          <w:tcPr>
            <w:tcW w:w="60" w:type="dxa"/>
            <w:tcBorders/>
            <w:shd w:fill="CCEEFF" w:val="clear"/>
            <w:vAlign w:val="center"/>
          </w:tcPr>
          <w:p>
            <w:pPr>
              <w:pStyle w:val="TableContents"/>
              <w:spacing w:before="0" w:after="283"/>
              <w:rPr/>
            </w:pPr>
            <w:r>
              <w:rPr/>
              <w:t> </w:t>
            </w:r>
          </w:p>
        </w:tc>
      </w:tr>
      <w:tr>
        <w:trPr/>
        <w:tc>
          <w:tcPr>
            <w:tcW w:w="2555"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Cancelled/Forfeited</w:t>
            </w:r>
          </w:p>
        </w:tc>
        <w:tc>
          <w:tcPr>
            <w:tcW w:w="60" w:type="dxa"/>
            <w:tcBorders/>
            <w:shd w:fill="FFFFFF" w:val="clear"/>
            <w:vAlign w:val="center"/>
          </w:tcPr>
          <w:p>
            <w:pPr>
              <w:pStyle w:val="TableContents"/>
              <w:spacing w:before="0" w:after="283"/>
              <w:rPr/>
            </w:pPr>
            <w:r>
              <w:rPr/>
              <w:t> </w:t>
            </w:r>
          </w:p>
        </w:tc>
        <w:tc>
          <w:tcPr>
            <w:tcW w:w="134"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75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16" w:type="dxa"/>
            <w:tcBorders/>
            <w:shd w:fill="FFFFFF" w:val="clear"/>
            <w:vAlign w:val="center"/>
          </w:tcPr>
          <w:p>
            <w:pPr>
              <w:pStyle w:val="TableContents"/>
              <w:spacing w:before="0" w:after="283"/>
              <w:rPr/>
            </w:pPr>
            <w:r>
              <w:rPr/>
              <w:t> </w:t>
            </w:r>
          </w:p>
        </w:tc>
        <w:tc>
          <w:tcPr>
            <w:tcW w:w="618" w:type="dxa"/>
            <w:tcBorders/>
            <w:shd w:fill="FFFFFF" w:val="clear"/>
            <w:vAlign w:val="center"/>
          </w:tcPr>
          <w:p>
            <w:pPr>
              <w:pStyle w:val="TableContents"/>
              <w:spacing w:before="0" w:after="283"/>
              <w:jc w:val="right"/>
              <w:rPr/>
            </w:pPr>
            <w:r>
              <w:rPr>
                <w:rStyle w:val="Emphasis"/>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78" w:type="dxa"/>
            <w:tcBorders/>
            <w:shd w:fill="FFFFFF" w:val="clear"/>
            <w:vAlign w:val="center"/>
          </w:tcPr>
          <w:p>
            <w:pPr>
              <w:pStyle w:val="TableContents"/>
              <w:spacing w:before="0" w:after="283"/>
              <w:ind w:left="0" w:right="0" w:hanging="0"/>
              <w:rPr/>
            </w:pPr>
            <w:r>
              <w:rPr/>
              <w:t> </w:t>
            </w:r>
          </w:p>
        </w:tc>
        <w:tc>
          <w:tcPr>
            <w:tcW w:w="851"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82" w:type="dxa"/>
            <w:tcBorders/>
            <w:shd w:fill="FFFFFF" w:val="clear"/>
            <w:vAlign w:val="center"/>
          </w:tcPr>
          <w:p>
            <w:pPr>
              <w:pStyle w:val="TableContents"/>
              <w:spacing w:before="0" w:after="283"/>
              <w:ind w:left="0" w:right="0" w:hanging="0"/>
              <w:rPr/>
            </w:pPr>
            <w:r>
              <w:rPr/>
              <w:t> </w:t>
            </w:r>
          </w:p>
        </w:tc>
        <w:tc>
          <w:tcPr>
            <w:tcW w:w="708"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w:t>
            </w:r>
          </w:p>
        </w:tc>
        <w:tc>
          <w:tcPr>
            <w:tcW w:w="60" w:type="dxa"/>
            <w:tcBorders/>
            <w:shd w:fill="FFFFFF" w:val="clear"/>
            <w:vAlign w:val="center"/>
          </w:tcPr>
          <w:p>
            <w:pPr>
              <w:pStyle w:val="TableContents"/>
              <w:spacing w:before="0" w:after="283"/>
              <w:rPr/>
            </w:pPr>
            <w:r>
              <w:rPr/>
              <w:t> </w:t>
            </w:r>
          </w:p>
        </w:tc>
      </w:tr>
      <w:tr>
        <w:trPr/>
        <w:tc>
          <w:tcPr>
            <w:tcW w:w="255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Outstanding, March 31, 2023</w:t>
            </w:r>
          </w:p>
        </w:tc>
        <w:tc>
          <w:tcPr>
            <w:tcW w:w="60" w:type="dxa"/>
            <w:tcBorders/>
            <w:shd w:fill="CCEEFF" w:val="clear"/>
            <w:vAlign w:val="center"/>
          </w:tcPr>
          <w:p>
            <w:pPr>
              <w:pStyle w:val="TableContents"/>
              <w:spacing w:before="0" w:after="283"/>
              <w:rPr/>
            </w:pPr>
            <w:r>
              <w:rPr/>
              <w:t> </w:t>
            </w:r>
          </w:p>
        </w:tc>
        <w:tc>
          <w:tcPr>
            <w:tcW w:w="134"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75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766</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16" w:type="dxa"/>
            <w:tcBorders/>
            <w:shd w:fill="CCEEFF" w:val="clear"/>
            <w:vAlign w:val="center"/>
          </w:tcPr>
          <w:p>
            <w:pPr>
              <w:pStyle w:val="TableContents"/>
              <w:spacing w:before="0" w:after="283"/>
              <w:rPr/>
            </w:pPr>
            <w:r>
              <w:rPr/>
              <w:t> </w:t>
            </w:r>
          </w:p>
        </w:tc>
        <w:tc>
          <w:tcPr>
            <w:tcW w:w="618" w:type="dxa"/>
            <w:tcBorders/>
            <w:shd w:fill="CCEEFF" w:val="clear"/>
            <w:vAlign w:val="center"/>
          </w:tcPr>
          <w:p>
            <w:pPr>
              <w:pStyle w:val="TableContents"/>
              <w:spacing w:before="0" w:after="283"/>
              <w:jc w:val="right"/>
              <w:rPr/>
            </w:pPr>
            <w:r>
              <w:rPr>
                <w:rStyle w:val="Emphasis"/>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78" w:type="dxa"/>
            <w:tcBorders/>
            <w:shd w:fill="CCEEFF" w:val="clear"/>
            <w:vAlign w:val="center"/>
          </w:tcPr>
          <w:p>
            <w:pPr>
              <w:pStyle w:val="TableContents"/>
              <w:spacing w:before="0" w:after="283"/>
              <w:ind w:left="0" w:right="0" w:hanging="0"/>
              <w:rPr/>
            </w:pPr>
            <w:r>
              <w:rPr/>
              <w:t> </w:t>
            </w:r>
          </w:p>
        </w:tc>
        <w:tc>
          <w:tcPr>
            <w:tcW w:w="851"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6.75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2" w:type="dxa"/>
            <w:tcBorders/>
            <w:shd w:fill="CCEEFF" w:val="clear"/>
            <w:vAlign w:val="center"/>
          </w:tcPr>
          <w:p>
            <w:pPr>
              <w:pStyle w:val="TableContents"/>
              <w:spacing w:before="0" w:after="283"/>
              <w:ind w:left="0" w:right="0" w:hanging="0"/>
              <w:rPr/>
            </w:pPr>
            <w:r>
              <w:rPr/>
              <w:t> </w:t>
            </w:r>
          </w:p>
        </w:tc>
        <w:tc>
          <w:tcPr>
            <w:tcW w:w="708"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1,692</w:t>
            </w:r>
          </w:p>
        </w:tc>
        <w:tc>
          <w:tcPr>
            <w:tcW w:w="60" w:type="dxa"/>
            <w:tcBorders/>
            <w:shd w:fill="CCEEFF" w:val="clear"/>
            <w:vAlign w:val="center"/>
          </w:tcPr>
          <w:p>
            <w:pPr>
              <w:pStyle w:val="TableContents"/>
              <w:spacing w:before="0" w:after="283"/>
              <w:rPr/>
            </w:pPr>
            <w:r>
              <w:rPr/>
              <w:t> </w:t>
            </w:r>
          </w:p>
        </w:tc>
      </w:tr>
      <w:tr>
        <w:trPr/>
        <w:tc>
          <w:tcPr>
            <w:tcW w:w="2555"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Vested and expected to vest</w:t>
            </w:r>
          </w:p>
        </w:tc>
        <w:tc>
          <w:tcPr>
            <w:tcW w:w="60" w:type="dxa"/>
            <w:tcBorders/>
            <w:shd w:fill="FFFFFF" w:val="clear"/>
            <w:vAlign w:val="center"/>
          </w:tcPr>
          <w:p>
            <w:pPr>
              <w:pStyle w:val="TableContents"/>
              <w:spacing w:before="0" w:after="283"/>
              <w:rPr/>
            </w:pPr>
            <w:r>
              <w:rPr/>
              <w:t> </w:t>
            </w:r>
          </w:p>
        </w:tc>
        <w:tc>
          <w:tcPr>
            <w:tcW w:w="134" w:type="dxa"/>
            <w:tcBorders>
              <w:bottom w:val="double" w:sz="6" w:space="0" w:color="000000"/>
            </w:tcBorders>
            <w:shd w:fill="FFFFFF" w:val="clear"/>
            <w:tcMar>
              <w:bottom w:w="28" w:type="dxa"/>
            </w:tcMar>
            <w:vAlign w:val="center"/>
          </w:tcPr>
          <w:p>
            <w:pPr>
              <w:pStyle w:val="TableContents"/>
              <w:spacing w:before="0" w:after="283"/>
              <w:ind w:left="0" w:right="0" w:hanging="0"/>
              <w:rPr/>
            </w:pPr>
            <w:r>
              <w:rPr/>
              <w:t> </w:t>
            </w:r>
          </w:p>
        </w:tc>
        <w:tc>
          <w:tcPr>
            <w:tcW w:w="75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766</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16" w:type="dxa"/>
            <w:tcBorders/>
            <w:shd w:fill="FFFFFF" w:val="clear"/>
            <w:vAlign w:val="center"/>
          </w:tcPr>
          <w:p>
            <w:pPr>
              <w:pStyle w:val="TableContents"/>
              <w:spacing w:before="0" w:after="283"/>
              <w:rPr/>
            </w:pPr>
            <w:r>
              <w:rPr/>
              <w:t> </w:t>
            </w:r>
          </w:p>
        </w:tc>
        <w:tc>
          <w:tcPr>
            <w:tcW w:w="618" w:type="dxa"/>
            <w:tcBorders/>
            <w:shd w:fill="FFFFFF" w:val="clear"/>
            <w:vAlign w:val="center"/>
          </w:tcPr>
          <w:p>
            <w:pPr>
              <w:pStyle w:val="TableContents"/>
              <w:spacing w:before="0" w:after="283"/>
              <w:jc w:val="right"/>
              <w:rPr/>
            </w:pPr>
            <w:r>
              <w:rPr>
                <w:rStyle w:val="Emphasis"/>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78" w:type="dxa"/>
            <w:tcBorders/>
            <w:shd w:fill="FFFFFF" w:val="clear"/>
            <w:vAlign w:val="center"/>
          </w:tcPr>
          <w:p>
            <w:pPr>
              <w:pStyle w:val="TableContents"/>
              <w:spacing w:before="0" w:after="283"/>
              <w:ind w:left="0" w:right="0" w:hanging="0"/>
              <w:rPr/>
            </w:pPr>
            <w:r>
              <w:rPr/>
              <w:t> </w:t>
            </w:r>
          </w:p>
        </w:tc>
        <w:tc>
          <w:tcPr>
            <w:tcW w:w="851"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6.75</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82" w:type="dxa"/>
            <w:tcBorders/>
            <w:shd w:fill="FFFFFF" w:val="clear"/>
            <w:vAlign w:val="center"/>
          </w:tcPr>
          <w:p>
            <w:pPr>
              <w:pStyle w:val="TableContents"/>
              <w:spacing w:before="0" w:after="283"/>
              <w:ind w:left="0" w:right="0" w:hanging="0"/>
              <w:rPr/>
            </w:pPr>
            <w:r>
              <w:rPr/>
              <w:t> </w:t>
            </w:r>
          </w:p>
        </w:tc>
        <w:tc>
          <w:tcPr>
            <w:tcW w:w="708"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1,692</w:t>
            </w:r>
          </w:p>
        </w:tc>
        <w:tc>
          <w:tcPr>
            <w:tcW w:w="60" w:type="dxa"/>
            <w:tcBorders/>
            <w:shd w:fill="FFFFFF" w:val="clear"/>
            <w:vAlign w:val="center"/>
          </w:tcPr>
          <w:p>
            <w:pPr>
              <w:pStyle w:val="TableContents"/>
              <w:spacing w:before="0" w:after="283"/>
              <w:rPr/>
            </w:pPr>
            <w:r>
              <w:rPr/>
              <w:t> </w:t>
            </w:r>
          </w:p>
        </w:tc>
      </w:tr>
    </w:tbl>
    <w:p>
      <w:pPr>
        <w:pStyle w:val="TextBody"/>
        <w:spacing w:before="0" w:after="0"/>
        <w:ind w:left="0" w:right="0" w:firstLine="720"/>
        <w:jc w:val="left"/>
        <w:rPr/>
      </w:pPr>
      <w:r>
        <w:rPr/>
        <w:t> </w:t>
      </w:r>
    </w:p>
    <w:p>
      <w:pPr>
        <w:pStyle w:val="TextBody"/>
        <w:spacing w:before="0" w:after="0"/>
        <w:ind w:left="0" w:right="0" w:firstLine="720"/>
        <w:jc w:val="left"/>
        <w:rPr/>
      </w:pPr>
      <w:r>
        <w:rPr>
          <w:rFonts w:ascii="Times New Roman" w:hAnsi="Times New Roman"/>
          <w:sz w:val="20"/>
        </w:rPr>
        <w:t xml:space="preserve">As of </w:t>
      </w:r>
      <w:r>
        <w:rPr>
          <w:rStyle w:val="Emphasis"/>
          <w:rFonts w:ascii="Times New Roman" w:hAnsi="Times New Roman"/>
          <w:sz w:val="20"/>
        </w:rPr>
        <w:t>March 31, 2023</w:t>
      </w:r>
      <w:r>
        <w:rPr>
          <w:rFonts w:ascii="Times New Roman" w:hAnsi="Times New Roman"/>
          <w:sz w:val="20"/>
        </w:rPr>
        <w:t>, there was</w:t>
      </w:r>
      <w:r>
        <w:rPr>
          <w:rFonts w:ascii="Times New Roman" w:hAnsi="Times New Roman"/>
          <w:sz w:val="20"/>
          <w:highlight w:val="white"/>
        </w:rPr>
        <w:t xml:space="preserve"> $2.4 million</w:t>
      </w:r>
      <w:r>
        <w:rPr>
          <w:rFonts w:ascii="Times New Roman" w:hAnsi="Times New Roman"/>
          <w:sz w:val="20"/>
        </w:rPr>
        <w:t xml:space="preserve"> of unrecognized compensation expense related to these PSUs. This expense is expected to be recognized over </w:t>
      </w:r>
      <w:r>
        <w:rPr>
          <w:rFonts w:ascii="Times New Roman" w:hAnsi="Times New Roman"/>
          <w:sz w:val="20"/>
          <w:highlight w:val="white"/>
        </w:rPr>
        <w:t>1.4 years</w:t>
      </w:r>
      <w:r>
        <w:rPr>
          <w:rFonts w:ascii="Times New Roman" w:hAnsi="Times New Roman"/>
          <w:sz w:val="20"/>
        </w:rPr>
        <w:t>.</w:t>
      </w:r>
    </w:p>
    <w:p>
      <w:pPr>
        <w:pStyle w:val="TextBody"/>
        <w:spacing w:before="0" w:after="0"/>
        <w:ind w:left="0" w:right="0" w:firstLine="720"/>
        <w:jc w:val="left"/>
        <w:rPr/>
      </w:pPr>
      <w:r>
        <w:rPr/>
        <w:t> </w:t>
      </w:r>
    </w:p>
    <w:p>
      <w:pPr>
        <w:pStyle w:val="TextBody"/>
        <w:spacing w:before="0" w:after="0"/>
        <w:ind w:left="0" w:right="0" w:firstLine="540"/>
        <w:rPr>
          <w:rFonts w:ascii="Times New Roman" w:hAnsi="Times New Roman"/>
          <w:i/>
          <w:caps w:val="false"/>
          <w:smallCaps w:val="false"/>
          <w:sz w:val="20"/>
        </w:rPr>
      </w:pPr>
      <w:r>
        <w:rPr>
          <w:rFonts w:ascii="Times New Roman" w:hAnsi="Times New Roman"/>
          <w:i/>
          <w:caps w:val="false"/>
          <w:smallCaps w:val="false"/>
          <w:sz w:val="20"/>
        </w:rPr>
        <w:t>Restricted Stock Units</w:t>
      </w:r>
    </w:p>
    <w:p>
      <w:pPr>
        <w:pStyle w:val="TextBody"/>
        <w:spacing w:before="0" w:after="0"/>
        <w:ind w:left="160" w:right="0" w:hanging="0"/>
        <w:rPr>
          <w:caps w:val="false"/>
          <w:smallCaps w:val="false"/>
        </w:rPr>
      </w:pPr>
      <w:r>
        <w:rPr>
          <w:caps w:val="false"/>
          <w:smallCaps w:val="false"/>
        </w:rPr>
        <w:t> </w:t>
      </w:r>
    </w:p>
    <w:p>
      <w:pPr>
        <w:pStyle w:val="TextBody"/>
        <w:spacing w:before="0" w:after="0"/>
        <w:ind w:left="160" w:right="0" w:firstLine="540"/>
        <w:rPr>
          <w:rFonts w:ascii="Times New Roman" w:hAnsi="Times New Roman"/>
          <w:caps w:val="false"/>
          <w:smallCaps w:val="false"/>
          <w:sz w:val="20"/>
        </w:rPr>
      </w:pPr>
      <w:r>
        <w:rPr>
          <w:rFonts w:ascii="Times New Roman" w:hAnsi="Times New Roman"/>
          <w:caps w:val="false"/>
          <w:smallCaps w:val="false"/>
          <w:sz w:val="20"/>
        </w:rPr>
        <w:t>The following is a summary of RSU activity:</w:t>
      </w:r>
    </w:p>
    <w:p>
      <w:pPr>
        <w:pStyle w:val="TextBody"/>
        <w:spacing w:before="0" w:after="0"/>
        <w:ind w:left="160" w:right="0" w:firstLine="540"/>
        <w:rPr>
          <w:caps w:val="false"/>
          <w:smallCaps w:val="false"/>
        </w:rPr>
      </w:pPr>
      <w:r>
        <w:rPr>
          <w:caps w:val="false"/>
          <w:smallCaps w:val="false"/>
        </w:rPr>
        <w:t> </w:t>
      </w:r>
    </w:p>
    <w:tbl>
      <w:tblPr>
        <w:tblW w:w="7197" w:type="dxa"/>
        <w:jc w:val="left"/>
        <w:tblInd w:w="0" w:type="dxa"/>
        <w:tblCellMar>
          <w:top w:w="0" w:type="dxa"/>
          <w:left w:w="0" w:type="dxa"/>
          <w:bottom w:w="0" w:type="dxa"/>
          <w:right w:w="0" w:type="dxa"/>
        </w:tblCellMar>
      </w:tblPr>
      <w:tblGrid>
        <w:gridCol w:w="2555"/>
        <w:gridCol w:w="60"/>
        <w:gridCol w:w="96"/>
        <w:gridCol w:w="793"/>
        <w:gridCol w:w="80"/>
        <w:gridCol w:w="60"/>
        <w:gridCol w:w="616"/>
        <w:gridCol w:w="618"/>
        <w:gridCol w:w="60"/>
        <w:gridCol w:w="60"/>
        <w:gridCol w:w="278"/>
        <w:gridCol w:w="851"/>
        <w:gridCol w:w="60"/>
        <w:gridCol w:w="60"/>
        <w:gridCol w:w="182"/>
        <w:gridCol w:w="708"/>
        <w:gridCol w:w="60"/>
      </w:tblGrid>
      <w:tr>
        <w:trPr/>
        <w:tc>
          <w:tcPr>
            <w:tcW w:w="25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89" w:type="dxa"/>
            <w:gridSpan w:val="2"/>
            <w:tcBorders/>
            <w:shd w:fill="FFFFFF" w:val="clear"/>
            <w:vAlign w:val="center"/>
          </w:tcPr>
          <w:p>
            <w:pPr>
              <w:pStyle w:val="TableContents"/>
              <w:spacing w:before="0" w:after="0"/>
              <w:ind w:left="0" w:right="0" w:hanging="0"/>
              <w:jc w:val="center"/>
              <w:rPr/>
            </w:pPr>
            <w:r>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34"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sz w:val="20"/>
              </w:rPr>
              <w:t>Weighted</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29" w:type="dxa"/>
            <w:gridSpan w:val="2"/>
            <w:tcBorders/>
            <w:shd w:fill="FFFFFF" w:val="clear"/>
            <w:vAlign w:val="center"/>
          </w:tcPr>
          <w:p>
            <w:pPr>
              <w:pStyle w:val="TableContents"/>
              <w:spacing w:before="0" w:after="0"/>
              <w:ind w:left="0" w:right="0" w:hanging="0"/>
              <w:jc w:val="center"/>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90" w:type="dxa"/>
            <w:gridSpan w:val="2"/>
            <w:tcBorders/>
            <w:shd w:fill="FFFFFF" w:val="clear"/>
            <w:vAlign w:val="center"/>
          </w:tcPr>
          <w:p>
            <w:pPr>
              <w:pStyle w:val="TableContents"/>
              <w:spacing w:before="0" w:after="0"/>
              <w:ind w:left="0" w:right="0" w:hanging="0"/>
              <w:jc w:val="center"/>
              <w:rPr/>
            </w:pPr>
            <w:r>
              <w:rPr/>
              <w:t>​</w:t>
            </w:r>
          </w:p>
        </w:tc>
        <w:tc>
          <w:tcPr>
            <w:tcW w:w="60" w:type="dxa"/>
            <w:tcBorders/>
            <w:shd w:fill="FFFFFF" w:val="clear"/>
            <w:vAlign w:val="center"/>
          </w:tcPr>
          <w:p>
            <w:pPr>
              <w:pStyle w:val="TableContents"/>
              <w:spacing w:before="0" w:after="283"/>
              <w:rPr/>
            </w:pPr>
            <w:r>
              <w:rPr/>
              <w:t> </w:t>
            </w:r>
          </w:p>
        </w:tc>
      </w:tr>
      <w:tr>
        <w:trPr/>
        <w:tc>
          <w:tcPr>
            <w:tcW w:w="2555" w:type="dxa"/>
            <w:tcBorders/>
            <w:shd w:fill="FFFFFF" w:val="clear"/>
            <w:vAlign w:val="center"/>
          </w:tcPr>
          <w:p>
            <w:pPr>
              <w:pStyle w:val="TableContents"/>
              <w:spacing w:before="0" w:after="0"/>
              <w:rPr/>
            </w:pPr>
            <w:r>
              <w:rPr/>
              <w:t>​</w:t>
            </w:r>
          </w:p>
        </w:tc>
        <w:tc>
          <w:tcPr>
            <w:tcW w:w="60" w:type="dxa"/>
            <w:tcBorders/>
            <w:shd w:fill="FFFFFF" w:val="clear"/>
            <w:vAlign w:val="center"/>
          </w:tcPr>
          <w:p>
            <w:pPr>
              <w:pStyle w:val="TableContents"/>
              <w:spacing w:before="0" w:after="283"/>
              <w:ind w:left="0" w:right="0" w:hanging="0"/>
              <w:rPr/>
            </w:pPr>
            <w:r>
              <w:rPr/>
              <w:t> </w:t>
            </w:r>
          </w:p>
        </w:tc>
        <w:tc>
          <w:tcPr>
            <w:tcW w:w="889" w:type="dxa"/>
            <w:gridSpan w:val="2"/>
            <w:tcBorders/>
            <w:shd w:fill="FFFFFF" w:val="clear"/>
            <w:vAlign w:val="center"/>
          </w:tcPr>
          <w:p>
            <w:pPr>
              <w:pStyle w:val="TableContents"/>
              <w:spacing w:before="0" w:after="0"/>
              <w:ind w:left="0" w:right="0" w:hanging="0"/>
              <w:jc w:val="center"/>
              <w:rPr/>
            </w:pPr>
            <w:r>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34"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sz w:val="20"/>
              </w:rPr>
              <w:t>Average Share</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29"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sz w:val="20"/>
              </w:rPr>
              <w:t>Weighted</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90"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sz w:val="20"/>
              </w:rPr>
              <w:t>Aggregate</w:t>
            </w:r>
          </w:p>
        </w:tc>
        <w:tc>
          <w:tcPr>
            <w:tcW w:w="60" w:type="dxa"/>
            <w:tcBorders/>
            <w:shd w:fill="FFFFFF" w:val="clear"/>
            <w:vAlign w:val="center"/>
          </w:tcPr>
          <w:p>
            <w:pPr>
              <w:pStyle w:val="TableContents"/>
              <w:spacing w:before="0" w:after="283"/>
              <w:rPr/>
            </w:pPr>
            <w:r>
              <w:rPr/>
              <w:t> </w:t>
            </w:r>
          </w:p>
        </w:tc>
      </w:tr>
      <w:tr>
        <w:trPr/>
        <w:tc>
          <w:tcPr>
            <w:tcW w:w="2555" w:type="dxa"/>
            <w:tcBorders/>
            <w:shd w:fill="FFFFFF" w:val="clear"/>
            <w:vAlign w:val="center"/>
          </w:tcPr>
          <w:p>
            <w:pPr>
              <w:pStyle w:val="TableContents"/>
              <w:spacing w:before="0" w:after="0"/>
              <w:rPr/>
            </w:pPr>
            <w:r>
              <w:rPr/>
              <w:t>​</w:t>
            </w:r>
          </w:p>
        </w:tc>
        <w:tc>
          <w:tcPr>
            <w:tcW w:w="60" w:type="dxa"/>
            <w:tcBorders/>
            <w:shd w:fill="FFFFFF" w:val="clear"/>
            <w:vAlign w:val="center"/>
          </w:tcPr>
          <w:p>
            <w:pPr>
              <w:pStyle w:val="TableContents"/>
              <w:spacing w:before="0" w:after="283"/>
              <w:ind w:left="0" w:right="0" w:hanging="0"/>
              <w:rPr/>
            </w:pPr>
            <w:r>
              <w:rPr/>
              <w:t> </w:t>
            </w:r>
          </w:p>
        </w:tc>
        <w:tc>
          <w:tcPr>
            <w:tcW w:w="889"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sz w:val="20"/>
              </w:rPr>
              <w:t>Number of</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34"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sz w:val="20"/>
              </w:rPr>
              <w:t>Price on Date</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29"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sz w:val="20"/>
              </w:rPr>
              <w:t>Average Fair</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90"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sz w:val="20"/>
              </w:rPr>
              <w:t>Intrinsic</w:t>
            </w:r>
          </w:p>
        </w:tc>
        <w:tc>
          <w:tcPr>
            <w:tcW w:w="60" w:type="dxa"/>
            <w:tcBorders/>
            <w:shd w:fill="FFFFFF" w:val="clear"/>
            <w:vAlign w:val="center"/>
          </w:tcPr>
          <w:p>
            <w:pPr>
              <w:pStyle w:val="TableContents"/>
              <w:spacing w:before="0" w:after="283"/>
              <w:rPr/>
            </w:pPr>
            <w:r>
              <w:rPr/>
              <w:t> </w:t>
            </w:r>
          </w:p>
        </w:tc>
      </w:tr>
      <w:tr>
        <w:trPr/>
        <w:tc>
          <w:tcPr>
            <w:tcW w:w="2555" w:type="dxa"/>
            <w:tcBorders/>
            <w:shd w:fill="FFFFFF" w:val="clear"/>
            <w:vAlign w:val="center"/>
          </w:tcPr>
          <w:p>
            <w:pPr>
              <w:pStyle w:val="TableContents"/>
              <w:spacing w:before="0" w:after="0"/>
              <w:rPr/>
            </w:pPr>
            <w:r>
              <w:rPr/>
              <w:t>​</w:t>
            </w:r>
          </w:p>
        </w:tc>
        <w:tc>
          <w:tcPr>
            <w:tcW w:w="60" w:type="dxa"/>
            <w:tcBorders/>
            <w:shd w:fill="FFFFFF" w:val="clear"/>
            <w:vAlign w:val="center"/>
          </w:tcPr>
          <w:p>
            <w:pPr>
              <w:pStyle w:val="TableContents"/>
              <w:spacing w:before="0" w:after="283"/>
              <w:ind w:left="0" w:right="0" w:hanging="0"/>
              <w:rPr/>
            </w:pPr>
            <w:r>
              <w:rPr/>
              <w:t> </w:t>
            </w:r>
          </w:p>
        </w:tc>
        <w:tc>
          <w:tcPr>
            <w:tcW w:w="889"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sz w:val="20"/>
              </w:rPr>
              <w:t>shares</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3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sz w:val="20"/>
              </w:rPr>
              <w:t>of Release</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29"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sz w:val="20"/>
              </w:rPr>
              <w:t>Value</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9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sz w:val="20"/>
              </w:rPr>
              <w:t>Value</w:t>
            </w:r>
          </w:p>
        </w:tc>
        <w:tc>
          <w:tcPr>
            <w:tcW w:w="60" w:type="dxa"/>
            <w:tcBorders/>
            <w:shd w:fill="FFFFFF" w:val="clear"/>
            <w:vAlign w:val="center"/>
          </w:tcPr>
          <w:p>
            <w:pPr>
              <w:pStyle w:val="TableContents"/>
              <w:spacing w:before="0" w:after="283"/>
              <w:rPr/>
            </w:pPr>
            <w:r>
              <w:rPr/>
              <w:t> </w:t>
            </w:r>
          </w:p>
        </w:tc>
      </w:tr>
      <w:tr>
        <w:trPr/>
        <w:tc>
          <w:tcPr>
            <w:tcW w:w="2555" w:type="dxa"/>
            <w:tcBorders/>
            <w:shd w:fill="FFFFFF" w:val="clear"/>
            <w:vAlign w:val="center"/>
          </w:tcPr>
          <w:p>
            <w:pPr>
              <w:pStyle w:val="TableContents"/>
              <w:spacing w:before="0" w:after="0"/>
              <w:rPr/>
            </w:pPr>
            <w:r>
              <w:rPr/>
              <w:t>​</w:t>
            </w:r>
          </w:p>
        </w:tc>
        <w:tc>
          <w:tcPr>
            <w:tcW w:w="60" w:type="dxa"/>
            <w:tcBorders/>
            <w:shd w:fill="FFFFFF" w:val="clear"/>
            <w:vAlign w:val="center"/>
          </w:tcPr>
          <w:p>
            <w:pPr>
              <w:pStyle w:val="TableContents"/>
              <w:spacing w:before="0" w:after="283"/>
              <w:ind w:left="0" w:right="0" w:hanging="0"/>
              <w:rPr/>
            </w:pPr>
            <w:r>
              <w:rPr/>
              <w:t> </w:t>
            </w:r>
          </w:p>
        </w:tc>
        <w:tc>
          <w:tcPr>
            <w:tcW w:w="4522" w:type="dxa"/>
            <w:gridSpan w:val="14"/>
            <w:tcBorders/>
            <w:shd w:fill="FFFFFF" w:val="clear"/>
            <w:vAlign w:val="center"/>
          </w:tcPr>
          <w:p>
            <w:pPr>
              <w:pStyle w:val="TableContents"/>
              <w:spacing w:before="0" w:after="0"/>
              <w:ind w:left="0" w:right="0" w:hanging="0"/>
              <w:jc w:val="center"/>
              <w:rPr>
                <w:rFonts w:ascii="Times New Roman" w:hAnsi="Times New Roman"/>
                <w:b/>
                <w:sz w:val="20"/>
              </w:rPr>
            </w:pPr>
            <w:r>
              <w:rPr>
                <w:rFonts w:ascii="Times New Roman" w:hAnsi="Times New Roman"/>
                <w:b/>
                <w:sz w:val="20"/>
              </w:rPr>
              <w:t>(in thousands, except price data)</w:t>
            </w:r>
          </w:p>
        </w:tc>
        <w:tc>
          <w:tcPr>
            <w:tcW w:w="60" w:type="dxa"/>
            <w:tcBorders/>
            <w:shd w:fill="FFFFFF" w:val="clear"/>
            <w:vAlign w:val="center"/>
          </w:tcPr>
          <w:p>
            <w:pPr>
              <w:pStyle w:val="TableContents"/>
              <w:spacing w:before="0" w:after="283"/>
              <w:rPr/>
            </w:pPr>
            <w:r>
              <w:rPr/>
              <w:t> </w:t>
            </w:r>
          </w:p>
        </w:tc>
      </w:tr>
      <w:tr>
        <w:trPr/>
        <w:tc>
          <w:tcPr>
            <w:tcW w:w="255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Outstanding at January 1, 2023</w:t>
            </w:r>
          </w:p>
        </w:tc>
        <w:tc>
          <w:tcPr>
            <w:tcW w:w="60" w:type="dxa"/>
            <w:tcBorders/>
            <w:shd w:fill="CCEEFF" w:val="clear"/>
            <w:vAlign w:val="center"/>
          </w:tcPr>
          <w:p>
            <w:pPr>
              <w:pStyle w:val="TableContents"/>
              <w:spacing w:before="0" w:after="283"/>
              <w:rPr/>
            </w:pPr>
            <w:r>
              <w:rPr/>
              <w:t> </w:t>
            </w:r>
          </w:p>
        </w:tc>
        <w:tc>
          <w:tcPr>
            <w:tcW w:w="96" w:type="dxa"/>
            <w:tcBorders/>
            <w:shd w:fill="CCEEFF" w:val="clear"/>
            <w:vAlign w:val="center"/>
          </w:tcPr>
          <w:p>
            <w:pPr>
              <w:pStyle w:val="TableContents"/>
              <w:spacing w:before="0" w:after="283"/>
              <w:rPr/>
            </w:pPr>
            <w:r>
              <w:rPr/>
              <w:t> </w:t>
            </w:r>
          </w:p>
        </w:tc>
        <w:tc>
          <w:tcPr>
            <w:tcW w:w="793"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2,210</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34" w:type="dxa"/>
            <w:gridSpan w:val="2"/>
            <w:tcBorders/>
            <w:shd w:fill="CCEEFF" w:val="clear"/>
            <w:vAlign w:val="center"/>
          </w:tcPr>
          <w:p>
            <w:pPr>
              <w:pStyle w:val="TableContents"/>
              <w:spacing w:before="0" w:after="283"/>
              <w:jc w:val="right"/>
              <w:rPr/>
            </w:pPr>
            <w:r>
              <w:rPr>
                <w:rStyle w:val="Emphasis"/>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78"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851"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5.76</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2"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708"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4,175</w:t>
            </w:r>
          </w:p>
        </w:tc>
        <w:tc>
          <w:tcPr>
            <w:tcW w:w="60" w:type="dxa"/>
            <w:tcBorders/>
            <w:shd w:fill="CCEEFF" w:val="clear"/>
            <w:vAlign w:val="center"/>
          </w:tcPr>
          <w:p>
            <w:pPr>
              <w:pStyle w:val="TableContents"/>
              <w:spacing w:before="0" w:after="283"/>
              <w:ind w:left="0" w:right="0" w:hanging="0"/>
              <w:rPr/>
            </w:pPr>
            <w:r>
              <w:rPr/>
              <w:t> </w:t>
            </w:r>
          </w:p>
        </w:tc>
      </w:tr>
      <w:tr>
        <w:trPr/>
        <w:tc>
          <w:tcPr>
            <w:tcW w:w="2555"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Granted</w:t>
            </w:r>
          </w:p>
        </w:tc>
        <w:tc>
          <w:tcPr>
            <w:tcW w:w="60" w:type="dxa"/>
            <w:tcBorders/>
            <w:shd w:fill="FFFFFF" w:val="clear"/>
            <w:vAlign w:val="center"/>
          </w:tcPr>
          <w:p>
            <w:pPr>
              <w:pStyle w:val="TableContents"/>
              <w:spacing w:before="0" w:after="0"/>
              <w:ind w:left="0" w:right="0" w:hanging="0"/>
              <w:rPr/>
            </w:pPr>
            <w:r>
              <w:rPr/>
              <w:t> </w:t>
            </w:r>
          </w:p>
        </w:tc>
        <w:tc>
          <w:tcPr>
            <w:tcW w:w="96" w:type="dxa"/>
            <w:tcBorders/>
            <w:shd w:fill="FFFFFF" w:val="clear"/>
            <w:vAlign w:val="center"/>
          </w:tcPr>
          <w:p>
            <w:pPr>
              <w:pStyle w:val="TableContents"/>
              <w:spacing w:before="0" w:after="0"/>
              <w:ind w:left="0" w:right="0" w:hanging="0"/>
              <w:rPr/>
            </w:pPr>
            <w:r>
              <w:rPr/>
              <w:t> </w:t>
            </w:r>
          </w:p>
        </w:tc>
        <w:tc>
          <w:tcPr>
            <w:tcW w:w="793" w:type="dxa"/>
            <w:tcBorders/>
            <w:shd w:fill="FFFF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27</w:t>
            </w:r>
          </w:p>
        </w:tc>
        <w:tc>
          <w:tcPr>
            <w:tcW w:w="80" w:type="dxa"/>
            <w:tcBorders/>
            <w:shd w:fill="FFFFFF" w:val="clear"/>
            <w:vAlign w:val="center"/>
          </w:tcPr>
          <w:p>
            <w:pPr>
              <w:pStyle w:val="TableContents"/>
              <w:spacing w:before="0" w:after="0"/>
              <w:ind w:left="0" w:right="0" w:hanging="0"/>
              <w:rPr/>
            </w:pPr>
            <w:r>
              <w:rPr/>
              <w:t> </w:t>
            </w:r>
          </w:p>
        </w:tc>
        <w:tc>
          <w:tcPr>
            <w:tcW w:w="60" w:type="dxa"/>
            <w:tcBorders/>
            <w:shd w:fill="FFFFFF" w:val="clear"/>
            <w:vAlign w:val="center"/>
          </w:tcPr>
          <w:p>
            <w:pPr>
              <w:pStyle w:val="TableContents"/>
              <w:spacing w:before="0" w:after="0"/>
              <w:ind w:left="0" w:right="0" w:hanging="0"/>
              <w:rPr/>
            </w:pPr>
            <w:r>
              <w:rPr/>
              <w:t> </w:t>
            </w:r>
          </w:p>
        </w:tc>
        <w:tc>
          <w:tcPr>
            <w:tcW w:w="1234" w:type="dxa"/>
            <w:gridSpan w:val="2"/>
            <w:tcBorders/>
            <w:shd w:fill="FFFFFF" w:val="clear"/>
            <w:vAlign w:val="center"/>
          </w:tcPr>
          <w:p>
            <w:pPr>
              <w:pStyle w:val="TableContents"/>
              <w:spacing w:before="0" w:after="0"/>
              <w:ind w:left="0" w:right="0" w:hanging="0"/>
              <w:jc w:val="right"/>
              <w:rPr/>
            </w:pPr>
            <w:r>
              <w:rPr>
                <w:rStyle w:val="Emphasis"/>
              </w:rPr>
              <w:t> </w:t>
            </w:r>
          </w:p>
        </w:tc>
        <w:tc>
          <w:tcPr>
            <w:tcW w:w="60" w:type="dxa"/>
            <w:tcBorders/>
            <w:shd w:fill="FFFFFF" w:val="clear"/>
            <w:vAlign w:val="center"/>
          </w:tcPr>
          <w:p>
            <w:pPr>
              <w:pStyle w:val="TableContents"/>
              <w:spacing w:before="0" w:after="0"/>
              <w:ind w:left="0" w:right="0" w:hanging="0"/>
              <w:rPr/>
            </w:pPr>
            <w:r>
              <w:rPr/>
              <w:t> </w:t>
            </w:r>
          </w:p>
        </w:tc>
        <w:tc>
          <w:tcPr>
            <w:tcW w:w="60" w:type="dxa"/>
            <w:tcBorders/>
            <w:shd w:fill="FFFFFF" w:val="clear"/>
            <w:vAlign w:val="center"/>
          </w:tcPr>
          <w:p>
            <w:pPr>
              <w:pStyle w:val="TableContents"/>
              <w:spacing w:before="0" w:after="0"/>
              <w:ind w:left="0" w:right="0" w:hanging="0"/>
              <w:rPr/>
            </w:pPr>
            <w:r>
              <w:rPr/>
              <w:t> </w:t>
            </w:r>
          </w:p>
        </w:tc>
        <w:tc>
          <w:tcPr>
            <w:tcW w:w="278" w:type="dxa"/>
            <w:tcBorders/>
            <w:shd w:fill="FFFFFF" w:val="clear"/>
            <w:vAlign w:val="center"/>
          </w:tcPr>
          <w:p>
            <w:pPr>
              <w:pStyle w:val="TableContents"/>
              <w:spacing w:before="0" w:after="0"/>
              <w:ind w:left="0" w:right="0" w:hanging="0"/>
              <w:rPr/>
            </w:pPr>
            <w:r>
              <w:rPr/>
              <w:t> </w:t>
            </w:r>
          </w:p>
        </w:tc>
        <w:tc>
          <w:tcPr>
            <w:tcW w:w="851" w:type="dxa"/>
            <w:tcBorders/>
            <w:shd w:fill="FFFF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2.70</w:t>
            </w:r>
          </w:p>
        </w:tc>
        <w:tc>
          <w:tcPr>
            <w:tcW w:w="60" w:type="dxa"/>
            <w:tcBorders/>
            <w:shd w:fill="FFFFFF" w:val="clear"/>
            <w:vAlign w:val="center"/>
          </w:tcPr>
          <w:p>
            <w:pPr>
              <w:pStyle w:val="TableContents"/>
              <w:spacing w:before="0" w:after="0"/>
              <w:ind w:left="0" w:right="0" w:hanging="0"/>
              <w:rPr/>
            </w:pPr>
            <w:r>
              <w:rPr/>
              <w:t> </w:t>
            </w:r>
          </w:p>
        </w:tc>
        <w:tc>
          <w:tcPr>
            <w:tcW w:w="60" w:type="dxa"/>
            <w:tcBorders/>
            <w:shd w:fill="FFFFFF" w:val="clear"/>
            <w:vAlign w:val="center"/>
          </w:tcPr>
          <w:p>
            <w:pPr>
              <w:pStyle w:val="TableContents"/>
              <w:spacing w:before="0" w:after="0"/>
              <w:ind w:left="0" w:right="0" w:hanging="0"/>
              <w:rPr/>
            </w:pPr>
            <w:r>
              <w:rPr/>
              <w:t> </w:t>
            </w:r>
          </w:p>
        </w:tc>
        <w:tc>
          <w:tcPr>
            <w:tcW w:w="182" w:type="dxa"/>
            <w:tcBorders/>
            <w:shd w:fill="FFFFFF" w:val="clear"/>
            <w:vAlign w:val="center"/>
          </w:tcPr>
          <w:p>
            <w:pPr>
              <w:pStyle w:val="TableContents"/>
              <w:spacing w:before="0" w:after="0"/>
              <w:ind w:left="0" w:right="0" w:hanging="0"/>
              <w:rPr/>
            </w:pPr>
            <w:r>
              <w:rPr/>
              <w:t> </w:t>
            </w:r>
          </w:p>
        </w:tc>
        <w:tc>
          <w:tcPr>
            <w:tcW w:w="708" w:type="dxa"/>
            <w:tcBorders/>
            <w:shd w:fill="FFFF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73</w:t>
            </w:r>
          </w:p>
        </w:tc>
        <w:tc>
          <w:tcPr>
            <w:tcW w:w="60" w:type="dxa"/>
            <w:tcBorders/>
            <w:shd w:fill="FFFFFF" w:val="clear"/>
            <w:vAlign w:val="center"/>
          </w:tcPr>
          <w:p>
            <w:pPr>
              <w:pStyle w:val="TableContents"/>
              <w:spacing w:before="0" w:after="0"/>
              <w:rPr/>
            </w:pPr>
            <w:r>
              <w:rPr/>
              <w:t> </w:t>
            </w:r>
          </w:p>
        </w:tc>
      </w:tr>
      <w:tr>
        <w:trPr/>
        <w:tc>
          <w:tcPr>
            <w:tcW w:w="255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Released</w:t>
            </w:r>
          </w:p>
        </w:tc>
        <w:tc>
          <w:tcPr>
            <w:tcW w:w="60" w:type="dxa"/>
            <w:tcBorders/>
            <w:shd w:fill="CCEEFF" w:val="clear"/>
            <w:vAlign w:val="center"/>
          </w:tcPr>
          <w:p>
            <w:pPr>
              <w:pStyle w:val="TableContents"/>
              <w:spacing w:before="0" w:after="283"/>
              <w:rPr/>
            </w:pPr>
            <w:r>
              <w:rPr/>
              <w:t> </w:t>
            </w:r>
          </w:p>
        </w:tc>
        <w:tc>
          <w:tcPr>
            <w:tcW w:w="96" w:type="dxa"/>
            <w:tcBorders/>
            <w:shd w:fill="CCEEFF" w:val="clear"/>
            <w:vAlign w:val="center"/>
          </w:tcPr>
          <w:p>
            <w:pPr>
              <w:pStyle w:val="TableContents"/>
              <w:spacing w:before="0" w:after="283"/>
              <w:ind w:left="0" w:right="0" w:hanging="0"/>
              <w:rPr/>
            </w:pPr>
            <w:r>
              <w:rPr/>
              <w:t> </w:t>
            </w:r>
          </w:p>
        </w:tc>
        <w:tc>
          <w:tcPr>
            <w:tcW w:w="793"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(326</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ind w:left="0" w:right="0" w:hanging="0"/>
              <w:rPr/>
            </w:pPr>
            <w:r>
              <w:rPr/>
              <w:t> </w:t>
            </w:r>
          </w:p>
        </w:tc>
        <w:tc>
          <w:tcPr>
            <w:tcW w:w="616" w:type="dxa"/>
            <w:tcBorders/>
            <w:shd w:fill="CCEEFF" w:val="clear"/>
            <w:vAlign w:val="center"/>
          </w:tcPr>
          <w:p>
            <w:pPr>
              <w:pStyle w:val="TableContents"/>
              <w:spacing w:before="0" w:after="283"/>
              <w:ind w:left="0" w:right="0" w:hanging="0"/>
              <w:rPr/>
            </w:pPr>
            <w:r>
              <w:rPr/>
              <w:t> </w:t>
            </w:r>
          </w:p>
        </w:tc>
        <w:tc>
          <w:tcPr>
            <w:tcW w:w="618" w:type="dxa"/>
            <w:tcBorders/>
            <w:shd w:fill="CCEEFF" w:val="clear"/>
            <w:vAlign w:val="center"/>
          </w:tcPr>
          <w:p>
            <w:pPr>
              <w:pStyle w:val="TableContents"/>
              <w:spacing w:before="0" w:after="283"/>
              <w:ind w:left="0" w:right="0" w:hanging="0"/>
              <w:jc w:val="right"/>
              <w:rPr/>
            </w:pPr>
            <w:r>
              <w:rPr>
                <w:rStyle w:val="Emphasis"/>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78" w:type="dxa"/>
            <w:tcBorders/>
            <w:shd w:fill="CCEEFF" w:val="clear"/>
            <w:vAlign w:val="center"/>
          </w:tcPr>
          <w:p>
            <w:pPr>
              <w:pStyle w:val="TableContents"/>
              <w:spacing w:before="0" w:after="283"/>
              <w:ind w:left="0" w:right="0" w:hanging="0"/>
              <w:rPr/>
            </w:pPr>
            <w:r>
              <w:rPr/>
              <w:t> </w:t>
            </w:r>
          </w:p>
        </w:tc>
        <w:tc>
          <w:tcPr>
            <w:tcW w:w="851"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6.94</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2" w:type="dxa"/>
            <w:tcBorders/>
            <w:shd w:fill="CCEEFF" w:val="clear"/>
            <w:vAlign w:val="center"/>
          </w:tcPr>
          <w:p>
            <w:pPr>
              <w:pStyle w:val="TableContents"/>
              <w:spacing w:before="0" w:after="283"/>
              <w:ind w:left="0" w:right="0" w:hanging="0"/>
              <w:rPr/>
            </w:pPr>
            <w:r>
              <w:rPr/>
              <w:t> </w:t>
            </w:r>
          </w:p>
        </w:tc>
        <w:tc>
          <w:tcPr>
            <w:tcW w:w="708"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765</w:t>
            </w:r>
          </w:p>
        </w:tc>
        <w:tc>
          <w:tcPr>
            <w:tcW w:w="60" w:type="dxa"/>
            <w:tcBorders/>
            <w:shd w:fill="CCEEFF" w:val="clear"/>
            <w:vAlign w:val="center"/>
          </w:tcPr>
          <w:p>
            <w:pPr>
              <w:pStyle w:val="TableContents"/>
              <w:spacing w:before="0" w:after="283"/>
              <w:rPr/>
            </w:pPr>
            <w:r>
              <w:rPr/>
              <w:t> </w:t>
            </w:r>
          </w:p>
        </w:tc>
      </w:tr>
      <w:tr>
        <w:trPr/>
        <w:tc>
          <w:tcPr>
            <w:tcW w:w="2555" w:type="dxa"/>
            <w:tcBorders/>
            <w:shd w:fill="FFFFFF" w:val="clear"/>
            <w:vAlign w:val="center"/>
          </w:tcPr>
          <w:p>
            <w:pPr>
              <w:pStyle w:val="TableContents"/>
              <w:spacing w:before="0" w:after="0"/>
              <w:rPr>
                <w:rFonts w:ascii="Times New Roman" w:hAnsi="Times New Roman"/>
                <w:sz w:val="20"/>
              </w:rPr>
            </w:pPr>
            <w:r>
              <w:rPr>
                <w:rFonts w:ascii="Times New Roman" w:hAnsi="Times New Roman"/>
                <w:sz w:val="20"/>
              </w:rPr>
              <w:t>Cancelled/Forfeited</w:t>
            </w:r>
          </w:p>
        </w:tc>
        <w:tc>
          <w:tcPr>
            <w:tcW w:w="60" w:type="dxa"/>
            <w:tcBorders/>
            <w:shd w:fill="FFFFFF" w:val="clear"/>
            <w:vAlign w:val="center"/>
          </w:tcPr>
          <w:p>
            <w:pPr>
              <w:pStyle w:val="TableContents"/>
              <w:spacing w:before="0" w:after="283"/>
              <w:rPr/>
            </w:pPr>
            <w:r>
              <w:rPr/>
              <w:t> </w:t>
            </w:r>
          </w:p>
        </w:tc>
        <w:tc>
          <w:tcPr>
            <w:tcW w:w="96"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793"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(47</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ind w:left="0" w:right="0" w:hanging="0"/>
              <w:rPr/>
            </w:pPr>
            <w:r>
              <w:rPr/>
              <w:t> </w:t>
            </w:r>
          </w:p>
        </w:tc>
        <w:tc>
          <w:tcPr>
            <w:tcW w:w="1234" w:type="dxa"/>
            <w:gridSpan w:val="2"/>
            <w:tcBorders/>
            <w:shd w:fill="FFFFFF" w:val="clear"/>
            <w:vAlign w:val="center"/>
          </w:tcPr>
          <w:p>
            <w:pPr>
              <w:pStyle w:val="TableContents"/>
              <w:spacing w:before="0" w:after="283"/>
              <w:jc w:val="right"/>
              <w:rPr/>
            </w:pPr>
            <w:r>
              <w:rPr>
                <w:rStyle w:val="Emphasis"/>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78" w:type="dxa"/>
            <w:tcBorders/>
            <w:shd w:fill="FFFFFF" w:val="clear"/>
            <w:vAlign w:val="center"/>
          </w:tcPr>
          <w:p>
            <w:pPr>
              <w:pStyle w:val="TableContents"/>
              <w:spacing w:before="0" w:after="283"/>
              <w:ind w:left="0" w:right="0" w:hanging="0"/>
              <w:rPr/>
            </w:pPr>
            <w:r>
              <w:rPr/>
              <w:t> </w:t>
            </w:r>
          </w:p>
        </w:tc>
        <w:tc>
          <w:tcPr>
            <w:tcW w:w="851"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3.78</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82" w:type="dxa"/>
            <w:tcBorders/>
            <w:shd w:fill="FFFFFF" w:val="clear"/>
            <w:vAlign w:val="center"/>
          </w:tcPr>
          <w:p>
            <w:pPr>
              <w:pStyle w:val="TableContents"/>
              <w:spacing w:before="0" w:after="283"/>
              <w:ind w:left="0" w:right="0" w:hanging="0"/>
              <w:rPr/>
            </w:pPr>
            <w:r>
              <w:rPr/>
              <w:t> </w:t>
            </w:r>
          </w:p>
        </w:tc>
        <w:tc>
          <w:tcPr>
            <w:tcW w:w="708"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103</w:t>
            </w:r>
          </w:p>
        </w:tc>
        <w:tc>
          <w:tcPr>
            <w:tcW w:w="60" w:type="dxa"/>
            <w:tcBorders/>
            <w:shd w:fill="FFFFFF" w:val="clear"/>
            <w:vAlign w:val="center"/>
          </w:tcPr>
          <w:p>
            <w:pPr>
              <w:pStyle w:val="TableContents"/>
              <w:spacing w:before="0" w:after="283"/>
              <w:ind w:left="0" w:right="0" w:hanging="0"/>
              <w:rPr/>
            </w:pPr>
            <w:r>
              <w:rPr/>
              <w:t> </w:t>
            </w:r>
          </w:p>
        </w:tc>
      </w:tr>
      <w:tr>
        <w:trPr/>
        <w:tc>
          <w:tcPr>
            <w:tcW w:w="255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Outstanding, March 31, 2023</w:t>
            </w:r>
          </w:p>
        </w:tc>
        <w:tc>
          <w:tcPr>
            <w:tcW w:w="60" w:type="dxa"/>
            <w:tcBorders/>
            <w:shd w:fill="CCEEFF" w:val="clear"/>
            <w:vAlign w:val="center"/>
          </w:tcPr>
          <w:p>
            <w:pPr>
              <w:pStyle w:val="TableContents"/>
              <w:spacing w:before="0" w:after="0"/>
              <w:ind w:left="0" w:right="0" w:hanging="0"/>
              <w:rPr/>
            </w:pPr>
            <w:r>
              <w:rPr/>
              <w:t> </w:t>
            </w:r>
          </w:p>
        </w:tc>
        <w:tc>
          <w:tcPr>
            <w:tcW w:w="96" w:type="dxa"/>
            <w:tcBorders>
              <w:bottom w:val="double" w:sz="6" w:space="0" w:color="000000"/>
            </w:tcBorders>
            <w:shd w:fill="CCEEFF" w:val="clear"/>
            <w:tcMar>
              <w:bottom w:w="28" w:type="dxa"/>
            </w:tcMar>
            <w:vAlign w:val="center"/>
          </w:tcPr>
          <w:p>
            <w:pPr>
              <w:pStyle w:val="TableContents"/>
              <w:spacing w:before="0" w:after="0"/>
              <w:ind w:left="0" w:right="0" w:hanging="0"/>
              <w:rPr/>
            </w:pPr>
            <w:r>
              <w:rPr/>
              <w:t> </w:t>
            </w:r>
          </w:p>
        </w:tc>
        <w:tc>
          <w:tcPr>
            <w:tcW w:w="793"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1,864</w:t>
            </w:r>
          </w:p>
        </w:tc>
        <w:tc>
          <w:tcPr>
            <w:tcW w:w="80" w:type="dxa"/>
            <w:tcBorders/>
            <w:shd w:fill="CCEEFF" w:val="clear"/>
            <w:vAlign w:val="center"/>
          </w:tcPr>
          <w:p>
            <w:pPr>
              <w:pStyle w:val="TableContents"/>
              <w:spacing w:before="0" w:after="0"/>
              <w:ind w:left="0" w:right="0" w:hanging="0"/>
              <w:rPr/>
            </w:pPr>
            <w:r>
              <w:rPr/>
              <w:t> </w:t>
            </w:r>
          </w:p>
        </w:tc>
        <w:tc>
          <w:tcPr>
            <w:tcW w:w="60" w:type="dxa"/>
            <w:tcBorders/>
            <w:shd w:fill="CCEEFF" w:val="clear"/>
            <w:vAlign w:val="center"/>
          </w:tcPr>
          <w:p>
            <w:pPr>
              <w:pStyle w:val="TableContents"/>
              <w:spacing w:before="0" w:after="0"/>
              <w:ind w:left="0" w:right="0" w:hanging="0"/>
              <w:rPr/>
            </w:pPr>
            <w:r>
              <w:rPr/>
              <w:t> </w:t>
            </w:r>
          </w:p>
        </w:tc>
        <w:tc>
          <w:tcPr>
            <w:tcW w:w="1234" w:type="dxa"/>
            <w:gridSpan w:val="2"/>
            <w:tcBorders/>
            <w:shd w:fill="CCEEFF" w:val="clear"/>
            <w:vAlign w:val="center"/>
          </w:tcPr>
          <w:p>
            <w:pPr>
              <w:pStyle w:val="TableContents"/>
              <w:spacing w:before="0" w:after="0"/>
              <w:ind w:left="0" w:right="0" w:hanging="0"/>
              <w:jc w:val="right"/>
              <w:rPr/>
            </w:pPr>
            <w:r>
              <w:rPr>
                <w:rStyle w:val="Emphasis"/>
              </w:rPr>
              <w:t> </w:t>
            </w:r>
          </w:p>
        </w:tc>
        <w:tc>
          <w:tcPr>
            <w:tcW w:w="60" w:type="dxa"/>
            <w:tcBorders/>
            <w:shd w:fill="CCEEFF" w:val="clear"/>
            <w:vAlign w:val="center"/>
          </w:tcPr>
          <w:p>
            <w:pPr>
              <w:pStyle w:val="TableContents"/>
              <w:spacing w:before="0" w:after="0"/>
              <w:ind w:left="0" w:right="0" w:hanging="0"/>
              <w:rPr/>
            </w:pPr>
            <w:r>
              <w:rPr/>
              <w:t> </w:t>
            </w:r>
          </w:p>
        </w:tc>
        <w:tc>
          <w:tcPr>
            <w:tcW w:w="60" w:type="dxa"/>
            <w:tcBorders/>
            <w:shd w:fill="CCEEFF" w:val="clear"/>
            <w:vAlign w:val="center"/>
          </w:tcPr>
          <w:p>
            <w:pPr>
              <w:pStyle w:val="TableContents"/>
              <w:spacing w:before="0" w:after="0"/>
              <w:ind w:left="0" w:right="0" w:hanging="0"/>
              <w:rPr/>
            </w:pPr>
            <w:r>
              <w:rPr/>
              <w:t> </w:t>
            </w:r>
          </w:p>
        </w:tc>
        <w:tc>
          <w:tcPr>
            <w:tcW w:w="278" w:type="dxa"/>
            <w:tcBorders/>
            <w:shd w:fill="CCEEFF" w:val="clear"/>
            <w:vAlign w:val="center"/>
          </w:tcPr>
          <w:p>
            <w:pPr>
              <w:pStyle w:val="TableContents"/>
              <w:spacing w:before="0" w:after="0"/>
              <w:ind w:left="0" w:right="0" w:hanging="0"/>
              <w:rPr/>
            </w:pPr>
            <w:r>
              <w:rPr/>
              <w:t> </w:t>
            </w:r>
          </w:p>
        </w:tc>
        <w:tc>
          <w:tcPr>
            <w:tcW w:w="851"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5.56</w:t>
            </w:r>
          </w:p>
        </w:tc>
        <w:tc>
          <w:tcPr>
            <w:tcW w:w="60" w:type="dxa"/>
            <w:tcBorders/>
            <w:shd w:fill="CCEEFF" w:val="clear"/>
            <w:vAlign w:val="center"/>
          </w:tcPr>
          <w:p>
            <w:pPr>
              <w:pStyle w:val="TableContents"/>
              <w:spacing w:before="0" w:after="0"/>
              <w:ind w:left="0" w:right="0" w:hanging="0"/>
              <w:rPr/>
            </w:pPr>
            <w:r>
              <w:rPr/>
              <w:t> </w:t>
            </w:r>
          </w:p>
        </w:tc>
        <w:tc>
          <w:tcPr>
            <w:tcW w:w="60" w:type="dxa"/>
            <w:tcBorders/>
            <w:shd w:fill="CCEEFF" w:val="clear"/>
            <w:vAlign w:val="center"/>
          </w:tcPr>
          <w:p>
            <w:pPr>
              <w:pStyle w:val="TableContents"/>
              <w:spacing w:before="0" w:after="0"/>
              <w:ind w:left="0" w:right="0" w:hanging="0"/>
              <w:rPr/>
            </w:pPr>
            <w:r>
              <w:rPr/>
              <w:t> </w:t>
            </w:r>
          </w:p>
        </w:tc>
        <w:tc>
          <w:tcPr>
            <w:tcW w:w="182" w:type="dxa"/>
            <w:tcBorders/>
            <w:shd w:fill="CCEEFF" w:val="clear"/>
            <w:vAlign w:val="center"/>
          </w:tcPr>
          <w:p>
            <w:pPr>
              <w:pStyle w:val="TableContents"/>
              <w:spacing w:before="0" w:after="0"/>
              <w:ind w:left="0" w:right="0" w:hanging="0"/>
              <w:rPr/>
            </w:pPr>
            <w:r>
              <w:rPr/>
              <w:t> </w:t>
            </w:r>
          </w:p>
        </w:tc>
        <w:tc>
          <w:tcPr>
            <w:tcW w:w="708"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4,120</w:t>
            </w:r>
          </w:p>
        </w:tc>
        <w:tc>
          <w:tcPr>
            <w:tcW w:w="60" w:type="dxa"/>
            <w:tcBorders/>
            <w:shd w:fill="CCEEFF" w:val="clear"/>
            <w:vAlign w:val="center"/>
          </w:tcPr>
          <w:p>
            <w:pPr>
              <w:pStyle w:val="TableContents"/>
              <w:spacing w:before="0" w:after="0"/>
              <w:ind w:left="0" w:right="0" w:hanging="0"/>
              <w:rPr/>
            </w:pPr>
            <w:r>
              <w:rPr/>
              <w:t> </w:t>
            </w:r>
          </w:p>
        </w:tc>
      </w:tr>
      <w:tr>
        <w:trPr/>
        <w:tc>
          <w:tcPr>
            <w:tcW w:w="2555"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Vested and expected to vest</w:t>
            </w:r>
          </w:p>
        </w:tc>
        <w:tc>
          <w:tcPr>
            <w:tcW w:w="60" w:type="dxa"/>
            <w:tcBorders/>
            <w:shd w:fill="FFFFFF" w:val="clear"/>
            <w:vAlign w:val="center"/>
          </w:tcPr>
          <w:p>
            <w:pPr>
              <w:pStyle w:val="TableContents"/>
              <w:spacing w:before="0" w:after="0"/>
              <w:ind w:left="0" w:right="0" w:hanging="0"/>
              <w:rPr/>
            </w:pPr>
            <w:r>
              <w:rPr/>
              <w:t> </w:t>
            </w:r>
          </w:p>
        </w:tc>
        <w:tc>
          <w:tcPr>
            <w:tcW w:w="96" w:type="dxa"/>
            <w:tcBorders>
              <w:bottom w:val="double" w:sz="6" w:space="0" w:color="000000"/>
            </w:tcBorders>
            <w:shd w:fill="FFFFFF" w:val="clear"/>
            <w:tcMar>
              <w:bottom w:w="28" w:type="dxa"/>
            </w:tcMar>
            <w:vAlign w:val="center"/>
          </w:tcPr>
          <w:p>
            <w:pPr>
              <w:pStyle w:val="TableContents"/>
              <w:spacing w:before="0" w:after="0"/>
              <w:ind w:left="0" w:right="0" w:hanging="0"/>
              <w:rPr/>
            </w:pPr>
            <w:r>
              <w:rPr/>
              <w:t> </w:t>
            </w:r>
          </w:p>
        </w:tc>
        <w:tc>
          <w:tcPr>
            <w:tcW w:w="793" w:type="dxa"/>
            <w:tcBorders>
              <w:bottom w:val="double" w:sz="6" w:space="0" w:color="000000"/>
            </w:tcBorders>
            <w:shd w:fill="FFFF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1,864</w:t>
            </w:r>
          </w:p>
        </w:tc>
        <w:tc>
          <w:tcPr>
            <w:tcW w:w="80" w:type="dxa"/>
            <w:tcBorders/>
            <w:shd w:fill="FFFFFF" w:val="clear"/>
            <w:vAlign w:val="center"/>
          </w:tcPr>
          <w:p>
            <w:pPr>
              <w:pStyle w:val="TableContents"/>
              <w:spacing w:before="0" w:after="0"/>
              <w:ind w:left="0" w:right="0" w:hanging="0"/>
              <w:rPr/>
            </w:pPr>
            <w:r>
              <w:rPr/>
              <w:t> </w:t>
            </w:r>
          </w:p>
        </w:tc>
        <w:tc>
          <w:tcPr>
            <w:tcW w:w="60" w:type="dxa"/>
            <w:tcBorders/>
            <w:shd w:fill="FFFFFF" w:val="clear"/>
            <w:vAlign w:val="center"/>
          </w:tcPr>
          <w:p>
            <w:pPr>
              <w:pStyle w:val="TableContents"/>
              <w:spacing w:before="0" w:after="0"/>
              <w:ind w:left="0" w:right="0" w:hanging="0"/>
              <w:rPr/>
            </w:pPr>
            <w:r>
              <w:rPr/>
              <w:t> </w:t>
            </w:r>
          </w:p>
        </w:tc>
        <w:tc>
          <w:tcPr>
            <w:tcW w:w="1234" w:type="dxa"/>
            <w:gridSpan w:val="2"/>
            <w:tcBorders/>
            <w:shd w:fill="FFFFFF" w:val="clear"/>
            <w:vAlign w:val="center"/>
          </w:tcPr>
          <w:p>
            <w:pPr>
              <w:pStyle w:val="TableContents"/>
              <w:spacing w:before="0" w:after="0"/>
              <w:ind w:left="0" w:right="0" w:hanging="0"/>
              <w:jc w:val="right"/>
              <w:rPr/>
            </w:pPr>
            <w:r>
              <w:rPr>
                <w:rStyle w:val="Emphasis"/>
              </w:rPr>
              <w:t> </w:t>
            </w:r>
          </w:p>
        </w:tc>
        <w:tc>
          <w:tcPr>
            <w:tcW w:w="60" w:type="dxa"/>
            <w:tcBorders/>
            <w:shd w:fill="FFFFFF" w:val="clear"/>
            <w:vAlign w:val="center"/>
          </w:tcPr>
          <w:p>
            <w:pPr>
              <w:pStyle w:val="TableContents"/>
              <w:spacing w:before="0" w:after="0"/>
              <w:ind w:left="0" w:right="0" w:hanging="0"/>
              <w:rPr/>
            </w:pPr>
            <w:r>
              <w:rPr/>
              <w:t> </w:t>
            </w:r>
          </w:p>
        </w:tc>
        <w:tc>
          <w:tcPr>
            <w:tcW w:w="60" w:type="dxa"/>
            <w:tcBorders/>
            <w:shd w:fill="FFFFFF" w:val="clear"/>
            <w:vAlign w:val="center"/>
          </w:tcPr>
          <w:p>
            <w:pPr>
              <w:pStyle w:val="TableContents"/>
              <w:spacing w:before="0" w:after="0"/>
              <w:ind w:left="0" w:right="0" w:hanging="0"/>
              <w:rPr/>
            </w:pPr>
            <w:r>
              <w:rPr/>
              <w:t> </w:t>
            </w:r>
          </w:p>
        </w:tc>
        <w:tc>
          <w:tcPr>
            <w:tcW w:w="278" w:type="dxa"/>
            <w:tcBorders/>
            <w:shd w:fill="FFFFFF" w:val="clear"/>
            <w:vAlign w:val="center"/>
          </w:tcPr>
          <w:p>
            <w:pPr>
              <w:pStyle w:val="TableContents"/>
              <w:spacing w:before="0" w:after="0"/>
              <w:ind w:left="0" w:right="0" w:hanging="0"/>
              <w:rPr/>
            </w:pPr>
            <w:r>
              <w:rPr/>
              <w:t> </w:t>
            </w:r>
          </w:p>
        </w:tc>
        <w:tc>
          <w:tcPr>
            <w:tcW w:w="851" w:type="dxa"/>
            <w:tcBorders/>
            <w:shd w:fill="FFFF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5.56</w:t>
            </w:r>
          </w:p>
        </w:tc>
        <w:tc>
          <w:tcPr>
            <w:tcW w:w="60" w:type="dxa"/>
            <w:tcBorders/>
            <w:shd w:fill="FFFFFF" w:val="clear"/>
            <w:vAlign w:val="center"/>
          </w:tcPr>
          <w:p>
            <w:pPr>
              <w:pStyle w:val="TableContents"/>
              <w:spacing w:before="0" w:after="0"/>
              <w:ind w:left="0" w:right="0" w:hanging="0"/>
              <w:rPr/>
            </w:pPr>
            <w:r>
              <w:rPr/>
              <w:t> </w:t>
            </w:r>
          </w:p>
        </w:tc>
        <w:tc>
          <w:tcPr>
            <w:tcW w:w="60" w:type="dxa"/>
            <w:tcBorders/>
            <w:shd w:fill="FFFFFF" w:val="clear"/>
            <w:vAlign w:val="center"/>
          </w:tcPr>
          <w:p>
            <w:pPr>
              <w:pStyle w:val="TableContents"/>
              <w:spacing w:before="0" w:after="0"/>
              <w:ind w:left="0" w:right="0" w:hanging="0"/>
              <w:rPr/>
            </w:pPr>
            <w:r>
              <w:rPr/>
              <w:t> </w:t>
            </w:r>
          </w:p>
        </w:tc>
        <w:tc>
          <w:tcPr>
            <w:tcW w:w="182" w:type="dxa"/>
            <w:tcBorders/>
            <w:shd w:fill="FFFFFF" w:val="clear"/>
            <w:vAlign w:val="center"/>
          </w:tcPr>
          <w:p>
            <w:pPr>
              <w:pStyle w:val="TableContents"/>
              <w:spacing w:before="0" w:after="0"/>
              <w:ind w:left="0" w:right="0" w:hanging="0"/>
              <w:rPr/>
            </w:pPr>
            <w:r>
              <w:rPr/>
              <w:t> </w:t>
            </w:r>
          </w:p>
        </w:tc>
        <w:tc>
          <w:tcPr>
            <w:tcW w:w="708" w:type="dxa"/>
            <w:tcBorders/>
            <w:shd w:fill="FFFF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4,120</w:t>
            </w:r>
          </w:p>
        </w:tc>
        <w:tc>
          <w:tcPr>
            <w:tcW w:w="60" w:type="dxa"/>
            <w:tcBorders/>
            <w:shd w:fill="FFFFFF" w:val="clear"/>
            <w:vAlign w:val="center"/>
          </w:tcPr>
          <w:p>
            <w:pPr>
              <w:pStyle w:val="TableContents"/>
              <w:spacing w:before="0" w:after="0"/>
              <w:rPr/>
            </w:pPr>
            <w:r>
              <w:rPr/>
              <w:t> </w:t>
            </w:r>
          </w:p>
        </w:tc>
      </w:tr>
    </w:tbl>
    <w:p>
      <w:pPr>
        <w:pStyle w:val="TextBody"/>
        <w:spacing w:before="0" w:after="0"/>
        <w:ind w:left="0" w:right="0" w:hanging="0"/>
        <w:jc w:val="left"/>
        <w:rPr/>
      </w:pPr>
      <w:r>
        <w:rPr/>
        <w:t>​</w:t>
      </w:r>
    </w:p>
    <w:p>
      <w:pPr>
        <w:pStyle w:val="TextBody"/>
        <w:spacing w:before="0" w:after="0"/>
        <w:ind w:left="0" w:right="0" w:firstLine="720"/>
        <w:jc w:val="left"/>
        <w:rPr/>
      </w:pPr>
      <w:r>
        <w:rPr>
          <w:rFonts w:ascii="Times New Roman" w:hAnsi="Times New Roman"/>
          <w:sz w:val="20"/>
        </w:rPr>
        <w:t xml:space="preserve">As of </w:t>
      </w:r>
      <w:r>
        <w:rPr>
          <w:rStyle w:val="Emphasis"/>
          <w:rFonts w:ascii="Times New Roman" w:hAnsi="Times New Roman"/>
          <w:sz w:val="20"/>
        </w:rPr>
        <w:t>March 31, 2023</w:t>
      </w:r>
      <w:r>
        <w:rPr>
          <w:rFonts w:ascii="Times New Roman" w:hAnsi="Times New Roman"/>
          <w:sz w:val="20"/>
        </w:rPr>
        <w:t>, there was</w:t>
      </w:r>
      <w:r>
        <w:rPr>
          <w:rFonts w:ascii="Times New Roman" w:hAnsi="Times New Roman"/>
          <w:sz w:val="20"/>
          <w:highlight w:val="white"/>
        </w:rPr>
        <w:t xml:space="preserve"> $9.1 million</w:t>
      </w:r>
      <w:r>
        <w:rPr>
          <w:rFonts w:ascii="Times New Roman" w:hAnsi="Times New Roman"/>
          <w:sz w:val="20"/>
        </w:rPr>
        <w:t xml:space="preserve"> of unrecognized compensation expense related to these RSUs. This expense is expected to be recognized over </w:t>
      </w:r>
      <w:r>
        <w:rPr>
          <w:rFonts w:ascii="Times New Roman" w:hAnsi="Times New Roman"/>
          <w:sz w:val="20"/>
          <w:highlight w:val="white"/>
        </w:rPr>
        <w:t>1.9 years</w:t>
      </w:r>
      <w:r>
        <w:rPr>
          <w:rFonts w:ascii="Times New Roman" w:hAnsi="Times New Roman"/>
          <w:sz w:val="20"/>
        </w:rPr>
        <w:t>.</w:t>
      </w:r>
    </w:p>
    <w:p>
      <w:pPr>
        <w:pStyle w:val="TextBody"/>
        <w:spacing w:before="0" w:after="0"/>
        <w:ind w:left="0" w:right="0" w:hanging="0"/>
        <w:jc w:val="left"/>
        <w:rPr/>
      </w:pPr>
      <w:r>
        <w:rPr/>
        <w:t> </w:t>
      </w:r>
    </w:p>
    <w:p>
      <w:pPr>
        <w:pStyle w:val="TextBody"/>
        <w:spacing w:before="0" w:after="0"/>
        <w:jc w:val="center"/>
        <w:rPr/>
      </w:pPr>
      <w:r>
        <w:rPr>
          <w:rStyle w:val="Emphasis"/>
          <w:rFonts w:ascii="Times New Roman" w:hAnsi="Times New Roman"/>
          <w:sz w:val="20"/>
        </w:rPr>
        <w:t>19</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0" w:right="0" w:hanging="0"/>
        <w:jc w:val="left"/>
        <w:rPr>
          <w:rFonts w:ascii="Times New Roman" w:hAnsi="Times New Roman"/>
          <w:i/>
          <w:sz w:val="20"/>
        </w:rPr>
      </w:pPr>
      <w:r>
        <w:rPr>
          <w:rFonts w:ascii="Times New Roman" w:hAnsi="Times New Roman"/>
          <w:i/>
          <w:sz w:val="20"/>
        </w:rPr>
        <w:t>Share-Based Compensation</w:t>
      </w:r>
    </w:p>
    <w:p>
      <w:pPr>
        <w:pStyle w:val="TextBody"/>
        <w:spacing w:before="0" w:after="0"/>
        <w:ind w:left="0" w:right="0" w:hanging="0"/>
        <w:jc w:val="left"/>
        <w:rPr/>
      </w:pPr>
      <w:r>
        <w:rPr/>
        <w:t>​</w:t>
      </w:r>
    </w:p>
    <w:p>
      <w:pPr>
        <w:pStyle w:val="TextBody"/>
        <w:spacing w:before="0" w:after="0"/>
        <w:ind w:left="0" w:right="0" w:firstLine="720"/>
        <w:jc w:val="left"/>
        <w:rPr>
          <w:rFonts w:ascii="Times New Roman" w:hAnsi="Times New Roman"/>
          <w:sz w:val="20"/>
        </w:rPr>
      </w:pPr>
      <w:r>
        <w:rPr>
          <w:rFonts w:ascii="Times New Roman" w:hAnsi="Times New Roman"/>
          <w:sz w:val="20"/>
        </w:rPr>
        <w:t>Employee share-based compensation expenses recognized for the periods indicated (in thousands):</w:t>
      </w:r>
    </w:p>
    <w:p>
      <w:pPr>
        <w:pStyle w:val="TextBody"/>
        <w:spacing w:before="0" w:after="0"/>
        <w:ind w:left="0" w:right="0" w:hanging="0"/>
        <w:jc w:val="left"/>
        <w:rPr/>
      </w:pPr>
      <w:r>
        <w:rPr/>
        <w:t>​</w:t>
      </w:r>
    </w:p>
    <w:tbl>
      <w:tblPr>
        <w:tblW w:w="5452" w:type="dxa"/>
        <w:jc w:val="left"/>
        <w:tblInd w:w="0" w:type="dxa"/>
        <w:tblCellMar>
          <w:top w:w="0" w:type="dxa"/>
          <w:left w:w="0" w:type="dxa"/>
          <w:bottom w:w="0" w:type="dxa"/>
          <w:right w:w="0" w:type="dxa"/>
        </w:tblCellMar>
      </w:tblPr>
      <w:tblGrid>
        <w:gridCol w:w="3650"/>
        <w:gridCol w:w="60"/>
        <w:gridCol w:w="157"/>
        <w:gridCol w:w="609"/>
        <w:gridCol w:w="75"/>
        <w:gridCol w:w="75"/>
        <w:gridCol w:w="157"/>
        <w:gridCol w:w="609"/>
        <w:gridCol w:w="60"/>
      </w:tblGrid>
      <w:tr>
        <w:trPr/>
        <w:tc>
          <w:tcPr>
            <w:tcW w:w="365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682" w:type="dxa"/>
            <w:gridSpan w:val="6"/>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Three months ended</w:t>
            </w:r>
          </w:p>
        </w:tc>
        <w:tc>
          <w:tcPr>
            <w:tcW w:w="60" w:type="dxa"/>
            <w:tcBorders/>
            <w:shd w:fill="FFFFFF" w:val="clear"/>
            <w:vAlign w:val="center"/>
          </w:tcPr>
          <w:p>
            <w:pPr>
              <w:pStyle w:val="TableContents"/>
              <w:spacing w:before="0" w:after="283"/>
              <w:rPr/>
            </w:pPr>
            <w:r>
              <w:rPr/>
              <w:t> </w:t>
            </w:r>
          </w:p>
        </w:tc>
      </w:tr>
      <w:tr>
        <w:trPr/>
        <w:tc>
          <w:tcPr>
            <w:tcW w:w="3650" w:type="dxa"/>
            <w:tcBorders/>
            <w:shd w:fill="FFFFFF" w:val="clear"/>
            <w:vAlign w:val="center"/>
          </w:tcPr>
          <w:p>
            <w:pPr>
              <w:pStyle w:val="TableContents"/>
              <w:spacing w:before="0" w:after="0"/>
              <w:rPr>
                <w:caps w:val="false"/>
                <w:smallCaps w:val="false"/>
              </w:rPr>
            </w:pPr>
            <w:r>
              <w:rPr>
                <w:caps w:val="false"/>
                <w:smallCaps w:val="false"/>
              </w:rPr>
              <w:t>​</w:t>
            </w:r>
          </w:p>
        </w:tc>
        <w:tc>
          <w:tcPr>
            <w:tcW w:w="60" w:type="dxa"/>
            <w:tcBorders/>
            <w:shd w:fill="FFFFFF" w:val="clear"/>
            <w:vAlign w:val="center"/>
          </w:tcPr>
          <w:p>
            <w:pPr>
              <w:pStyle w:val="TableContents"/>
              <w:spacing w:before="0" w:after="283"/>
              <w:ind w:left="0" w:right="0" w:hanging="0"/>
              <w:rPr/>
            </w:pPr>
            <w:r>
              <w:rPr/>
              <w:t> </w:t>
            </w:r>
          </w:p>
        </w:tc>
        <w:tc>
          <w:tcPr>
            <w:tcW w:w="1682"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March 31,</w:t>
            </w:r>
          </w:p>
        </w:tc>
        <w:tc>
          <w:tcPr>
            <w:tcW w:w="60" w:type="dxa"/>
            <w:tcBorders/>
            <w:shd w:fill="FFFFFF" w:val="clear"/>
            <w:vAlign w:val="center"/>
          </w:tcPr>
          <w:p>
            <w:pPr>
              <w:pStyle w:val="TableContents"/>
              <w:spacing w:before="0" w:after="283"/>
              <w:rPr/>
            </w:pPr>
            <w:r>
              <w:rPr/>
              <w:t> </w:t>
            </w:r>
          </w:p>
        </w:tc>
      </w:tr>
      <w:tr>
        <w:trPr/>
        <w:tc>
          <w:tcPr>
            <w:tcW w:w="3650" w:type="dxa"/>
            <w:tcBorders/>
            <w:shd w:fill="FFFFFF" w:val="clear"/>
            <w:vAlign w:val="center"/>
          </w:tcPr>
          <w:p>
            <w:pPr>
              <w:pStyle w:val="TableContents"/>
              <w:spacing w:before="0" w:after="0"/>
              <w:rPr>
                <w:caps w:val="false"/>
                <w:smallCaps w:val="false"/>
              </w:rPr>
            </w:pPr>
            <w:r>
              <w:rPr>
                <w:caps w:val="false"/>
                <w:smallCaps w:val="false"/>
              </w:rPr>
              <w:t>​</w:t>
            </w:r>
          </w:p>
        </w:tc>
        <w:tc>
          <w:tcPr>
            <w:tcW w:w="60" w:type="dxa"/>
            <w:tcBorders/>
            <w:shd w:fill="FFFFFF" w:val="clear"/>
            <w:vAlign w:val="center"/>
          </w:tcPr>
          <w:p>
            <w:pPr>
              <w:pStyle w:val="TableContents"/>
              <w:spacing w:before="0" w:after="283"/>
              <w:ind w:left="0" w:right="0" w:hanging="0"/>
              <w:rPr/>
            </w:pPr>
            <w:r>
              <w:rPr/>
              <w:t> </w:t>
            </w:r>
          </w:p>
        </w:tc>
        <w:tc>
          <w:tcPr>
            <w:tcW w:w="766"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2023</w:t>
            </w:r>
          </w:p>
        </w:tc>
        <w:tc>
          <w:tcPr>
            <w:tcW w:w="75" w:type="dxa"/>
            <w:tcBorders/>
            <w:shd w:fill="FFFFFF" w:val="clear"/>
            <w:vAlign w:val="center"/>
          </w:tcPr>
          <w:p>
            <w:pPr>
              <w:pStyle w:val="TableContents"/>
              <w:spacing w:before="0" w:after="283"/>
              <w:rPr/>
            </w:pPr>
            <w:r>
              <w:rPr/>
              <w:t> </w:t>
            </w:r>
          </w:p>
        </w:tc>
        <w:tc>
          <w:tcPr>
            <w:tcW w:w="75" w:type="dxa"/>
            <w:tcBorders/>
            <w:shd w:fill="FFFFFF" w:val="clear"/>
            <w:vAlign w:val="center"/>
          </w:tcPr>
          <w:p>
            <w:pPr>
              <w:pStyle w:val="TableContents"/>
              <w:spacing w:before="0" w:after="283"/>
              <w:ind w:left="0" w:right="0" w:hanging="0"/>
              <w:rPr/>
            </w:pPr>
            <w:r>
              <w:rPr/>
              <w:t> </w:t>
            </w:r>
          </w:p>
        </w:tc>
        <w:tc>
          <w:tcPr>
            <w:tcW w:w="766"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2022</w:t>
            </w:r>
          </w:p>
        </w:tc>
        <w:tc>
          <w:tcPr>
            <w:tcW w:w="60" w:type="dxa"/>
            <w:tcBorders/>
            <w:shd w:fill="FFFFFF" w:val="clear"/>
            <w:vAlign w:val="center"/>
          </w:tcPr>
          <w:p>
            <w:pPr>
              <w:pStyle w:val="TableContents"/>
              <w:spacing w:before="0" w:after="283"/>
              <w:rPr/>
            </w:pPr>
            <w:r>
              <w:rPr/>
              <w:t> </w:t>
            </w:r>
          </w:p>
        </w:tc>
      </w:tr>
      <w:tr>
        <w:trPr/>
        <w:tc>
          <w:tcPr>
            <w:tcW w:w="365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Share-based compensation - by expense type</w:t>
            </w:r>
          </w:p>
        </w:tc>
        <w:tc>
          <w:tcPr>
            <w:tcW w:w="60" w:type="dxa"/>
            <w:tcBorders/>
            <w:shd w:fill="CCEEFF" w:val="clear"/>
            <w:vAlign w:val="center"/>
          </w:tcPr>
          <w:p>
            <w:pPr>
              <w:pStyle w:val="TableContents"/>
              <w:spacing w:before="0" w:after="283"/>
              <w:ind w:left="0" w:right="0" w:hanging="0"/>
              <w:rPr/>
            </w:pPr>
            <w:r>
              <w:rPr/>
              <w:t> </w:t>
            </w:r>
          </w:p>
        </w:tc>
        <w:tc>
          <w:tcPr>
            <w:tcW w:w="766" w:type="dxa"/>
            <w:gridSpan w:val="2"/>
            <w:tcBorders/>
            <w:shd w:fill="CCEEFF" w:val="clear"/>
            <w:vAlign w:val="center"/>
          </w:tcPr>
          <w:p>
            <w:pPr>
              <w:pStyle w:val="TableContents"/>
              <w:spacing w:before="0" w:after="0"/>
              <w:ind w:left="0" w:right="0" w:hanging="0"/>
              <w:rPr>
                <w:caps w:val="false"/>
                <w:smallCaps w:val="false"/>
              </w:rPr>
            </w:pPr>
            <w:r>
              <w:rPr>
                <w:caps w:val="false"/>
                <w:smallCaps w:val="false"/>
              </w:rPr>
              <w:t>​</w:t>
            </w:r>
          </w:p>
        </w:tc>
        <w:tc>
          <w:tcPr>
            <w:tcW w:w="75" w:type="dxa"/>
            <w:tcBorders/>
            <w:shd w:fill="CCEEFF" w:val="clear"/>
            <w:vAlign w:val="center"/>
          </w:tcPr>
          <w:p>
            <w:pPr>
              <w:pStyle w:val="TableContents"/>
              <w:spacing w:before="0" w:after="283"/>
              <w:rPr/>
            </w:pPr>
            <w:r>
              <w:rPr/>
              <w:t> </w:t>
            </w:r>
          </w:p>
        </w:tc>
        <w:tc>
          <w:tcPr>
            <w:tcW w:w="75" w:type="dxa"/>
            <w:tcBorders/>
            <w:shd w:fill="CCEEFF" w:val="clear"/>
            <w:vAlign w:val="center"/>
          </w:tcPr>
          <w:p>
            <w:pPr>
              <w:pStyle w:val="TableContents"/>
              <w:spacing w:before="0" w:after="283"/>
              <w:ind w:left="0" w:right="0" w:hanging="0"/>
              <w:rPr/>
            </w:pPr>
            <w:r>
              <w:rPr/>
              <w:t> </w:t>
            </w:r>
          </w:p>
        </w:tc>
        <w:tc>
          <w:tcPr>
            <w:tcW w:w="766" w:type="dxa"/>
            <w:gridSpan w:val="2"/>
            <w:tcBorders/>
            <w:shd w:fill="CCEEFF" w:val="clear"/>
            <w:vAlign w:val="center"/>
          </w:tcPr>
          <w:p>
            <w:pPr>
              <w:pStyle w:val="TableContents"/>
              <w:spacing w:before="0" w:after="0"/>
              <w:ind w:left="0" w:right="0" w:hanging="0"/>
              <w:rPr>
                <w:caps w:val="false"/>
                <w:smallCaps w:val="false"/>
              </w:rPr>
            </w:pPr>
            <w:r>
              <w:rPr>
                <w:caps w:val="false"/>
                <w:smallCaps w:val="false"/>
              </w:rPr>
              <w:t>​</w:t>
            </w:r>
          </w:p>
        </w:tc>
        <w:tc>
          <w:tcPr>
            <w:tcW w:w="60" w:type="dxa"/>
            <w:tcBorders/>
            <w:shd w:fill="CCEEFF" w:val="clear"/>
            <w:vAlign w:val="center"/>
          </w:tcPr>
          <w:p>
            <w:pPr>
              <w:pStyle w:val="TableContents"/>
              <w:spacing w:before="0" w:after="283"/>
              <w:rPr/>
            </w:pPr>
            <w:r>
              <w:rPr/>
              <w:t> </w:t>
            </w:r>
          </w:p>
        </w:tc>
      </w:tr>
      <w:tr>
        <w:trPr/>
        <w:tc>
          <w:tcPr>
            <w:tcW w:w="3650"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Cost of goods sold</w:t>
            </w:r>
          </w:p>
        </w:tc>
        <w:tc>
          <w:tcPr>
            <w:tcW w:w="60" w:type="dxa"/>
            <w:tcBorders/>
            <w:shd w:fill="FFFFFF" w:val="clear"/>
            <w:vAlign w:val="center"/>
          </w:tcPr>
          <w:p>
            <w:pPr>
              <w:pStyle w:val="TableContents"/>
              <w:spacing w:before="0" w:after="283"/>
              <w:ind w:left="0" w:right="0" w:hanging="0"/>
              <w:rPr/>
            </w:pPr>
            <w:r>
              <w:rPr/>
              <w:t> </w:t>
            </w:r>
          </w:p>
        </w:tc>
        <w:tc>
          <w:tcPr>
            <w:tcW w:w="157"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09"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114</w:t>
            </w:r>
          </w:p>
        </w:tc>
        <w:tc>
          <w:tcPr>
            <w:tcW w:w="75" w:type="dxa"/>
            <w:tcBorders/>
            <w:shd w:fill="FFFFFF" w:val="clear"/>
            <w:vAlign w:val="center"/>
          </w:tcPr>
          <w:p>
            <w:pPr>
              <w:pStyle w:val="TableContents"/>
              <w:spacing w:before="0" w:after="283"/>
              <w:rPr/>
            </w:pPr>
            <w:r>
              <w:rPr/>
              <w:t> </w:t>
            </w:r>
          </w:p>
        </w:tc>
        <w:tc>
          <w:tcPr>
            <w:tcW w:w="75" w:type="dxa"/>
            <w:tcBorders/>
            <w:shd w:fill="FFFFFF" w:val="clear"/>
            <w:vAlign w:val="center"/>
          </w:tcPr>
          <w:p>
            <w:pPr>
              <w:pStyle w:val="TableContents"/>
              <w:spacing w:before="0" w:after="283"/>
              <w:ind w:left="0" w:right="0" w:hanging="0"/>
              <w:rPr/>
            </w:pPr>
            <w:r>
              <w:rPr/>
              <w:t> </w:t>
            </w:r>
          </w:p>
        </w:tc>
        <w:tc>
          <w:tcPr>
            <w:tcW w:w="157"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09"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136</w:t>
            </w:r>
          </w:p>
        </w:tc>
        <w:tc>
          <w:tcPr>
            <w:tcW w:w="60" w:type="dxa"/>
            <w:tcBorders/>
            <w:shd w:fill="FFFFFF" w:val="clear"/>
            <w:vAlign w:val="center"/>
          </w:tcPr>
          <w:p>
            <w:pPr>
              <w:pStyle w:val="TableContents"/>
              <w:spacing w:before="0" w:after="283"/>
              <w:rPr/>
            </w:pPr>
            <w:r>
              <w:rPr/>
              <w:t> </w:t>
            </w:r>
          </w:p>
        </w:tc>
      </w:tr>
      <w:tr>
        <w:trPr/>
        <w:tc>
          <w:tcPr>
            <w:tcW w:w="365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Research and development</w:t>
            </w:r>
          </w:p>
        </w:tc>
        <w:tc>
          <w:tcPr>
            <w:tcW w:w="60" w:type="dxa"/>
            <w:tcBorders/>
            <w:shd w:fill="CCEEFF" w:val="clear"/>
            <w:vAlign w:val="center"/>
          </w:tcPr>
          <w:p>
            <w:pPr>
              <w:pStyle w:val="TableContents"/>
              <w:spacing w:before="0" w:after="283"/>
              <w:rPr/>
            </w:pPr>
            <w:r>
              <w:rPr/>
              <w:t> </w:t>
            </w:r>
          </w:p>
        </w:tc>
        <w:tc>
          <w:tcPr>
            <w:tcW w:w="157" w:type="dxa"/>
            <w:tcBorders/>
            <w:shd w:fill="CCEEFF" w:val="clear"/>
            <w:vAlign w:val="center"/>
          </w:tcPr>
          <w:p>
            <w:pPr>
              <w:pStyle w:val="TableContents"/>
              <w:spacing w:before="0" w:after="283"/>
              <w:ind w:left="0" w:right="0" w:hanging="0"/>
              <w:rPr/>
            </w:pPr>
            <w:r>
              <w:rPr/>
              <w:t> </w:t>
            </w:r>
          </w:p>
        </w:tc>
        <w:tc>
          <w:tcPr>
            <w:tcW w:w="609"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297</w:t>
            </w:r>
          </w:p>
        </w:tc>
        <w:tc>
          <w:tcPr>
            <w:tcW w:w="75" w:type="dxa"/>
            <w:tcBorders/>
            <w:shd w:fill="CCEEFF" w:val="clear"/>
            <w:vAlign w:val="center"/>
          </w:tcPr>
          <w:p>
            <w:pPr>
              <w:pStyle w:val="TableContents"/>
              <w:spacing w:before="0" w:after="283"/>
              <w:rPr/>
            </w:pPr>
            <w:r>
              <w:rPr/>
              <w:t> </w:t>
            </w:r>
          </w:p>
        </w:tc>
        <w:tc>
          <w:tcPr>
            <w:tcW w:w="75" w:type="dxa"/>
            <w:tcBorders/>
            <w:shd w:fill="CCEEFF" w:val="clear"/>
            <w:vAlign w:val="center"/>
          </w:tcPr>
          <w:p>
            <w:pPr>
              <w:pStyle w:val="TableContents"/>
              <w:spacing w:before="0" w:after="283"/>
              <w:rPr/>
            </w:pPr>
            <w:r>
              <w:rPr/>
              <w:t> </w:t>
            </w:r>
          </w:p>
        </w:tc>
        <w:tc>
          <w:tcPr>
            <w:tcW w:w="157" w:type="dxa"/>
            <w:tcBorders/>
            <w:shd w:fill="CCEEFF" w:val="clear"/>
            <w:vAlign w:val="center"/>
          </w:tcPr>
          <w:p>
            <w:pPr>
              <w:pStyle w:val="TableContents"/>
              <w:spacing w:before="0" w:after="283"/>
              <w:ind w:left="0" w:right="0" w:hanging="0"/>
              <w:rPr/>
            </w:pPr>
            <w:r>
              <w:rPr/>
              <w:t> </w:t>
            </w:r>
          </w:p>
        </w:tc>
        <w:tc>
          <w:tcPr>
            <w:tcW w:w="609"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365</w:t>
            </w:r>
          </w:p>
        </w:tc>
        <w:tc>
          <w:tcPr>
            <w:tcW w:w="60" w:type="dxa"/>
            <w:tcBorders/>
            <w:shd w:fill="CCEEFF" w:val="clear"/>
            <w:vAlign w:val="center"/>
          </w:tcPr>
          <w:p>
            <w:pPr>
              <w:pStyle w:val="TableContents"/>
              <w:spacing w:before="0" w:after="283"/>
              <w:rPr/>
            </w:pPr>
            <w:r>
              <w:rPr/>
              <w:t> </w:t>
            </w:r>
          </w:p>
        </w:tc>
      </w:tr>
      <w:tr>
        <w:trPr/>
        <w:tc>
          <w:tcPr>
            <w:tcW w:w="3650"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Sales and marketing</w:t>
            </w:r>
          </w:p>
        </w:tc>
        <w:tc>
          <w:tcPr>
            <w:tcW w:w="60" w:type="dxa"/>
            <w:tcBorders/>
            <w:shd w:fill="FFFFFF" w:val="clear"/>
            <w:vAlign w:val="center"/>
          </w:tcPr>
          <w:p>
            <w:pPr>
              <w:pStyle w:val="TableContents"/>
              <w:spacing w:before="0" w:after="283"/>
              <w:rPr/>
            </w:pPr>
            <w:r>
              <w:rPr/>
              <w:t> </w:t>
            </w:r>
          </w:p>
        </w:tc>
        <w:tc>
          <w:tcPr>
            <w:tcW w:w="157" w:type="dxa"/>
            <w:tcBorders/>
            <w:shd w:fill="FFFFFF" w:val="clear"/>
            <w:vAlign w:val="center"/>
          </w:tcPr>
          <w:p>
            <w:pPr>
              <w:pStyle w:val="TableContents"/>
              <w:spacing w:before="0" w:after="283"/>
              <w:ind w:left="0" w:right="0" w:hanging="0"/>
              <w:rPr/>
            </w:pPr>
            <w:r>
              <w:rPr/>
              <w:t> </w:t>
            </w:r>
          </w:p>
        </w:tc>
        <w:tc>
          <w:tcPr>
            <w:tcW w:w="609"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195</w:t>
            </w:r>
          </w:p>
        </w:tc>
        <w:tc>
          <w:tcPr>
            <w:tcW w:w="75" w:type="dxa"/>
            <w:tcBorders/>
            <w:shd w:fill="FFFFFF" w:val="clear"/>
            <w:vAlign w:val="center"/>
          </w:tcPr>
          <w:p>
            <w:pPr>
              <w:pStyle w:val="TableContents"/>
              <w:spacing w:before="0" w:after="283"/>
              <w:rPr/>
            </w:pPr>
            <w:r>
              <w:rPr/>
              <w:t> </w:t>
            </w:r>
          </w:p>
        </w:tc>
        <w:tc>
          <w:tcPr>
            <w:tcW w:w="75" w:type="dxa"/>
            <w:tcBorders/>
            <w:shd w:fill="FFFFFF" w:val="clear"/>
            <w:vAlign w:val="center"/>
          </w:tcPr>
          <w:p>
            <w:pPr>
              <w:pStyle w:val="TableContents"/>
              <w:spacing w:before="0" w:after="283"/>
              <w:rPr/>
            </w:pPr>
            <w:r>
              <w:rPr/>
              <w:t> </w:t>
            </w:r>
          </w:p>
        </w:tc>
        <w:tc>
          <w:tcPr>
            <w:tcW w:w="157" w:type="dxa"/>
            <w:tcBorders/>
            <w:shd w:fill="FFFFFF" w:val="clear"/>
            <w:vAlign w:val="center"/>
          </w:tcPr>
          <w:p>
            <w:pPr>
              <w:pStyle w:val="TableContents"/>
              <w:spacing w:before="0" w:after="283"/>
              <w:ind w:left="0" w:right="0" w:hanging="0"/>
              <w:rPr/>
            </w:pPr>
            <w:r>
              <w:rPr/>
              <w:t> </w:t>
            </w:r>
          </w:p>
        </w:tc>
        <w:tc>
          <w:tcPr>
            <w:tcW w:w="609"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226</w:t>
            </w:r>
          </w:p>
        </w:tc>
        <w:tc>
          <w:tcPr>
            <w:tcW w:w="60" w:type="dxa"/>
            <w:tcBorders/>
            <w:shd w:fill="FFFFFF" w:val="clear"/>
            <w:vAlign w:val="center"/>
          </w:tcPr>
          <w:p>
            <w:pPr>
              <w:pStyle w:val="TableContents"/>
              <w:spacing w:before="0" w:after="283"/>
              <w:rPr/>
            </w:pPr>
            <w:r>
              <w:rPr/>
              <w:t> </w:t>
            </w:r>
          </w:p>
        </w:tc>
      </w:tr>
      <w:tr>
        <w:trPr/>
        <w:tc>
          <w:tcPr>
            <w:tcW w:w="365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General and administrative</w:t>
            </w:r>
          </w:p>
        </w:tc>
        <w:tc>
          <w:tcPr>
            <w:tcW w:w="60" w:type="dxa"/>
            <w:tcBorders/>
            <w:shd w:fill="CCEEFF" w:val="clear"/>
            <w:vAlign w:val="center"/>
          </w:tcPr>
          <w:p>
            <w:pPr>
              <w:pStyle w:val="TableContents"/>
              <w:spacing w:before="0" w:after="283"/>
              <w:rPr/>
            </w:pPr>
            <w:r>
              <w:rPr/>
              <w:t> </w:t>
            </w:r>
          </w:p>
        </w:tc>
        <w:tc>
          <w:tcPr>
            <w:tcW w:w="157"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09"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1,684</w:t>
            </w:r>
          </w:p>
        </w:tc>
        <w:tc>
          <w:tcPr>
            <w:tcW w:w="75" w:type="dxa"/>
            <w:tcBorders/>
            <w:shd w:fill="CCEEFF" w:val="clear"/>
            <w:vAlign w:val="center"/>
          </w:tcPr>
          <w:p>
            <w:pPr>
              <w:pStyle w:val="TableContents"/>
              <w:spacing w:before="0" w:after="283"/>
              <w:rPr/>
            </w:pPr>
            <w:r>
              <w:rPr/>
              <w:t> </w:t>
            </w:r>
          </w:p>
        </w:tc>
        <w:tc>
          <w:tcPr>
            <w:tcW w:w="75" w:type="dxa"/>
            <w:tcBorders/>
            <w:shd w:fill="CCEEFF" w:val="clear"/>
            <w:vAlign w:val="center"/>
          </w:tcPr>
          <w:p>
            <w:pPr>
              <w:pStyle w:val="TableContents"/>
              <w:spacing w:before="0" w:after="283"/>
              <w:rPr/>
            </w:pPr>
            <w:r>
              <w:rPr/>
              <w:t> </w:t>
            </w:r>
          </w:p>
        </w:tc>
        <w:tc>
          <w:tcPr>
            <w:tcW w:w="157"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09"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1,745</w:t>
            </w:r>
          </w:p>
        </w:tc>
        <w:tc>
          <w:tcPr>
            <w:tcW w:w="60" w:type="dxa"/>
            <w:tcBorders/>
            <w:shd w:fill="CCEEFF" w:val="clear"/>
            <w:vAlign w:val="center"/>
          </w:tcPr>
          <w:p>
            <w:pPr>
              <w:pStyle w:val="TableContents"/>
              <w:spacing w:before="0" w:after="283"/>
              <w:rPr/>
            </w:pPr>
            <w:r>
              <w:rPr/>
              <w:t> </w:t>
            </w:r>
          </w:p>
        </w:tc>
      </w:tr>
      <w:tr>
        <w:trPr/>
        <w:tc>
          <w:tcPr>
            <w:tcW w:w="3650"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Total share-based compensation expense</w:t>
            </w:r>
          </w:p>
        </w:tc>
        <w:tc>
          <w:tcPr>
            <w:tcW w:w="60" w:type="dxa"/>
            <w:tcBorders/>
            <w:shd w:fill="FFFFFF" w:val="clear"/>
            <w:vAlign w:val="center"/>
          </w:tcPr>
          <w:p>
            <w:pPr>
              <w:pStyle w:val="TableContents"/>
              <w:spacing w:before="0" w:after="283"/>
              <w:ind w:left="0" w:right="0" w:hanging="0"/>
              <w:rPr/>
            </w:pPr>
            <w:r>
              <w:rPr/>
              <w:t> </w:t>
            </w:r>
          </w:p>
        </w:tc>
        <w:tc>
          <w:tcPr>
            <w:tcW w:w="157"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09"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2,290</w:t>
            </w:r>
          </w:p>
        </w:tc>
        <w:tc>
          <w:tcPr>
            <w:tcW w:w="75" w:type="dxa"/>
            <w:tcBorders/>
            <w:shd w:fill="FFFFFF" w:val="clear"/>
            <w:vAlign w:val="center"/>
          </w:tcPr>
          <w:p>
            <w:pPr>
              <w:pStyle w:val="TableContents"/>
              <w:spacing w:before="0" w:after="283"/>
              <w:rPr/>
            </w:pPr>
            <w:r>
              <w:rPr/>
              <w:t> </w:t>
            </w:r>
          </w:p>
        </w:tc>
        <w:tc>
          <w:tcPr>
            <w:tcW w:w="75" w:type="dxa"/>
            <w:tcBorders/>
            <w:shd w:fill="FFFFFF" w:val="clear"/>
            <w:vAlign w:val="center"/>
          </w:tcPr>
          <w:p>
            <w:pPr>
              <w:pStyle w:val="TableContents"/>
              <w:spacing w:before="0" w:after="283"/>
              <w:ind w:left="0" w:right="0" w:hanging="0"/>
              <w:rPr/>
            </w:pPr>
            <w:r>
              <w:rPr/>
              <w:t> </w:t>
            </w:r>
          </w:p>
        </w:tc>
        <w:tc>
          <w:tcPr>
            <w:tcW w:w="157"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09"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2,472</w:t>
            </w:r>
          </w:p>
        </w:tc>
        <w:tc>
          <w:tcPr>
            <w:tcW w:w="60" w:type="dxa"/>
            <w:tcBorders/>
            <w:shd w:fill="FFFFFF" w:val="clear"/>
            <w:vAlign w:val="center"/>
          </w:tcPr>
          <w:p>
            <w:pPr>
              <w:pStyle w:val="TableContents"/>
              <w:spacing w:before="0" w:after="283"/>
              <w:rPr/>
            </w:pPr>
            <w:r>
              <w:rPr/>
              <w:t> </w:t>
            </w:r>
          </w:p>
        </w:tc>
      </w:tr>
    </w:tbl>
    <w:p>
      <w:pPr>
        <w:pStyle w:val="TextBody"/>
        <w:spacing w:before="0" w:after="0"/>
        <w:ind w:left="0" w:right="0" w:firstLine="720"/>
        <w:jc w:val="left"/>
        <w:rPr/>
      </w:pPr>
      <w:r>
        <w:rPr/>
        <w:t> </w:t>
      </w:r>
    </w:p>
    <w:p>
      <w:pPr>
        <w:pStyle w:val="TextBody"/>
        <w:rPr/>
      </w:pPr>
      <w:r>
        <w:rPr/>
        <w:t xml:space="preserve">  </w:t>
      </w:r>
    </w:p>
    <w:p>
      <w:pPr>
        <w:pStyle w:val="TextBody"/>
        <w:spacing w:before="0" w:after="0"/>
        <w:ind w:left="0" w:right="0" w:hanging="0"/>
        <w:jc w:val="left"/>
        <w:rPr/>
      </w:pPr>
      <w:r>
        <w:rPr>
          <w:rFonts w:ascii="Times New Roman;Times;serif" w:hAnsi="Times New Roman;Times;serif"/>
          <w:b/>
          <w:sz w:val="20"/>
          <w:highlight w:val="white"/>
        </w:rPr>
        <w:t xml:space="preserve">Note </w:t>
      </w:r>
      <w:r>
        <w:rPr>
          <w:rStyle w:val="Emphasis"/>
          <w:rFonts w:ascii="Times New Roman;Times;serif" w:hAnsi="Times New Roman;Times;serif"/>
          <w:b/>
          <w:sz w:val="20"/>
          <w:highlight w:val="white"/>
        </w:rPr>
        <w:t>16.</w:t>
      </w:r>
      <w:r>
        <w:rPr>
          <w:rFonts w:ascii="Times New Roman;Times;serif" w:hAnsi="Times New Roman;Times;serif"/>
          <w:b/>
          <w:sz w:val="20"/>
          <w:highlight w:val="white"/>
        </w:rPr>
        <w:t xml:space="preserve">  Income Taxes </w:t>
      </w:r>
    </w:p>
    <w:p>
      <w:pPr>
        <w:pStyle w:val="TextBody"/>
        <w:spacing w:before="0" w:after="0"/>
        <w:ind w:left="0" w:right="0" w:firstLine="720"/>
        <w:jc w:val="left"/>
        <w:rPr>
          <w:highlight w:val="yellow"/>
        </w:rPr>
      </w:pPr>
      <w:r>
        <w:rPr>
          <w:highlight w:val="yellow"/>
        </w:rPr>
        <w:t>​​</w:t>
      </w:r>
    </w:p>
    <w:p>
      <w:pPr>
        <w:pStyle w:val="TextBody"/>
        <w:spacing w:before="0" w:after="0"/>
        <w:ind w:left="160" w:right="0" w:firstLine="720"/>
        <w:rPr/>
      </w:pPr>
      <w:r>
        <w:rPr>
          <w:rFonts w:ascii="Times New Roman" w:hAnsi="Times New Roman"/>
          <w:caps w:val="false"/>
          <w:smallCaps w:val="false"/>
          <w:sz w:val="20"/>
        </w:rPr>
        <w:t xml:space="preserve">The Company’s effective tax rate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was 0%.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March 31, 2023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the effective tax rate varied from the federal statutory rate of 21% primarily due to the change of the valuation allowance on federal, state, Taiwan, and China deferred tax assets ("DTA").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900"/>
        <w:rPr/>
      </w:pPr>
      <w:r>
        <w:rPr>
          <w:rFonts w:ascii="Times New Roman" w:hAnsi="Times New Roman"/>
          <w:caps w:val="false"/>
          <w:smallCaps w:val="false"/>
          <w:sz w:val="20"/>
        </w:rPr>
        <w:t xml:space="preserve">The Company continually monitors and performs an assessment of the realizability of its DTAs, including an analysis of factors such as future taxable income, reversal of existing taxable temporary differences, and tax planning strategies. In assessing the need for a valuation allowance, the Company considered both positive and negative evidence related to the likelihood of realization of deferred tax assets using a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standard. In making such assessment, more weight was given to evidence that could be objectively verified, including recent cumulative losses. Based on the Company’s review of this evidence, management determined that a full valuation allowance against all of the Company’s net deferred tax assets at </w:t>
      </w:r>
      <w:r>
        <w:rPr>
          <w:rStyle w:val="Emphasis"/>
          <w:rFonts w:ascii="Times New Roman" w:hAnsi="Times New Roman"/>
          <w:caps w:val="false"/>
          <w:smallCaps w:val="false"/>
          <w:sz w:val="20"/>
        </w:rPr>
        <w:t>March 31, 2023 </w:t>
      </w:r>
      <w:r>
        <w:rPr>
          <w:rFonts w:ascii="Times New Roman" w:hAnsi="Times New Roman"/>
          <w:caps w:val="false"/>
          <w:smallCaps w:val="false"/>
          <w:sz w:val="20"/>
        </w:rPr>
        <w:t>was appropriate.</w:t>
      </w:r>
    </w:p>
    <w:p>
      <w:pPr>
        <w:pStyle w:val="TextBody"/>
        <w:rPr/>
      </w:pPr>
      <w:r>
        <w:rPr/>
        <w:t xml:space="preserve">  </w:t>
      </w:r>
    </w:p>
    <w:p>
      <w:pPr>
        <w:pStyle w:val="TextBody"/>
        <w:spacing w:before="0" w:after="0"/>
        <w:ind w:left="0" w:right="0" w:hanging="0"/>
        <w:jc w:val="left"/>
        <w:rPr/>
      </w:pPr>
      <w:r>
        <w:rPr>
          <w:rFonts w:ascii="Times New Roman" w:hAnsi="Times New Roman"/>
          <w:b/>
          <w:sz w:val="20"/>
        </w:rPr>
        <w:t xml:space="preserve">Note </w:t>
      </w:r>
      <w:r>
        <w:rPr>
          <w:rStyle w:val="Emphasis"/>
          <w:rFonts w:ascii="Times New Roman" w:hAnsi="Times New Roman"/>
          <w:b/>
          <w:sz w:val="20"/>
        </w:rPr>
        <w:t>17.</w:t>
      </w:r>
      <w:r>
        <w:rPr>
          <w:rFonts w:ascii="Times New Roman" w:hAnsi="Times New Roman"/>
          <w:b/>
          <w:sz w:val="20"/>
        </w:rPr>
        <w:t>  Geographic Information</w:t>
      </w:r>
    </w:p>
    <w:p>
      <w:pPr>
        <w:pStyle w:val="TextBody"/>
        <w:spacing w:before="0" w:after="0"/>
        <w:ind w:left="0" w:right="0" w:hanging="0"/>
        <w:jc w:val="left"/>
        <w:rPr/>
      </w:pPr>
      <w:r>
        <w:rPr/>
        <w:t>​</w:t>
      </w:r>
    </w:p>
    <w:p>
      <w:pPr>
        <w:pStyle w:val="TextBody"/>
        <w:spacing w:before="0" w:after="0"/>
        <w:ind w:left="0" w:right="0" w:firstLine="720"/>
        <w:jc w:val="left"/>
        <w:rPr>
          <w:rFonts w:ascii="Times New Roman" w:hAnsi="Times New Roman"/>
          <w:sz w:val="20"/>
        </w:rPr>
      </w:pPr>
      <w:r>
        <w:rPr>
          <w:rFonts w:ascii="Times New Roman" w:hAnsi="Times New Roman"/>
          <w:sz w:val="20"/>
        </w:rPr>
        <w:t>The Company operates in one reportable segment. The Company’s Chief Executive Officer, who is considered to be the chief operating decision maker, manages the Company’s operations as a whole and reviews financial information presented on a consolidated basis, accompanied by information about product revenue, for purposes of evaluating financial performance and allocating resources.</w:t>
      </w:r>
    </w:p>
    <w:p>
      <w:pPr>
        <w:pStyle w:val="TextBody"/>
        <w:spacing w:before="0" w:after="0"/>
        <w:ind w:left="0" w:right="0" w:firstLine="720"/>
        <w:jc w:val="left"/>
        <w:rPr/>
      </w:pPr>
      <w:r>
        <w:rPr/>
        <w:t>​</w:t>
      </w:r>
    </w:p>
    <w:p>
      <w:pPr>
        <w:pStyle w:val="TextBody"/>
        <w:spacing w:before="0" w:after="0"/>
        <w:ind w:left="0" w:right="0" w:firstLine="720"/>
        <w:jc w:val="left"/>
        <w:rPr>
          <w:rFonts w:ascii="Times New Roman" w:hAnsi="Times New Roman"/>
          <w:sz w:val="20"/>
        </w:rPr>
      </w:pPr>
      <w:r>
        <w:rPr>
          <w:rFonts w:ascii="Times New Roman" w:hAnsi="Times New Roman"/>
          <w:sz w:val="20"/>
        </w:rPr>
        <w:t>The following tables set forth the Company’s revenue and asset information by geographic region. Revenue is classified based on the location of where the product is manufactured. Long-lived assets in the tables below comprise only property, plant, equipment and intangible assets (in thousands):</w:t>
      </w:r>
    </w:p>
    <w:p>
      <w:pPr>
        <w:pStyle w:val="TextBody"/>
        <w:spacing w:before="0" w:after="0"/>
        <w:ind w:left="0" w:right="0" w:hanging="0"/>
        <w:jc w:val="left"/>
        <w:rPr/>
      </w:pPr>
      <w:r>
        <w:rPr/>
        <w:t>​</w:t>
      </w:r>
    </w:p>
    <w:tbl>
      <w:tblPr>
        <w:tblW w:w="3802" w:type="dxa"/>
        <w:jc w:val="left"/>
        <w:tblInd w:w="0" w:type="dxa"/>
        <w:tblCellMar>
          <w:top w:w="0" w:type="dxa"/>
          <w:left w:w="0" w:type="dxa"/>
          <w:bottom w:w="0" w:type="dxa"/>
          <w:right w:w="0" w:type="dxa"/>
        </w:tblCellMar>
      </w:tblPr>
      <w:tblGrid>
        <w:gridCol w:w="1100"/>
        <w:gridCol w:w="60"/>
        <w:gridCol w:w="208"/>
        <w:gridCol w:w="983"/>
        <w:gridCol w:w="100"/>
        <w:gridCol w:w="100"/>
        <w:gridCol w:w="208"/>
        <w:gridCol w:w="983"/>
        <w:gridCol w:w="60"/>
      </w:tblGrid>
      <w:tr>
        <w:trPr/>
        <w:tc>
          <w:tcPr>
            <w:tcW w:w="110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582"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Three months ended March 31,</w:t>
            </w:r>
          </w:p>
        </w:tc>
        <w:tc>
          <w:tcPr>
            <w:tcW w:w="60" w:type="dxa"/>
            <w:tcBorders/>
            <w:shd w:fill="FFFFFF" w:val="clear"/>
            <w:vAlign w:val="center"/>
          </w:tcPr>
          <w:p>
            <w:pPr>
              <w:pStyle w:val="TableContents"/>
              <w:spacing w:before="0" w:after="283"/>
              <w:rPr/>
            </w:pPr>
            <w:r>
              <w:rPr/>
              <w:t> </w:t>
            </w:r>
          </w:p>
        </w:tc>
      </w:tr>
      <w:tr>
        <w:trPr/>
        <w:tc>
          <w:tcPr>
            <w:tcW w:w="1100" w:type="dxa"/>
            <w:tcBorders/>
            <w:shd w:fill="FFFFFF" w:val="clear"/>
            <w:vAlign w:val="center"/>
          </w:tcPr>
          <w:p>
            <w:pPr>
              <w:pStyle w:val="TableContents"/>
              <w:spacing w:before="0" w:after="0"/>
              <w:rPr>
                <w:caps w:val="false"/>
                <w:smallCaps w:val="false"/>
              </w:rPr>
            </w:pPr>
            <w:r>
              <w:rPr>
                <w:caps w:val="false"/>
                <w:smallCaps w:val="false"/>
              </w:rPr>
              <w:t>​</w:t>
            </w:r>
          </w:p>
        </w:tc>
        <w:tc>
          <w:tcPr>
            <w:tcW w:w="60" w:type="dxa"/>
            <w:tcBorders/>
            <w:shd w:fill="FFFFFF" w:val="clear"/>
            <w:vAlign w:val="center"/>
          </w:tcPr>
          <w:p>
            <w:pPr>
              <w:pStyle w:val="TableContents"/>
              <w:spacing w:before="0" w:after="283"/>
              <w:ind w:left="0" w:right="0" w:hanging="0"/>
              <w:rPr/>
            </w:pPr>
            <w:r>
              <w:rPr/>
              <w:t> </w:t>
            </w:r>
          </w:p>
        </w:tc>
        <w:tc>
          <w:tcPr>
            <w:tcW w:w="1191"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2023</w:t>
            </w:r>
          </w:p>
        </w:tc>
        <w:tc>
          <w:tcPr>
            <w:tcW w:w="100" w:type="dxa"/>
            <w:tcBorders/>
            <w:shd w:fill="FFFFFF" w:val="clear"/>
            <w:vAlign w:val="center"/>
          </w:tcPr>
          <w:p>
            <w:pPr>
              <w:pStyle w:val="TableContents"/>
              <w:spacing w:before="0" w:after="283"/>
              <w:rPr/>
            </w:pPr>
            <w:r>
              <w:rPr/>
              <w:t> </w:t>
            </w:r>
          </w:p>
        </w:tc>
        <w:tc>
          <w:tcPr>
            <w:tcW w:w="100" w:type="dxa"/>
            <w:tcBorders/>
            <w:shd w:fill="FFFFFF" w:val="clear"/>
            <w:vAlign w:val="center"/>
          </w:tcPr>
          <w:p>
            <w:pPr>
              <w:pStyle w:val="TableContents"/>
              <w:spacing w:before="0" w:after="283"/>
              <w:ind w:left="0" w:right="0" w:hanging="0"/>
              <w:rPr/>
            </w:pPr>
            <w:r>
              <w:rPr/>
              <w:t> </w:t>
            </w:r>
          </w:p>
        </w:tc>
        <w:tc>
          <w:tcPr>
            <w:tcW w:w="1191"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2022</w:t>
            </w:r>
          </w:p>
        </w:tc>
        <w:tc>
          <w:tcPr>
            <w:tcW w:w="60" w:type="dxa"/>
            <w:tcBorders/>
            <w:shd w:fill="FFFFFF" w:val="clear"/>
            <w:vAlign w:val="center"/>
          </w:tcPr>
          <w:p>
            <w:pPr>
              <w:pStyle w:val="TableContents"/>
              <w:spacing w:before="0" w:after="283"/>
              <w:rPr/>
            </w:pPr>
            <w:r>
              <w:rPr/>
              <w:t> </w:t>
            </w:r>
          </w:p>
        </w:tc>
      </w:tr>
      <w:tr>
        <w:trPr/>
        <w:tc>
          <w:tcPr>
            <w:tcW w:w="110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Revenues:</w:t>
            </w:r>
          </w:p>
        </w:tc>
        <w:tc>
          <w:tcPr>
            <w:tcW w:w="60" w:type="dxa"/>
            <w:tcBorders/>
            <w:shd w:fill="CCEEFF" w:val="clear"/>
            <w:vAlign w:val="center"/>
          </w:tcPr>
          <w:p>
            <w:pPr>
              <w:pStyle w:val="TableContents"/>
              <w:spacing w:before="0" w:after="283"/>
              <w:ind w:left="0" w:right="0" w:hanging="0"/>
              <w:rPr/>
            </w:pPr>
            <w:r>
              <w:rPr/>
              <w:t> </w:t>
            </w:r>
          </w:p>
        </w:tc>
        <w:tc>
          <w:tcPr>
            <w:tcW w:w="1191" w:type="dxa"/>
            <w:gridSpan w:val="2"/>
            <w:tcBorders/>
            <w:shd w:fill="CCEEFF" w:val="clear"/>
            <w:vAlign w:val="center"/>
          </w:tcPr>
          <w:p>
            <w:pPr>
              <w:pStyle w:val="TableContents"/>
              <w:spacing w:before="0" w:after="0"/>
              <w:ind w:left="0" w:right="0" w:hanging="0"/>
              <w:rPr>
                <w:caps w:val="false"/>
                <w:smallCaps w:val="false"/>
              </w:rPr>
            </w:pPr>
            <w:r>
              <w:rPr>
                <w:caps w:val="false"/>
                <w:smallCaps w:val="false"/>
              </w:rPr>
              <w:t>​</w:t>
            </w:r>
          </w:p>
        </w:tc>
        <w:tc>
          <w:tcPr>
            <w:tcW w:w="100" w:type="dxa"/>
            <w:tcBorders/>
            <w:shd w:fill="CCEEFF" w:val="clear"/>
            <w:vAlign w:val="center"/>
          </w:tcPr>
          <w:p>
            <w:pPr>
              <w:pStyle w:val="TableContents"/>
              <w:spacing w:before="0" w:after="283"/>
              <w:rPr/>
            </w:pPr>
            <w:r>
              <w:rPr/>
              <w:t> </w:t>
            </w:r>
          </w:p>
        </w:tc>
        <w:tc>
          <w:tcPr>
            <w:tcW w:w="100" w:type="dxa"/>
            <w:tcBorders/>
            <w:shd w:fill="CCEEFF" w:val="clear"/>
            <w:vAlign w:val="center"/>
          </w:tcPr>
          <w:p>
            <w:pPr>
              <w:pStyle w:val="TableContents"/>
              <w:spacing w:before="0" w:after="283"/>
              <w:ind w:left="0" w:right="0" w:hanging="0"/>
              <w:rPr/>
            </w:pPr>
            <w:r>
              <w:rPr/>
              <w:t> </w:t>
            </w:r>
          </w:p>
        </w:tc>
        <w:tc>
          <w:tcPr>
            <w:tcW w:w="1191" w:type="dxa"/>
            <w:gridSpan w:val="2"/>
            <w:tcBorders/>
            <w:shd w:fill="CCEEFF" w:val="clear"/>
            <w:vAlign w:val="center"/>
          </w:tcPr>
          <w:p>
            <w:pPr>
              <w:pStyle w:val="TableContents"/>
              <w:spacing w:before="0" w:after="0"/>
              <w:ind w:left="0" w:right="0" w:hanging="0"/>
              <w:rPr>
                <w:caps w:val="false"/>
                <w:smallCaps w:val="false"/>
              </w:rPr>
            </w:pPr>
            <w:r>
              <w:rPr>
                <w:caps w:val="false"/>
                <w:smallCaps w:val="false"/>
              </w:rPr>
              <w:t>​</w:t>
            </w:r>
          </w:p>
        </w:tc>
        <w:tc>
          <w:tcPr>
            <w:tcW w:w="60" w:type="dxa"/>
            <w:tcBorders/>
            <w:shd w:fill="CCEEFF" w:val="clear"/>
            <w:vAlign w:val="center"/>
          </w:tcPr>
          <w:p>
            <w:pPr>
              <w:pStyle w:val="TableContents"/>
              <w:spacing w:before="0" w:after="283"/>
              <w:rPr/>
            </w:pPr>
            <w:r>
              <w:rPr/>
              <w:t> </w:t>
            </w:r>
          </w:p>
        </w:tc>
      </w:tr>
      <w:tr>
        <w:trPr/>
        <w:tc>
          <w:tcPr>
            <w:tcW w:w="1100"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United States</w:t>
            </w:r>
          </w:p>
        </w:tc>
        <w:tc>
          <w:tcPr>
            <w:tcW w:w="60" w:type="dxa"/>
            <w:tcBorders/>
            <w:shd w:fill="FFFFFF" w:val="clear"/>
            <w:vAlign w:val="center"/>
          </w:tcPr>
          <w:p>
            <w:pPr>
              <w:pStyle w:val="TableContents"/>
              <w:spacing w:before="0" w:after="283"/>
              <w:ind w:left="0" w:right="0" w:hanging="0"/>
              <w:rPr/>
            </w:pPr>
            <w:r>
              <w:rPr/>
              <w:t> </w:t>
            </w:r>
          </w:p>
        </w:tc>
        <w:tc>
          <w:tcPr>
            <w:tcW w:w="208"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83"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6,439</w:t>
            </w:r>
          </w:p>
        </w:tc>
        <w:tc>
          <w:tcPr>
            <w:tcW w:w="100" w:type="dxa"/>
            <w:tcBorders/>
            <w:shd w:fill="FFFFFF" w:val="clear"/>
            <w:vAlign w:val="center"/>
          </w:tcPr>
          <w:p>
            <w:pPr>
              <w:pStyle w:val="TableContents"/>
              <w:spacing w:before="0" w:after="283"/>
              <w:rPr/>
            </w:pPr>
            <w:r>
              <w:rPr/>
              <w:t> </w:t>
            </w:r>
          </w:p>
        </w:tc>
        <w:tc>
          <w:tcPr>
            <w:tcW w:w="100" w:type="dxa"/>
            <w:tcBorders/>
            <w:shd w:fill="FFFFFF" w:val="clear"/>
            <w:vAlign w:val="center"/>
          </w:tcPr>
          <w:p>
            <w:pPr>
              <w:pStyle w:val="TableContents"/>
              <w:spacing w:before="0" w:after="283"/>
              <w:ind w:left="0" w:right="0" w:hanging="0"/>
              <w:rPr/>
            </w:pPr>
            <w:r>
              <w:rPr/>
              <w:t> </w:t>
            </w:r>
          </w:p>
        </w:tc>
        <w:tc>
          <w:tcPr>
            <w:tcW w:w="208"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83"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2,559</w:t>
            </w:r>
          </w:p>
        </w:tc>
        <w:tc>
          <w:tcPr>
            <w:tcW w:w="60" w:type="dxa"/>
            <w:tcBorders/>
            <w:shd w:fill="FFFFFF" w:val="clear"/>
            <w:vAlign w:val="center"/>
          </w:tcPr>
          <w:p>
            <w:pPr>
              <w:pStyle w:val="TableContents"/>
              <w:spacing w:before="0" w:after="283"/>
              <w:rPr/>
            </w:pPr>
            <w:r>
              <w:rPr/>
              <w:t> </w:t>
            </w:r>
          </w:p>
        </w:tc>
      </w:tr>
      <w:tr>
        <w:trPr/>
        <w:tc>
          <w:tcPr>
            <w:tcW w:w="1100"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Taiwan</w:t>
            </w:r>
          </w:p>
        </w:tc>
        <w:tc>
          <w:tcPr>
            <w:tcW w:w="60" w:type="dxa"/>
            <w:tcBorders/>
            <w:shd w:fill="CCEEFF" w:val="clear"/>
            <w:vAlign w:val="center"/>
          </w:tcPr>
          <w:p>
            <w:pPr>
              <w:pStyle w:val="TableContents"/>
              <w:spacing w:before="0" w:after="283"/>
              <w:rPr/>
            </w:pPr>
            <w:r>
              <w:rPr/>
              <w:t> </w:t>
            </w:r>
          </w:p>
        </w:tc>
        <w:tc>
          <w:tcPr>
            <w:tcW w:w="208" w:type="dxa"/>
            <w:tcBorders/>
            <w:shd w:fill="CCEEFF" w:val="clear"/>
            <w:vAlign w:val="center"/>
          </w:tcPr>
          <w:p>
            <w:pPr>
              <w:pStyle w:val="TableContents"/>
              <w:spacing w:before="0" w:after="283"/>
              <w:ind w:left="0" w:right="0" w:hanging="0"/>
              <w:rPr/>
            </w:pPr>
            <w:r>
              <w:rPr/>
              <w:t> </w:t>
            </w:r>
          </w:p>
        </w:tc>
        <w:tc>
          <w:tcPr>
            <w:tcW w:w="983"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42,386</w:t>
            </w:r>
          </w:p>
        </w:tc>
        <w:tc>
          <w:tcPr>
            <w:tcW w:w="100" w:type="dxa"/>
            <w:tcBorders/>
            <w:shd w:fill="CCEEFF" w:val="clear"/>
            <w:vAlign w:val="center"/>
          </w:tcPr>
          <w:p>
            <w:pPr>
              <w:pStyle w:val="TableContents"/>
              <w:spacing w:before="0" w:after="283"/>
              <w:rPr/>
            </w:pPr>
            <w:r>
              <w:rPr/>
              <w:t> </w:t>
            </w:r>
          </w:p>
        </w:tc>
        <w:tc>
          <w:tcPr>
            <w:tcW w:w="100" w:type="dxa"/>
            <w:tcBorders/>
            <w:shd w:fill="CCEEFF" w:val="clear"/>
            <w:vAlign w:val="center"/>
          </w:tcPr>
          <w:p>
            <w:pPr>
              <w:pStyle w:val="TableContents"/>
              <w:spacing w:before="0" w:after="283"/>
              <w:rPr/>
            </w:pPr>
            <w:r>
              <w:rPr/>
              <w:t> </w:t>
            </w:r>
          </w:p>
        </w:tc>
        <w:tc>
          <w:tcPr>
            <w:tcW w:w="208" w:type="dxa"/>
            <w:tcBorders/>
            <w:shd w:fill="CCEEFF" w:val="clear"/>
            <w:vAlign w:val="center"/>
          </w:tcPr>
          <w:p>
            <w:pPr>
              <w:pStyle w:val="TableContents"/>
              <w:spacing w:before="0" w:after="283"/>
              <w:ind w:left="0" w:right="0" w:hanging="0"/>
              <w:rPr/>
            </w:pPr>
            <w:r>
              <w:rPr/>
              <w:t> </w:t>
            </w:r>
          </w:p>
        </w:tc>
        <w:tc>
          <w:tcPr>
            <w:tcW w:w="983"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27,779</w:t>
            </w:r>
          </w:p>
        </w:tc>
        <w:tc>
          <w:tcPr>
            <w:tcW w:w="60" w:type="dxa"/>
            <w:tcBorders/>
            <w:shd w:fill="CCEEFF" w:val="clear"/>
            <w:vAlign w:val="center"/>
          </w:tcPr>
          <w:p>
            <w:pPr>
              <w:pStyle w:val="TableContents"/>
              <w:spacing w:before="0" w:after="283"/>
              <w:rPr/>
            </w:pPr>
            <w:r>
              <w:rPr/>
              <w:t> </w:t>
            </w:r>
          </w:p>
        </w:tc>
      </w:tr>
      <w:tr>
        <w:trPr/>
        <w:tc>
          <w:tcPr>
            <w:tcW w:w="1100"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China</w:t>
            </w:r>
          </w:p>
        </w:tc>
        <w:tc>
          <w:tcPr>
            <w:tcW w:w="60" w:type="dxa"/>
            <w:tcBorders/>
            <w:shd w:fill="FFFFFF" w:val="clear"/>
            <w:vAlign w:val="center"/>
          </w:tcPr>
          <w:p>
            <w:pPr>
              <w:pStyle w:val="TableContents"/>
              <w:spacing w:before="0" w:after="283"/>
              <w:rPr/>
            </w:pPr>
            <w:r>
              <w:rPr/>
              <w:t> </w:t>
            </w:r>
          </w:p>
        </w:tc>
        <w:tc>
          <w:tcPr>
            <w:tcW w:w="208"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983"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4,205</w:t>
            </w:r>
          </w:p>
        </w:tc>
        <w:tc>
          <w:tcPr>
            <w:tcW w:w="100" w:type="dxa"/>
            <w:tcBorders/>
            <w:shd w:fill="FFFFFF" w:val="clear"/>
            <w:vAlign w:val="center"/>
          </w:tcPr>
          <w:p>
            <w:pPr>
              <w:pStyle w:val="TableContents"/>
              <w:spacing w:before="0" w:after="283"/>
              <w:rPr/>
            </w:pPr>
            <w:r>
              <w:rPr/>
              <w:t> </w:t>
            </w:r>
          </w:p>
        </w:tc>
        <w:tc>
          <w:tcPr>
            <w:tcW w:w="100" w:type="dxa"/>
            <w:tcBorders/>
            <w:shd w:fill="FFFFFF" w:val="clear"/>
            <w:vAlign w:val="center"/>
          </w:tcPr>
          <w:p>
            <w:pPr>
              <w:pStyle w:val="TableContents"/>
              <w:spacing w:before="0" w:after="283"/>
              <w:rPr/>
            </w:pPr>
            <w:r>
              <w:rPr/>
              <w:t> </w:t>
            </w:r>
          </w:p>
        </w:tc>
        <w:tc>
          <w:tcPr>
            <w:tcW w:w="208"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983"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21,904</w:t>
            </w:r>
          </w:p>
        </w:tc>
        <w:tc>
          <w:tcPr>
            <w:tcW w:w="60" w:type="dxa"/>
            <w:tcBorders/>
            <w:shd w:fill="FFFFFF" w:val="clear"/>
            <w:vAlign w:val="center"/>
          </w:tcPr>
          <w:p>
            <w:pPr>
              <w:pStyle w:val="TableContents"/>
              <w:spacing w:before="0" w:after="283"/>
              <w:rPr/>
            </w:pPr>
            <w:r>
              <w:rPr/>
              <w:t> </w:t>
            </w:r>
          </w:p>
        </w:tc>
      </w:tr>
      <w:tr>
        <w:trPr/>
        <w:tc>
          <w:tcPr>
            <w:tcW w:w="1100" w:type="dxa"/>
            <w:tcBorders/>
            <w:shd w:fill="CCEEFF" w:val="clear"/>
            <w:vAlign w:val="center"/>
          </w:tcPr>
          <w:p>
            <w:pPr>
              <w:pStyle w:val="TableContents"/>
              <w:spacing w:before="0" w:after="0"/>
              <w:rPr>
                <w:caps w:val="false"/>
                <w:smallCaps w:val="false"/>
              </w:rPr>
            </w:pPr>
            <w:r>
              <w:rPr>
                <w:caps w:val="false"/>
                <w:smallCaps w:val="false"/>
              </w:rPr>
              <w:t>​</w:t>
            </w:r>
          </w:p>
        </w:tc>
        <w:tc>
          <w:tcPr>
            <w:tcW w:w="60" w:type="dxa"/>
            <w:tcBorders/>
            <w:shd w:fill="CCEEFF" w:val="clear"/>
            <w:vAlign w:val="center"/>
          </w:tcPr>
          <w:p>
            <w:pPr>
              <w:pStyle w:val="TableContents"/>
              <w:spacing w:before="0" w:after="283"/>
              <w:ind w:left="0" w:right="0" w:hanging="0"/>
              <w:rPr/>
            </w:pPr>
            <w:r>
              <w:rPr/>
              <w:t> </w:t>
            </w:r>
          </w:p>
        </w:tc>
        <w:tc>
          <w:tcPr>
            <w:tcW w:w="208"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83"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53,030</w:t>
            </w:r>
          </w:p>
        </w:tc>
        <w:tc>
          <w:tcPr>
            <w:tcW w:w="100" w:type="dxa"/>
            <w:tcBorders/>
            <w:shd w:fill="CCEEFF" w:val="clear"/>
            <w:vAlign w:val="center"/>
          </w:tcPr>
          <w:p>
            <w:pPr>
              <w:pStyle w:val="TableContents"/>
              <w:spacing w:before="0" w:after="283"/>
              <w:rPr/>
            </w:pPr>
            <w:r>
              <w:rPr/>
              <w:t> </w:t>
            </w:r>
          </w:p>
        </w:tc>
        <w:tc>
          <w:tcPr>
            <w:tcW w:w="100" w:type="dxa"/>
            <w:tcBorders/>
            <w:shd w:fill="CCEEFF" w:val="clear"/>
            <w:vAlign w:val="center"/>
          </w:tcPr>
          <w:p>
            <w:pPr>
              <w:pStyle w:val="TableContents"/>
              <w:spacing w:before="0" w:after="283"/>
              <w:ind w:left="0" w:right="0" w:hanging="0"/>
              <w:rPr/>
            </w:pPr>
            <w:r>
              <w:rPr/>
              <w:t> </w:t>
            </w:r>
          </w:p>
        </w:tc>
        <w:tc>
          <w:tcPr>
            <w:tcW w:w="208"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83"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52,242</w:t>
            </w:r>
          </w:p>
        </w:tc>
        <w:tc>
          <w:tcPr>
            <w:tcW w:w="60" w:type="dxa"/>
            <w:tcBorders/>
            <w:shd w:fill="CCEEFF" w:val="clear"/>
            <w:vAlign w:val="center"/>
          </w:tcPr>
          <w:p>
            <w:pPr>
              <w:pStyle w:val="TableContents"/>
              <w:spacing w:before="0" w:after="283"/>
              <w:rPr/>
            </w:pPr>
            <w:r>
              <w:rPr/>
              <w:t> </w:t>
            </w:r>
          </w:p>
        </w:tc>
      </w:tr>
    </w:tbl>
    <w:p>
      <w:pPr>
        <w:pStyle w:val="TextBody"/>
        <w:spacing w:before="0" w:after="0"/>
        <w:ind w:left="0" w:right="0" w:hanging="0"/>
        <w:jc w:val="left"/>
        <w:rPr/>
      </w:pPr>
      <w:r>
        <w:rPr/>
        <w:t> </w:t>
      </w:r>
    </w:p>
    <w:tbl>
      <w:tblPr>
        <w:tblW w:w="3799" w:type="dxa"/>
        <w:jc w:val="left"/>
        <w:tblInd w:w="0" w:type="dxa"/>
        <w:tblCellMar>
          <w:top w:w="0" w:type="dxa"/>
          <w:left w:w="0" w:type="dxa"/>
          <w:bottom w:w="0" w:type="dxa"/>
          <w:right w:w="0" w:type="dxa"/>
        </w:tblCellMar>
      </w:tblPr>
      <w:tblGrid>
        <w:gridCol w:w="1520"/>
        <w:gridCol w:w="60"/>
        <w:gridCol w:w="133"/>
        <w:gridCol w:w="741"/>
        <w:gridCol w:w="63"/>
        <w:gridCol w:w="63"/>
        <w:gridCol w:w="174"/>
        <w:gridCol w:w="970"/>
        <w:gridCol w:w="75"/>
      </w:tblGrid>
      <w:tr>
        <w:trPr/>
        <w:tc>
          <w:tcPr>
            <w:tcW w:w="152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144"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sz w:val="20"/>
              </w:rPr>
              <w:t>As of the period ended</w:t>
            </w:r>
          </w:p>
        </w:tc>
        <w:tc>
          <w:tcPr>
            <w:tcW w:w="75" w:type="dxa"/>
            <w:tcBorders/>
            <w:shd w:fill="FFFFFF" w:val="clear"/>
            <w:vAlign w:val="center"/>
          </w:tcPr>
          <w:p>
            <w:pPr>
              <w:pStyle w:val="TableContents"/>
              <w:spacing w:before="0" w:after="283"/>
              <w:rPr/>
            </w:pPr>
            <w:r>
              <w:rPr/>
              <w:t> </w:t>
            </w:r>
          </w:p>
        </w:tc>
      </w:tr>
      <w:tr>
        <w:trPr/>
        <w:tc>
          <w:tcPr>
            <w:tcW w:w="1520" w:type="dxa"/>
            <w:tcBorders/>
            <w:shd w:fill="FFFFFF" w:val="clear"/>
            <w:vAlign w:val="center"/>
          </w:tcPr>
          <w:p>
            <w:pPr>
              <w:pStyle w:val="TableContents"/>
              <w:spacing w:before="0" w:after="0"/>
              <w:rPr/>
            </w:pPr>
            <w:r>
              <w:rPr/>
              <w:t>​</w:t>
            </w:r>
          </w:p>
        </w:tc>
        <w:tc>
          <w:tcPr>
            <w:tcW w:w="60" w:type="dxa"/>
            <w:tcBorders/>
            <w:shd w:fill="FFFFFF" w:val="clear"/>
            <w:vAlign w:val="center"/>
          </w:tcPr>
          <w:p>
            <w:pPr>
              <w:pStyle w:val="TableContents"/>
              <w:spacing w:before="0" w:after="283"/>
              <w:ind w:left="0" w:right="0" w:hanging="0"/>
              <w:rPr/>
            </w:pPr>
            <w:r>
              <w:rPr/>
              <w:t> </w:t>
            </w:r>
          </w:p>
        </w:tc>
        <w:tc>
          <w:tcPr>
            <w:tcW w:w="87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sz w:val="20"/>
              </w:rPr>
              <w:t>March 31,</w:t>
            </w:r>
          </w:p>
        </w:tc>
        <w:tc>
          <w:tcPr>
            <w:tcW w:w="63" w:type="dxa"/>
            <w:tcBorders/>
            <w:shd w:fill="FFFFFF" w:val="clear"/>
            <w:vAlign w:val="center"/>
          </w:tcPr>
          <w:p>
            <w:pPr>
              <w:pStyle w:val="TableContents"/>
              <w:spacing w:before="0" w:after="283"/>
              <w:rPr/>
            </w:pPr>
            <w:r>
              <w:rPr/>
              <w:t> </w:t>
            </w:r>
          </w:p>
        </w:tc>
        <w:tc>
          <w:tcPr>
            <w:tcW w:w="63" w:type="dxa"/>
            <w:tcBorders/>
            <w:shd w:fill="FFFFFF" w:val="clear"/>
            <w:vAlign w:val="center"/>
          </w:tcPr>
          <w:p>
            <w:pPr>
              <w:pStyle w:val="TableContents"/>
              <w:spacing w:before="0" w:after="283"/>
              <w:ind w:left="0" w:right="0" w:hanging="0"/>
              <w:rPr/>
            </w:pPr>
            <w:r>
              <w:rPr/>
              <w:t> </w:t>
            </w:r>
          </w:p>
        </w:tc>
        <w:tc>
          <w:tcPr>
            <w:tcW w:w="114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sz w:val="20"/>
              </w:rPr>
              <w:t>December 31,</w:t>
            </w:r>
          </w:p>
        </w:tc>
        <w:tc>
          <w:tcPr>
            <w:tcW w:w="75" w:type="dxa"/>
            <w:tcBorders/>
            <w:shd w:fill="FFFFFF" w:val="clear"/>
            <w:vAlign w:val="center"/>
          </w:tcPr>
          <w:p>
            <w:pPr>
              <w:pStyle w:val="TableContents"/>
              <w:spacing w:before="0" w:after="283"/>
              <w:rPr/>
            </w:pPr>
            <w:r>
              <w:rPr/>
              <w:t> </w:t>
            </w:r>
          </w:p>
        </w:tc>
      </w:tr>
      <w:tr>
        <w:trPr/>
        <w:tc>
          <w:tcPr>
            <w:tcW w:w="1520" w:type="dxa"/>
            <w:tcBorders/>
            <w:shd w:fill="FFFFFF" w:val="clear"/>
            <w:vAlign w:val="center"/>
          </w:tcPr>
          <w:p>
            <w:pPr>
              <w:pStyle w:val="TableContents"/>
              <w:spacing w:before="0" w:after="0"/>
              <w:rPr/>
            </w:pPr>
            <w:r>
              <w:rPr/>
              <w:t>​</w:t>
            </w:r>
          </w:p>
        </w:tc>
        <w:tc>
          <w:tcPr>
            <w:tcW w:w="60" w:type="dxa"/>
            <w:tcBorders/>
            <w:shd w:fill="FFFFFF" w:val="clear"/>
            <w:vAlign w:val="center"/>
          </w:tcPr>
          <w:p>
            <w:pPr>
              <w:pStyle w:val="TableContents"/>
              <w:spacing w:before="0" w:after="283"/>
              <w:ind w:left="0" w:right="0" w:hanging="0"/>
              <w:rPr/>
            </w:pPr>
            <w:r>
              <w:rPr/>
              <w:t> </w:t>
            </w:r>
          </w:p>
        </w:tc>
        <w:tc>
          <w:tcPr>
            <w:tcW w:w="87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sz w:val="20"/>
              </w:rPr>
              <w:t>2023</w:t>
            </w:r>
          </w:p>
        </w:tc>
        <w:tc>
          <w:tcPr>
            <w:tcW w:w="63" w:type="dxa"/>
            <w:tcBorders/>
            <w:shd w:fill="FFFFFF" w:val="clear"/>
            <w:vAlign w:val="center"/>
          </w:tcPr>
          <w:p>
            <w:pPr>
              <w:pStyle w:val="TableContents"/>
              <w:spacing w:before="0" w:after="283"/>
              <w:rPr/>
            </w:pPr>
            <w:r>
              <w:rPr/>
              <w:t> </w:t>
            </w:r>
          </w:p>
        </w:tc>
        <w:tc>
          <w:tcPr>
            <w:tcW w:w="63" w:type="dxa"/>
            <w:tcBorders/>
            <w:shd w:fill="FFFFFF" w:val="clear"/>
            <w:vAlign w:val="center"/>
          </w:tcPr>
          <w:p>
            <w:pPr>
              <w:pStyle w:val="TableContents"/>
              <w:spacing w:before="0" w:after="283"/>
              <w:ind w:left="0" w:right="0" w:hanging="0"/>
              <w:rPr/>
            </w:pPr>
            <w:r>
              <w:rPr/>
              <w:t> </w:t>
            </w:r>
          </w:p>
        </w:tc>
        <w:tc>
          <w:tcPr>
            <w:tcW w:w="114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sz w:val="20"/>
              </w:rPr>
              <w:t>2022</w:t>
            </w:r>
          </w:p>
        </w:tc>
        <w:tc>
          <w:tcPr>
            <w:tcW w:w="75" w:type="dxa"/>
            <w:tcBorders/>
            <w:shd w:fill="FFFFFF" w:val="clear"/>
            <w:vAlign w:val="center"/>
          </w:tcPr>
          <w:p>
            <w:pPr>
              <w:pStyle w:val="TableContents"/>
              <w:spacing w:before="0" w:after="283"/>
              <w:rPr/>
            </w:pPr>
            <w:r>
              <w:rPr/>
              <w:t> </w:t>
            </w:r>
          </w:p>
        </w:tc>
      </w:tr>
      <w:tr>
        <w:trPr/>
        <w:tc>
          <w:tcPr>
            <w:tcW w:w="152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Long-lived assets:</w:t>
            </w:r>
          </w:p>
        </w:tc>
        <w:tc>
          <w:tcPr>
            <w:tcW w:w="60" w:type="dxa"/>
            <w:tcBorders/>
            <w:shd w:fill="CCEEFF" w:val="clear"/>
            <w:vAlign w:val="center"/>
          </w:tcPr>
          <w:p>
            <w:pPr>
              <w:pStyle w:val="TableContents"/>
              <w:spacing w:before="0" w:after="283"/>
              <w:ind w:left="0" w:right="0" w:hanging="0"/>
              <w:rPr/>
            </w:pPr>
            <w:r>
              <w:rPr/>
              <w:t> </w:t>
            </w:r>
          </w:p>
        </w:tc>
        <w:tc>
          <w:tcPr>
            <w:tcW w:w="874" w:type="dxa"/>
            <w:gridSpan w:val="2"/>
            <w:tcBorders/>
            <w:shd w:fill="CCEEFF" w:val="clear"/>
            <w:vAlign w:val="center"/>
          </w:tcPr>
          <w:p>
            <w:pPr>
              <w:pStyle w:val="TableContents"/>
              <w:spacing w:before="0" w:after="0"/>
              <w:ind w:left="0" w:right="0" w:hanging="0"/>
              <w:jc w:val="left"/>
              <w:rPr/>
            </w:pPr>
            <w:r>
              <w:rPr/>
              <w:t>​</w:t>
            </w:r>
          </w:p>
        </w:tc>
        <w:tc>
          <w:tcPr>
            <w:tcW w:w="63" w:type="dxa"/>
            <w:tcBorders/>
            <w:shd w:fill="CCEEFF" w:val="clear"/>
            <w:vAlign w:val="center"/>
          </w:tcPr>
          <w:p>
            <w:pPr>
              <w:pStyle w:val="TableContents"/>
              <w:spacing w:before="0" w:after="283"/>
              <w:rPr/>
            </w:pPr>
            <w:r>
              <w:rPr/>
              <w:t> </w:t>
            </w:r>
          </w:p>
        </w:tc>
        <w:tc>
          <w:tcPr>
            <w:tcW w:w="63" w:type="dxa"/>
            <w:tcBorders/>
            <w:shd w:fill="CCEEFF" w:val="clear"/>
            <w:vAlign w:val="center"/>
          </w:tcPr>
          <w:p>
            <w:pPr>
              <w:pStyle w:val="TableContents"/>
              <w:spacing w:before="0" w:after="283"/>
              <w:ind w:left="0" w:right="0" w:hanging="0"/>
              <w:rPr/>
            </w:pPr>
            <w:r>
              <w:rPr/>
              <w:t> </w:t>
            </w:r>
          </w:p>
        </w:tc>
        <w:tc>
          <w:tcPr>
            <w:tcW w:w="1144" w:type="dxa"/>
            <w:gridSpan w:val="2"/>
            <w:tcBorders/>
            <w:shd w:fill="CCEEFF" w:val="clear"/>
            <w:vAlign w:val="center"/>
          </w:tcPr>
          <w:p>
            <w:pPr>
              <w:pStyle w:val="TableContents"/>
              <w:spacing w:before="0" w:after="0"/>
              <w:ind w:left="0" w:right="0" w:hanging="0"/>
              <w:jc w:val="left"/>
              <w:rPr/>
            </w:pPr>
            <w:r>
              <w:rPr/>
              <w:t>​</w:t>
            </w:r>
          </w:p>
        </w:tc>
        <w:tc>
          <w:tcPr>
            <w:tcW w:w="75" w:type="dxa"/>
            <w:tcBorders/>
            <w:shd w:fill="CCEEFF" w:val="clear"/>
            <w:vAlign w:val="center"/>
          </w:tcPr>
          <w:p>
            <w:pPr>
              <w:pStyle w:val="TableContents"/>
              <w:spacing w:before="0" w:after="283"/>
              <w:rPr/>
            </w:pPr>
            <w:r>
              <w:rPr/>
              <w:t> </w:t>
            </w:r>
          </w:p>
        </w:tc>
      </w:tr>
      <w:tr>
        <w:trPr/>
        <w:tc>
          <w:tcPr>
            <w:tcW w:w="1520" w:type="dxa"/>
            <w:tcBorders/>
            <w:shd w:fill="FFFFFF" w:val="clear"/>
            <w:vAlign w:val="center"/>
          </w:tcPr>
          <w:p>
            <w:pPr>
              <w:pStyle w:val="TableContents"/>
              <w:spacing w:before="0" w:after="0"/>
              <w:ind w:left="180" w:right="0" w:hanging="0"/>
              <w:rPr>
                <w:rFonts w:ascii="Times New Roman" w:hAnsi="Times New Roman"/>
                <w:sz w:val="20"/>
              </w:rPr>
            </w:pPr>
            <w:r>
              <w:rPr>
                <w:rFonts w:ascii="Times New Roman" w:hAnsi="Times New Roman"/>
                <w:sz w:val="20"/>
              </w:rPr>
              <w:t>United States</w:t>
            </w:r>
          </w:p>
        </w:tc>
        <w:tc>
          <w:tcPr>
            <w:tcW w:w="60" w:type="dxa"/>
            <w:tcBorders/>
            <w:shd w:fill="FFFFFF" w:val="clear"/>
            <w:vAlign w:val="center"/>
          </w:tcPr>
          <w:p>
            <w:pPr>
              <w:pStyle w:val="TableContents"/>
              <w:spacing w:before="0" w:after="283"/>
              <w:ind w:left="0" w:right="0" w:hanging="0"/>
              <w:rPr/>
            </w:pPr>
            <w:r>
              <w:rPr/>
              <w:t> </w:t>
            </w:r>
          </w:p>
        </w:tc>
        <w:tc>
          <w:tcPr>
            <w:tcW w:w="133"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41"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78,048</w:t>
            </w:r>
          </w:p>
        </w:tc>
        <w:tc>
          <w:tcPr>
            <w:tcW w:w="63" w:type="dxa"/>
            <w:tcBorders/>
            <w:shd w:fill="FFFFFF" w:val="clear"/>
            <w:vAlign w:val="center"/>
          </w:tcPr>
          <w:p>
            <w:pPr>
              <w:pStyle w:val="TableContents"/>
              <w:spacing w:before="0" w:after="283"/>
              <w:rPr/>
            </w:pPr>
            <w:r>
              <w:rPr/>
              <w:t> </w:t>
            </w:r>
          </w:p>
        </w:tc>
        <w:tc>
          <w:tcPr>
            <w:tcW w:w="63" w:type="dxa"/>
            <w:tcBorders/>
            <w:shd w:fill="FFFFFF" w:val="clear"/>
            <w:vAlign w:val="center"/>
          </w:tcPr>
          <w:p>
            <w:pPr>
              <w:pStyle w:val="TableContents"/>
              <w:spacing w:before="0" w:after="283"/>
              <w:ind w:left="0" w:right="0" w:hanging="0"/>
              <w:rPr/>
            </w:pPr>
            <w:r>
              <w:rPr/>
              <w:t> </w:t>
            </w:r>
          </w:p>
        </w:tc>
        <w:tc>
          <w:tcPr>
            <w:tcW w:w="174"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7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80,048</w:t>
            </w:r>
          </w:p>
        </w:tc>
        <w:tc>
          <w:tcPr>
            <w:tcW w:w="75" w:type="dxa"/>
            <w:tcBorders/>
            <w:shd w:fill="FFFFFF" w:val="clear"/>
            <w:vAlign w:val="center"/>
          </w:tcPr>
          <w:p>
            <w:pPr>
              <w:pStyle w:val="TableContents"/>
              <w:spacing w:before="0" w:after="283"/>
              <w:rPr/>
            </w:pPr>
            <w:r>
              <w:rPr/>
              <w:t> </w:t>
            </w:r>
          </w:p>
        </w:tc>
      </w:tr>
      <w:tr>
        <w:trPr/>
        <w:tc>
          <w:tcPr>
            <w:tcW w:w="1520" w:type="dxa"/>
            <w:tcBorders/>
            <w:shd w:fill="CCEEFF" w:val="clear"/>
            <w:vAlign w:val="center"/>
          </w:tcPr>
          <w:p>
            <w:pPr>
              <w:pStyle w:val="TableContents"/>
              <w:spacing w:before="0" w:after="0"/>
              <w:ind w:left="180" w:right="0" w:hanging="0"/>
              <w:rPr>
                <w:rFonts w:ascii="Times New Roman" w:hAnsi="Times New Roman"/>
                <w:sz w:val="20"/>
              </w:rPr>
            </w:pPr>
            <w:r>
              <w:rPr>
                <w:rFonts w:ascii="Times New Roman" w:hAnsi="Times New Roman"/>
                <w:sz w:val="20"/>
              </w:rPr>
              <w:t>Taiwan</w:t>
            </w:r>
          </w:p>
        </w:tc>
        <w:tc>
          <w:tcPr>
            <w:tcW w:w="60" w:type="dxa"/>
            <w:tcBorders/>
            <w:shd w:fill="CCEEFF" w:val="clear"/>
            <w:vAlign w:val="center"/>
          </w:tcPr>
          <w:p>
            <w:pPr>
              <w:pStyle w:val="TableContents"/>
              <w:spacing w:before="0" w:after="283"/>
              <w:rPr/>
            </w:pPr>
            <w:r>
              <w:rPr/>
              <w:t> </w:t>
            </w:r>
          </w:p>
        </w:tc>
        <w:tc>
          <w:tcPr>
            <w:tcW w:w="133" w:type="dxa"/>
            <w:tcBorders/>
            <w:shd w:fill="CCEEFF" w:val="clear"/>
            <w:vAlign w:val="center"/>
          </w:tcPr>
          <w:p>
            <w:pPr>
              <w:pStyle w:val="TableContents"/>
              <w:spacing w:before="0" w:after="283"/>
              <w:ind w:left="0" w:right="0" w:hanging="0"/>
              <w:rPr/>
            </w:pPr>
            <w:r>
              <w:rPr/>
              <w:t> </w:t>
            </w:r>
          </w:p>
        </w:tc>
        <w:tc>
          <w:tcPr>
            <w:tcW w:w="741"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49,628</w:t>
            </w:r>
          </w:p>
        </w:tc>
        <w:tc>
          <w:tcPr>
            <w:tcW w:w="63" w:type="dxa"/>
            <w:tcBorders/>
            <w:shd w:fill="CCEEFF" w:val="clear"/>
            <w:vAlign w:val="center"/>
          </w:tcPr>
          <w:p>
            <w:pPr>
              <w:pStyle w:val="TableContents"/>
              <w:spacing w:before="0" w:after="283"/>
              <w:rPr/>
            </w:pPr>
            <w:r>
              <w:rPr/>
              <w:t> </w:t>
            </w:r>
          </w:p>
        </w:tc>
        <w:tc>
          <w:tcPr>
            <w:tcW w:w="63"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ind w:left="0" w:right="0" w:hanging="0"/>
              <w:rPr/>
            </w:pPr>
            <w:r>
              <w:rPr/>
              <w:t> </w:t>
            </w:r>
          </w:p>
        </w:tc>
        <w:tc>
          <w:tcPr>
            <w:tcW w:w="97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50,777</w:t>
            </w:r>
          </w:p>
        </w:tc>
        <w:tc>
          <w:tcPr>
            <w:tcW w:w="75" w:type="dxa"/>
            <w:tcBorders/>
            <w:shd w:fill="CCEEFF" w:val="clear"/>
            <w:vAlign w:val="center"/>
          </w:tcPr>
          <w:p>
            <w:pPr>
              <w:pStyle w:val="TableContents"/>
              <w:spacing w:before="0" w:after="283"/>
              <w:rPr/>
            </w:pPr>
            <w:r>
              <w:rPr/>
              <w:t> </w:t>
            </w:r>
          </w:p>
        </w:tc>
      </w:tr>
      <w:tr>
        <w:trPr/>
        <w:tc>
          <w:tcPr>
            <w:tcW w:w="1520" w:type="dxa"/>
            <w:tcBorders/>
            <w:shd w:fill="FFFFFF" w:val="clear"/>
            <w:vAlign w:val="center"/>
          </w:tcPr>
          <w:p>
            <w:pPr>
              <w:pStyle w:val="TableContents"/>
              <w:spacing w:before="0" w:after="0"/>
              <w:ind w:left="180" w:right="0" w:hanging="0"/>
              <w:rPr>
                <w:rFonts w:ascii="Times New Roman" w:hAnsi="Times New Roman"/>
                <w:sz w:val="20"/>
              </w:rPr>
            </w:pPr>
            <w:r>
              <w:rPr>
                <w:rFonts w:ascii="Times New Roman" w:hAnsi="Times New Roman"/>
                <w:sz w:val="20"/>
              </w:rPr>
              <w:t>China</w:t>
            </w:r>
          </w:p>
        </w:tc>
        <w:tc>
          <w:tcPr>
            <w:tcW w:w="60" w:type="dxa"/>
            <w:tcBorders/>
            <w:shd w:fill="FFFFFF" w:val="clear"/>
            <w:vAlign w:val="center"/>
          </w:tcPr>
          <w:p>
            <w:pPr>
              <w:pStyle w:val="TableContents"/>
              <w:spacing w:before="0" w:after="283"/>
              <w:rPr/>
            </w:pPr>
            <w:r>
              <w:rPr/>
              <w:t> </w:t>
            </w:r>
          </w:p>
        </w:tc>
        <w:tc>
          <w:tcPr>
            <w:tcW w:w="133"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741"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93,828</w:t>
            </w:r>
          </w:p>
        </w:tc>
        <w:tc>
          <w:tcPr>
            <w:tcW w:w="63" w:type="dxa"/>
            <w:tcBorders/>
            <w:shd w:fill="FFFFFF" w:val="clear"/>
            <w:vAlign w:val="center"/>
          </w:tcPr>
          <w:p>
            <w:pPr>
              <w:pStyle w:val="TableContents"/>
              <w:spacing w:before="0" w:after="283"/>
              <w:rPr/>
            </w:pPr>
            <w:r>
              <w:rPr/>
              <w:t> </w:t>
            </w:r>
          </w:p>
        </w:tc>
        <w:tc>
          <w:tcPr>
            <w:tcW w:w="63" w:type="dxa"/>
            <w:tcBorders/>
            <w:shd w:fill="FFFFFF" w:val="clear"/>
            <w:vAlign w:val="center"/>
          </w:tcPr>
          <w:p>
            <w:pPr>
              <w:pStyle w:val="TableContents"/>
              <w:spacing w:before="0" w:after="283"/>
              <w:rPr/>
            </w:pPr>
            <w:r>
              <w:rPr/>
              <w:t> </w:t>
            </w:r>
          </w:p>
        </w:tc>
        <w:tc>
          <w:tcPr>
            <w:tcW w:w="174"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97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93,888</w:t>
            </w:r>
          </w:p>
        </w:tc>
        <w:tc>
          <w:tcPr>
            <w:tcW w:w="75" w:type="dxa"/>
            <w:tcBorders/>
            <w:shd w:fill="FFFFFF" w:val="clear"/>
            <w:vAlign w:val="center"/>
          </w:tcPr>
          <w:p>
            <w:pPr>
              <w:pStyle w:val="TableContents"/>
              <w:spacing w:before="0" w:after="283"/>
              <w:rPr/>
            </w:pPr>
            <w:r>
              <w:rPr/>
              <w:t> </w:t>
            </w:r>
          </w:p>
        </w:tc>
      </w:tr>
      <w:tr>
        <w:trPr/>
        <w:tc>
          <w:tcPr>
            <w:tcW w:w="1520" w:type="dxa"/>
            <w:tcBorders/>
            <w:shd w:fill="CCEEFF" w:val="clear"/>
            <w:vAlign w:val="center"/>
          </w:tcPr>
          <w:p>
            <w:pPr>
              <w:pStyle w:val="TableContents"/>
              <w:spacing w:before="0" w:after="0"/>
              <w:rPr/>
            </w:pPr>
            <w:r>
              <w:rPr/>
              <w:t>​</w:t>
            </w:r>
          </w:p>
        </w:tc>
        <w:tc>
          <w:tcPr>
            <w:tcW w:w="60" w:type="dxa"/>
            <w:tcBorders/>
            <w:shd w:fill="CCEEFF" w:val="clear"/>
            <w:vAlign w:val="center"/>
          </w:tcPr>
          <w:p>
            <w:pPr>
              <w:pStyle w:val="TableContents"/>
              <w:spacing w:before="0" w:after="283"/>
              <w:ind w:left="0" w:right="0" w:hanging="0"/>
              <w:rPr/>
            </w:pPr>
            <w:r>
              <w:rPr/>
              <w:t> </w:t>
            </w:r>
          </w:p>
        </w:tc>
        <w:tc>
          <w:tcPr>
            <w:tcW w:w="133"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41"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221,504</w:t>
            </w:r>
          </w:p>
        </w:tc>
        <w:tc>
          <w:tcPr>
            <w:tcW w:w="63" w:type="dxa"/>
            <w:tcBorders/>
            <w:shd w:fill="CCEEFF" w:val="clear"/>
            <w:vAlign w:val="center"/>
          </w:tcPr>
          <w:p>
            <w:pPr>
              <w:pStyle w:val="TableContents"/>
              <w:spacing w:before="0" w:after="283"/>
              <w:rPr/>
            </w:pPr>
            <w:r>
              <w:rPr/>
              <w:t> </w:t>
            </w:r>
          </w:p>
        </w:tc>
        <w:tc>
          <w:tcPr>
            <w:tcW w:w="63" w:type="dxa"/>
            <w:tcBorders/>
            <w:shd w:fill="CCEEFF" w:val="clear"/>
            <w:vAlign w:val="center"/>
          </w:tcPr>
          <w:p>
            <w:pPr>
              <w:pStyle w:val="TableContents"/>
              <w:spacing w:before="0" w:after="283"/>
              <w:ind w:left="0" w:right="0" w:hanging="0"/>
              <w:rPr/>
            </w:pPr>
            <w:r>
              <w:rPr/>
              <w:t> </w:t>
            </w:r>
          </w:p>
        </w:tc>
        <w:tc>
          <w:tcPr>
            <w:tcW w:w="174"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7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224,713</w:t>
            </w:r>
          </w:p>
        </w:tc>
        <w:tc>
          <w:tcPr>
            <w:tcW w:w="75" w:type="dxa"/>
            <w:tcBorders/>
            <w:shd w:fill="CCEEFF" w:val="clear"/>
            <w:vAlign w:val="center"/>
          </w:tcPr>
          <w:p>
            <w:pPr>
              <w:pStyle w:val="TableContents"/>
              <w:spacing w:before="0" w:after="283"/>
              <w:rPr/>
            </w:pPr>
            <w:r>
              <w:rPr/>
              <w:t> </w:t>
            </w:r>
          </w:p>
        </w:tc>
      </w:tr>
    </w:tbl>
    <w:p>
      <w:pPr>
        <w:pStyle w:val="TextBody"/>
        <w:spacing w:before="0" w:after="0"/>
        <w:ind w:left="0" w:right="0" w:hanging="0"/>
        <w:jc w:val="left"/>
        <w:rPr/>
      </w:pPr>
      <w:r>
        <w:rPr/>
        <w:t>​</w:t>
      </w:r>
    </w:p>
    <w:p>
      <w:pPr>
        <w:pStyle w:val="TextBody"/>
        <w:spacing w:before="0" w:after="0"/>
        <w:jc w:val="center"/>
        <w:rPr/>
      </w:pPr>
      <w:r>
        <w:rPr>
          <w:rStyle w:val="Emphasis"/>
          <w:rFonts w:ascii="Times New Roman" w:hAnsi="Times New Roman"/>
          <w:sz w:val="20"/>
        </w:rPr>
        <w:t>20</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rPr/>
      </w:pPr>
      <w:r>
        <w:rPr/>
        <w:t xml:space="preserve">  </w:t>
      </w:r>
    </w:p>
    <w:p>
      <w:pPr>
        <w:pStyle w:val="TextBody"/>
        <w:rPr/>
      </w:pPr>
      <w:r>
        <w:rPr/>
        <w:t xml:space="preserve">  </w:t>
      </w:r>
    </w:p>
    <w:p>
      <w:pPr>
        <w:pStyle w:val="TextBody"/>
        <w:spacing w:before="0" w:after="0"/>
        <w:ind w:left="0" w:right="0" w:hanging="0"/>
        <w:jc w:val="left"/>
        <w:rPr/>
      </w:pPr>
      <w:r>
        <w:rPr>
          <w:rFonts w:ascii="Times New Roman;Times;serif" w:hAnsi="Times New Roman;Times;serif"/>
          <w:b/>
          <w:sz w:val="20"/>
        </w:rPr>
        <w:t xml:space="preserve">Note </w:t>
      </w:r>
      <w:r>
        <w:rPr>
          <w:rStyle w:val="Emphasis"/>
          <w:rFonts w:ascii="Times New Roman;Times;serif" w:hAnsi="Times New Roman;Times;serif"/>
          <w:b/>
          <w:sz w:val="20"/>
        </w:rPr>
        <w:t>18.</w:t>
      </w:r>
      <w:r>
        <w:rPr>
          <w:rFonts w:ascii="Times New Roman;Times;serif" w:hAnsi="Times New Roman;Times;serif"/>
          <w:b/>
          <w:sz w:val="20"/>
        </w:rPr>
        <w:t>  Contingencies</w:t>
      </w:r>
    </w:p>
    <w:p>
      <w:pPr>
        <w:pStyle w:val="TextBody"/>
        <w:spacing w:before="0" w:after="0"/>
        <w:ind w:left="0" w:right="0" w:hanging="0"/>
        <w:jc w:val="left"/>
        <w:rPr/>
      </w:pPr>
      <w:r>
        <w:rPr/>
        <w:t>​</w:t>
      </w:r>
    </w:p>
    <w:p>
      <w:pPr>
        <w:pStyle w:val="TextBody"/>
        <w:spacing w:before="0" w:after="0"/>
        <w:ind w:left="0" w:right="0" w:hanging="0"/>
        <w:jc w:val="left"/>
        <w:rPr>
          <w:rFonts w:ascii="Times New Roman;Times;serif" w:hAnsi="Times New Roman;Times;serif"/>
          <w:b/>
          <w:i/>
          <w:sz w:val="20"/>
        </w:rPr>
      </w:pPr>
      <w:r>
        <w:rPr>
          <w:rFonts w:ascii="Times New Roman;Times;serif" w:hAnsi="Times New Roman;Times;serif"/>
          <w:b/>
          <w:i/>
          <w:sz w:val="20"/>
        </w:rPr>
        <w:t>Litigation</w:t>
      </w:r>
    </w:p>
    <w:p>
      <w:pPr>
        <w:pStyle w:val="TextBody"/>
        <w:spacing w:before="0" w:after="0"/>
        <w:ind w:left="0" w:right="0" w:hanging="0"/>
        <w:jc w:val="left"/>
        <w:rPr/>
      </w:pPr>
      <w:r>
        <w:rPr/>
        <w:t>​</w:t>
      </w:r>
    </w:p>
    <w:p>
      <w:pPr>
        <w:pStyle w:val="TextBody"/>
        <w:spacing w:before="0" w:after="0"/>
        <w:ind w:left="0" w:right="0" w:hanging="0"/>
        <w:jc w:val="left"/>
        <w:rPr>
          <w:rFonts w:ascii="Times New Roman;Times;serif" w:hAnsi="Times New Roman;Times;serif"/>
          <w:i/>
          <w:sz w:val="20"/>
        </w:rPr>
      </w:pPr>
      <w:r>
        <w:rPr>
          <w:rFonts w:ascii="Times New Roman;Times;serif" w:hAnsi="Times New Roman;Times;serif"/>
          <w:i/>
          <w:sz w:val="20"/>
        </w:rPr>
        <w:t>Overview</w:t>
      </w:r>
    </w:p>
    <w:p>
      <w:pPr>
        <w:pStyle w:val="TextBody"/>
        <w:spacing w:before="0" w:after="0"/>
        <w:rPr/>
      </w:pPr>
      <w:r>
        <w:rPr/>
        <w:t> </w:t>
      </w:r>
    </w:p>
    <w:p>
      <w:pPr>
        <w:pStyle w:val="TextBody"/>
        <w:spacing w:before="0" w:after="0"/>
        <w:ind w:left="0" w:right="0" w:firstLine="720"/>
        <w:jc w:val="left"/>
        <w:rPr/>
      </w:pPr>
      <w:r>
        <w:rPr>
          <w:rFonts w:ascii="Times New Roman;Times;serif" w:hAnsi="Times New Roman;Times;serif"/>
          <w:sz w:val="20"/>
        </w:rPr>
        <w:t xml:space="preserve">From time to time, the Company </w:t>
      </w:r>
      <w:r>
        <w:rPr>
          <w:rStyle w:val="Emphasis"/>
          <w:rFonts w:ascii="Times New Roman;Times;serif" w:hAnsi="Times New Roman;Times;serif"/>
          <w:sz w:val="20"/>
        </w:rPr>
        <w:t xml:space="preserve">may </w:t>
      </w:r>
      <w:r>
        <w:rPr>
          <w:rFonts w:ascii="Times New Roman;Times;serif" w:hAnsi="Times New Roman;Times;serif"/>
          <w:sz w:val="20"/>
        </w:rPr>
        <w:t xml:space="preserve">be subject to legal proceedings and litigation arising in the ordinary course of business, including, but </w:t>
      </w:r>
      <w:r>
        <w:rPr>
          <w:rStyle w:val="Emphasis"/>
          <w:rFonts w:ascii="Times New Roman;Times;serif" w:hAnsi="Times New Roman;Times;serif"/>
          <w:sz w:val="20"/>
        </w:rPr>
        <w:t>not</w:t>
      </w:r>
      <w:r>
        <w:rPr>
          <w:rFonts w:ascii="Times New Roman;Times;serif" w:hAnsi="Times New Roman;Times;serif"/>
          <w:sz w:val="20"/>
        </w:rPr>
        <w:t xml:space="preserve"> limited to, inquiries, investigations, audits and other regulatory proceedings, such as described below. The Company records a loss provision when it believes it is both probable that a liability has been incurred and the amount can be reasonably estimated.</w:t>
      </w:r>
    </w:p>
    <w:p>
      <w:pPr>
        <w:pStyle w:val="TextBody"/>
        <w:spacing w:before="0" w:after="0"/>
        <w:rPr/>
      </w:pPr>
      <w:r>
        <w:rPr/>
        <w:t> </w:t>
      </w:r>
    </w:p>
    <w:p>
      <w:pPr>
        <w:pStyle w:val="TextBody"/>
        <w:spacing w:before="0" w:after="0"/>
        <w:ind w:left="0" w:right="0" w:firstLine="720"/>
        <w:jc w:val="left"/>
        <w:rPr/>
      </w:pPr>
      <w:r>
        <w:rPr>
          <w:rFonts w:ascii="Times New Roman;Times;serif" w:hAnsi="Times New Roman;Times;serif"/>
          <w:sz w:val="20"/>
          <w:highlight w:val="white"/>
        </w:rPr>
        <w:t xml:space="preserve">The Company believes that there are </w:t>
      </w:r>
      <w:r>
        <w:rPr>
          <w:rStyle w:val="Emphasis"/>
          <w:rFonts w:ascii="Times New Roman;Times;serif" w:hAnsi="Times New Roman;Times;serif"/>
          <w:sz w:val="20"/>
          <w:highlight w:val="white"/>
        </w:rPr>
        <w:t>no</w:t>
      </w:r>
      <w:r>
        <w:rPr>
          <w:rFonts w:ascii="Times New Roman;Times;serif" w:hAnsi="Times New Roman;Times;serif"/>
          <w:sz w:val="20"/>
          <w:highlight w:val="white"/>
        </w:rPr>
        <w:t xml:space="preserve"> claims or actions pending or threatened against it, the ultimate disposition of which would have a material adverse effect on it.</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Other Contingencies</w:t>
      </w:r>
    </w:p>
    <w:p>
      <w:pPr>
        <w:pStyle w:val="TextBody"/>
        <w:spacing w:before="0" w:after="0"/>
        <w:ind w:left="0" w:right="0" w:firstLine="720"/>
        <w:jc w:val="left"/>
        <w:rPr>
          <w:caps w:val="false"/>
          <w:smallCaps w:val="false"/>
        </w:rPr>
      </w:pPr>
      <w:r>
        <w:rPr>
          <w:caps w:val="false"/>
          <w:smallCaps w:val="false"/>
        </w:rPr>
        <w:t> </w:t>
      </w:r>
    </w:p>
    <w:p>
      <w:pPr>
        <w:pStyle w:val="TextBody"/>
        <w:spacing w:before="0" w:after="0"/>
        <w:ind w:left="0" w:right="0" w:firstLine="720"/>
        <w:jc w:val="left"/>
        <w:rPr/>
      </w:pPr>
      <w:r>
        <w:rPr>
          <w:rFonts w:ascii="Times New Roman" w:hAnsi="Times New Roman"/>
          <w:caps w:val="false"/>
          <w:smallCaps w:val="false"/>
          <w:sz w:val="20"/>
          <w:highlight w:val="white"/>
        </w:rPr>
        <w:t>On </w:t>
      </w:r>
      <w:r>
        <w:rPr>
          <w:rStyle w:val="Emphasis"/>
          <w:rFonts w:ascii="Times New Roman" w:hAnsi="Times New Roman"/>
          <w:caps w:val="false"/>
          <w:smallCaps w:val="false"/>
          <w:sz w:val="20"/>
          <w:highlight w:val="white"/>
        </w:rPr>
        <w:t xml:space="preserve"> August 9, 2021, </w:t>
      </w:r>
      <w:r>
        <w:rPr>
          <w:rFonts w:ascii="Times New Roman" w:hAnsi="Times New Roman"/>
          <w:caps w:val="false"/>
          <w:smallCaps w:val="false"/>
          <w:sz w:val="20"/>
          <w:highlight w:val="white"/>
        </w:rPr>
        <w:t>the Company has received a Taxes Notification of Audit Result (“Notice”) from the Texas Comptroller’s Office (the “Comptroller”), for fiscal years between </w:t>
      </w:r>
      <w:r>
        <w:rPr>
          <w:rStyle w:val="Emphasis"/>
          <w:rFonts w:ascii="Times New Roman" w:hAnsi="Times New Roman"/>
          <w:caps w:val="false"/>
          <w:smallCaps w:val="false"/>
          <w:sz w:val="20"/>
          <w:highlight w:val="white"/>
        </w:rPr>
        <w:t>2016</w:t>
      </w:r>
      <w:r>
        <w:rPr>
          <w:rFonts w:ascii="Times New Roman" w:hAnsi="Times New Roman"/>
          <w:caps w:val="false"/>
          <w:smallCaps w:val="false"/>
          <w:sz w:val="20"/>
          <w:highlight w:val="white"/>
        </w:rPr>
        <w:t> and </w:t>
      </w:r>
      <w:r>
        <w:rPr>
          <w:rStyle w:val="Emphasis"/>
          <w:rFonts w:ascii="Times New Roman" w:hAnsi="Times New Roman"/>
          <w:caps w:val="false"/>
          <w:smallCaps w:val="false"/>
          <w:sz w:val="20"/>
          <w:highlight w:val="white"/>
        </w:rPr>
        <w:t>2019,</w:t>
      </w:r>
      <w:r>
        <w:rPr>
          <w:rFonts w:ascii="Times New Roman" w:hAnsi="Times New Roman"/>
          <w:caps w:val="false"/>
          <w:smallCaps w:val="false"/>
          <w:sz w:val="20"/>
          <w:highlight w:val="white"/>
        </w:rPr>
        <w:t> informing the Company that the Comptroller believes the Company did </w:t>
      </w:r>
      <w:r>
        <w:rPr>
          <w:rStyle w:val="Emphasis"/>
          <w:rFonts w:ascii="Times New Roman" w:hAnsi="Times New Roman"/>
          <w:caps w:val="false"/>
          <w:smallCaps w:val="false"/>
          <w:sz w:val="20"/>
          <w:highlight w:val="white"/>
        </w:rPr>
        <w:t>not</w:t>
      </w:r>
      <w:r>
        <w:rPr>
          <w:rFonts w:ascii="Times New Roman" w:hAnsi="Times New Roman"/>
          <w:caps w:val="false"/>
          <w:smallCaps w:val="false"/>
          <w:sz w:val="20"/>
          <w:highlight w:val="white"/>
        </w:rPr>
        <w:t xml:space="preserve"> qualify for certain sales and use tax exemptions on various Research and Development purchases and accordingly the Company is liable for Sale and Use Tax in the amount of approximately $1.0 million including interest charges. The Company paid $0.4 million for the tax notice in </w:t>
      </w:r>
      <w:r>
        <w:rPr>
          <w:rStyle w:val="Emphasis"/>
          <w:rFonts w:ascii="Times New Roman" w:hAnsi="Times New Roman"/>
          <w:caps w:val="false"/>
          <w:smallCaps w:val="false"/>
          <w:sz w:val="20"/>
          <w:highlight w:val="white"/>
        </w:rPr>
        <w:t xml:space="preserve">May 2021, </w:t>
      </w:r>
      <w:r>
        <w:rPr>
          <w:rFonts w:ascii="Times New Roman" w:hAnsi="Times New Roman"/>
          <w:caps w:val="false"/>
          <w:smallCaps w:val="false"/>
          <w:sz w:val="20"/>
          <w:highlight w:val="white"/>
        </w:rPr>
        <w:t>but challenged the remaining tax assessments and vigorously defended its position. </w:t>
      </w:r>
      <w:r>
        <w:rPr>
          <w:rFonts w:ascii="Times New Roman" w:hAnsi="Times New Roman"/>
          <w:caps w:val="false"/>
          <w:smallCaps w:val="false"/>
          <w:sz w:val="20"/>
        </w:rPr>
        <w:t xml:space="preserve">The Comptroller’s office exhausted its redetermination period and therefore moved AOI’s case to the hearing process. In </w:t>
      </w:r>
      <w:r>
        <w:rPr>
          <w:rStyle w:val="Emphasis"/>
          <w:rFonts w:ascii="Times New Roman" w:hAnsi="Times New Roman"/>
          <w:caps w:val="false"/>
          <w:smallCaps w:val="false"/>
          <w:sz w:val="20"/>
        </w:rPr>
        <w:t xml:space="preserve">April 2023 </w:t>
      </w:r>
      <w:r>
        <w:rPr>
          <w:rFonts w:ascii="Times New Roman" w:hAnsi="Times New Roman"/>
          <w:caps w:val="false"/>
          <w:smallCaps w:val="false"/>
          <w:sz w:val="20"/>
        </w:rPr>
        <w:t>the Company received a notice from an attorney representing the Administrative Hearings Section ("AHS") to issue a Position Letter.</w:t>
      </w:r>
    </w:p>
    <w:p>
      <w:pPr>
        <w:pStyle w:val="TextBody"/>
        <w:spacing w:before="0" w:after="0"/>
        <w:ind w:left="0" w:right="0" w:firstLine="720"/>
        <w:jc w:val="left"/>
        <w:rPr/>
      </w:pPr>
      <w:r>
        <w:rPr/>
        <w:t> </w:t>
      </w:r>
    </w:p>
    <w:p>
      <w:pPr>
        <w:pStyle w:val="TextBody"/>
        <w:rPr/>
      </w:pPr>
      <w:r>
        <w:rPr/>
        <w:t xml:space="preserve">  </w:t>
      </w:r>
    </w:p>
    <w:p>
      <w:pPr>
        <w:pStyle w:val="TextBody"/>
        <w:spacing w:before="0" w:after="0"/>
        <w:ind w:left="0" w:right="0" w:hanging="0"/>
        <w:jc w:val="left"/>
        <w:rPr/>
      </w:pPr>
      <w:r>
        <w:rPr>
          <w:rFonts w:ascii="Times New Roman;Times;serif" w:hAnsi="Times New Roman;Times;serif"/>
          <w:b/>
          <w:sz w:val="20"/>
        </w:rPr>
        <w:t xml:space="preserve">Note </w:t>
      </w:r>
      <w:r>
        <w:rPr>
          <w:rStyle w:val="Emphasis"/>
          <w:rFonts w:ascii="Times New Roman;Times;serif" w:hAnsi="Times New Roman;Times;serif"/>
          <w:b/>
          <w:sz w:val="20"/>
        </w:rPr>
        <w:t>19.</w:t>
      </w:r>
      <w:r>
        <w:rPr>
          <w:rFonts w:ascii="Times New Roman;Times;serif" w:hAnsi="Times New Roman;Times;serif"/>
          <w:b/>
          <w:sz w:val="20"/>
        </w:rPr>
        <w:t>  Subsequent Events</w:t>
      </w:r>
    </w:p>
    <w:p>
      <w:pPr>
        <w:pStyle w:val="TextBody"/>
        <w:spacing w:before="0" w:after="0"/>
        <w:ind w:left="0" w:right="0" w:hanging="0"/>
        <w:jc w:val="left"/>
        <w:rPr>
          <w:highlight w:val="white"/>
        </w:rPr>
      </w:pPr>
      <w:r>
        <w:rPr>
          <w:highlight w:val="white"/>
        </w:rPr>
        <w:t>​</w:t>
      </w:r>
    </w:p>
    <w:p>
      <w:pPr>
        <w:pStyle w:val="TextBody"/>
        <w:spacing w:before="0" w:after="0"/>
        <w:ind w:left="0" w:right="0" w:firstLine="720"/>
        <w:jc w:val="left"/>
        <w:rPr/>
      </w:pPr>
      <w:r>
        <w:rPr>
          <w:rFonts w:ascii="Times New Roman;Times;serif" w:hAnsi="Times New Roman;Times;serif"/>
          <w:sz w:val="20"/>
          <w:highlight w:val="white"/>
        </w:rPr>
        <w:t>T</w:t>
      </w:r>
      <w:r>
        <w:rPr>
          <w:rFonts w:ascii="Times New Roman;Times;serif" w:hAnsi="Times New Roman;Times;serif"/>
          <w:sz w:val="20"/>
        </w:rPr>
        <w:t xml:space="preserve">he Company repaid its revolving bank line of credit with CIT Northbridge Credit, LLC in the amount of $2 million on </w:t>
      </w:r>
      <w:r>
        <w:rPr>
          <w:rStyle w:val="Emphasis"/>
          <w:rFonts w:ascii="Times New Roman;Times;serif" w:hAnsi="Times New Roman;Times;serif"/>
          <w:sz w:val="20"/>
        </w:rPr>
        <w:t>April 3, 2023.</w:t>
      </w:r>
    </w:p>
    <w:p>
      <w:pPr>
        <w:pStyle w:val="TextBody"/>
        <w:spacing w:before="0" w:after="0"/>
        <w:rPr/>
      </w:pPr>
      <w:r>
        <w:rPr/>
        <w:t> </w:t>
      </w:r>
    </w:p>
    <w:p>
      <w:pPr>
        <w:pStyle w:val="TextBody"/>
        <w:spacing w:before="0" w:after="0"/>
        <w:ind w:left="0" w:right="0" w:firstLine="720"/>
        <w:rPr/>
      </w:pPr>
      <w:r>
        <w:rPr>
          <w:rFonts w:ascii="Times New Roman;Times;serif" w:hAnsi="Times New Roman;Times;serif"/>
          <w:sz w:val="20"/>
        </w:rPr>
        <w:t xml:space="preserve">In </w:t>
      </w:r>
      <w:r>
        <w:rPr>
          <w:rStyle w:val="Emphasis"/>
          <w:rFonts w:ascii="Times New Roman;Times;serif" w:hAnsi="Times New Roman;Times;serif"/>
          <w:sz w:val="20"/>
        </w:rPr>
        <w:t xml:space="preserve">April 2023, </w:t>
      </w:r>
      <w:r>
        <w:rPr>
          <w:rFonts w:ascii="Times New Roman;Times;serif" w:hAnsi="Times New Roman;Times;serif"/>
          <w:sz w:val="20"/>
        </w:rPr>
        <w:t xml:space="preserve">the Company received notice from the California Department of Tax and Fee Administration regarding a sales tax audit to be performed in </w:t>
      </w:r>
      <w:r>
        <w:rPr>
          <w:rStyle w:val="Emphasis"/>
          <w:rFonts w:ascii="Times New Roman;Times;serif" w:hAnsi="Times New Roman;Times;serif"/>
          <w:sz w:val="20"/>
        </w:rPr>
        <w:t xml:space="preserve">May 2023 </w:t>
      </w:r>
      <w:r>
        <w:rPr>
          <w:rFonts w:ascii="Times New Roman;Times;serif" w:hAnsi="Times New Roman;Times;serif"/>
          <w:sz w:val="20"/>
        </w:rPr>
        <w:t xml:space="preserve">for the period from </w:t>
      </w:r>
      <w:r>
        <w:rPr>
          <w:rStyle w:val="Emphasis"/>
          <w:rFonts w:ascii="Times New Roman;Times;serif" w:hAnsi="Times New Roman;Times;serif"/>
          <w:sz w:val="20"/>
        </w:rPr>
        <w:t xml:space="preserve">January 1, 2020 </w:t>
      </w:r>
      <w:r>
        <w:rPr>
          <w:rFonts w:ascii="Times New Roman;Times;serif" w:hAnsi="Times New Roman;Times;serif"/>
          <w:sz w:val="20"/>
        </w:rPr>
        <w:t xml:space="preserve">through </w:t>
      </w:r>
      <w:r>
        <w:rPr>
          <w:rStyle w:val="Emphasis"/>
          <w:rFonts w:ascii="Times New Roman;Times;serif" w:hAnsi="Times New Roman;Times;serif"/>
          <w:sz w:val="20"/>
        </w:rPr>
        <w:t xml:space="preserve">December 21, 2022. </w:t>
      </w:r>
      <w:r>
        <w:rPr>
          <w:rFonts w:ascii="Times New Roman;Times;serif" w:hAnsi="Times New Roman;Times;serif"/>
          <w:sz w:val="20"/>
        </w:rPr>
        <w:t xml:space="preserve">This is in the early stages and the audit has </w:t>
      </w:r>
      <w:r>
        <w:rPr>
          <w:rStyle w:val="Emphasis"/>
          <w:rFonts w:ascii="Times New Roman;Times;serif" w:hAnsi="Times New Roman;Times;serif"/>
          <w:sz w:val="20"/>
        </w:rPr>
        <w:t>not</w:t>
      </w:r>
      <w:r>
        <w:rPr>
          <w:rFonts w:ascii="Times New Roman;Times;serif" w:hAnsi="Times New Roman;Times;serif"/>
          <w:sz w:val="20"/>
        </w:rPr>
        <w:t xml:space="preserve"> begun, therefore management is unable to assess if any incremental taxes, interest or penalties would be due.</w:t>
      </w:r>
    </w:p>
    <w:p>
      <w:pPr>
        <w:pStyle w:val="TextBody"/>
        <w:spacing w:before="0" w:after="0"/>
        <w:ind w:left="0" w:right="0" w:firstLine="720"/>
        <w:rPr/>
      </w:pPr>
      <w:r>
        <w:rPr/>
        <w:t> </w:t>
      </w:r>
    </w:p>
    <w:p>
      <w:pPr>
        <w:pStyle w:val="TextBody"/>
        <w:spacing w:before="0" w:after="0"/>
        <w:jc w:val="center"/>
        <w:rPr/>
      </w:pPr>
      <w:r>
        <w:rPr>
          <w:rStyle w:val="Emphasis"/>
          <w:rFonts w:ascii="Times New Roman" w:hAnsi="Times New Roman"/>
          <w:sz w:val="20"/>
        </w:rPr>
        <w:t>21</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rPr/>
      </w:pPr>
      <w:r>
        <w:rPr/>
        <w:t xml:space="preserve">  </w:t>
      </w:r>
    </w:p>
    <w:p>
      <w:pPr>
        <w:pStyle w:val="TextBody"/>
        <w:rPr/>
      </w:pPr>
      <w:r>
        <w:rPr/>
        <w:t xml:space="preserve">  </w:t>
      </w:r>
    </w:p>
    <w:p>
      <w:pPr>
        <w:pStyle w:val="TextBody"/>
        <w:spacing w:before="0" w:after="0"/>
        <w:ind w:left="0" w:right="0" w:hanging="0"/>
        <w:jc w:val="left"/>
        <w:rPr>
          <w:rFonts w:ascii="Times New Roman;Times;serif" w:hAnsi="Times New Roman;Times;serif"/>
          <w:b/>
          <w:sz w:val="20"/>
        </w:rPr>
      </w:pPr>
      <w:bookmarkStart w:id="11" w:name="item2"/>
      <w:bookmarkEnd w:id="11"/>
      <w:r>
        <w:rPr>
          <w:rFonts w:ascii="Times New Roman;Times;serif" w:hAnsi="Times New Roman;Times;serif"/>
          <w:b/>
          <w:sz w:val="20"/>
        </w:rPr>
        <w:t>Item 2.   Management’s Discussion and Analysis of Financial Condition and Results of Operations</w:t>
      </w:r>
    </w:p>
    <w:p>
      <w:pPr>
        <w:pStyle w:val="TextBody"/>
        <w:spacing w:before="0" w:after="0"/>
        <w:ind w:left="0" w:right="0" w:hanging="0"/>
        <w:jc w:val="left"/>
        <w:rPr/>
      </w:pPr>
      <w:r>
        <w:rPr/>
        <w:t>​</w:t>
      </w:r>
    </w:p>
    <w:p>
      <w:pPr>
        <w:pStyle w:val="TextBody"/>
        <w:spacing w:before="0" w:after="0"/>
        <w:ind w:left="0" w:right="0" w:firstLine="720"/>
        <w:jc w:val="left"/>
        <w:rPr>
          <w:rFonts w:ascii="Times New Roman;Times;serif" w:hAnsi="Times New Roman;Times;serif"/>
          <w:i/>
          <w:sz w:val="20"/>
        </w:rPr>
      </w:pPr>
      <w:r>
        <w:rPr>
          <w:rFonts w:ascii="Times New Roman;Times;serif" w:hAnsi="Times New Roman;Times;serif"/>
          <w:i/>
          <w:sz w:val="20"/>
        </w:rPr>
        <w:t>You should read the following discussion and analysis of our financial condition and results of operations in conjunction with our consolidated financial statements and the accompanying notes appearing elsewhere in this Quarterly Report on Form 10-Q for the period ended March 31, 2023 and the audited consolidated financial statements and notes thereto and management’s discussion and analysis of financial condition and results of operations for the fiscal year ended December 31, 2022 included in our Annual Report. References to “Applied Optoelectronics,” “we,” “our” and “us” are to Applied Optoelectronics, Inc. and its subsidiaries unless otherwise specified or the context otherwise requires.</w:t>
      </w:r>
    </w:p>
    <w:p>
      <w:pPr>
        <w:pStyle w:val="TextBody"/>
        <w:spacing w:before="0" w:after="0"/>
        <w:ind w:left="0" w:right="0" w:firstLine="720"/>
        <w:jc w:val="left"/>
        <w:rPr/>
      </w:pPr>
      <w:r>
        <w:rPr/>
        <w:t>​</w:t>
      </w:r>
    </w:p>
    <w:p>
      <w:pPr>
        <w:pStyle w:val="TextBody"/>
        <w:spacing w:before="0" w:after="0"/>
        <w:ind w:left="0" w:right="0" w:firstLine="720"/>
        <w:jc w:val="left"/>
        <w:rPr>
          <w:rFonts w:ascii="Times New Roman;Times;serif" w:hAnsi="Times New Roman;Times;serif"/>
          <w:i/>
          <w:sz w:val="20"/>
        </w:rPr>
      </w:pPr>
      <w:r>
        <w:rPr>
          <w:rFonts w:ascii="Times New Roman;Times;serif" w:hAnsi="Times New Roman;Times;serif"/>
          <w:i/>
          <w:sz w:val="20"/>
        </w:rPr>
        <w:t>This Quarterly Report on Form 10-Q contains “forward-looking statements” that involve risks and uncertainties, as well as assumptions that, if they never materialize or prove incorrect, could cause our results to differ materially from those expressed or implied by such forward-looking statements. The statements contained in this Quarterly Report that are not purely historical are forward-looking statements within the meaning of Section 27A of the Securities Act of 1933, as amended, and Section 21E of the Securities Exchange Act of 1934, as amended. Terminology such as "believe," "may," "estimate," "continue," "anticipate," "intend," "should," "could," "would," "target," "seek," "aim," "believe," "predicts," "think," "objectives," "optimistic," "new," "goal," "strategy," "potential," "is likely," "will," "expect," "plan," "project," "permit,"  or by other similar expressions that convey uncertainty of future events or outcomes are intended to identify forward-looking statements.</w:t>
      </w:r>
    </w:p>
    <w:p>
      <w:pPr>
        <w:pStyle w:val="TextBody"/>
        <w:spacing w:before="0" w:after="0"/>
        <w:ind w:left="0" w:right="0" w:firstLine="720"/>
        <w:jc w:val="left"/>
        <w:rPr/>
      </w:pPr>
      <w:r>
        <w:rPr/>
        <w:t>​</w:t>
      </w:r>
    </w:p>
    <w:p>
      <w:pPr>
        <w:pStyle w:val="TextBody"/>
        <w:spacing w:before="0" w:after="0"/>
        <w:ind w:left="0" w:right="0" w:firstLine="720"/>
        <w:jc w:val="left"/>
        <w:rPr>
          <w:rFonts w:ascii="Times New Roman;Times;serif" w:hAnsi="Times New Roman;Times;serif"/>
          <w:i/>
          <w:sz w:val="20"/>
        </w:rPr>
      </w:pPr>
      <w:r>
        <w:rPr>
          <w:rFonts w:ascii="Times New Roman;Times;serif" w:hAnsi="Times New Roman;Times;serif"/>
          <w:i/>
          <w:sz w:val="20"/>
        </w:rPr>
        <w:t>We have based these forward-looking statements largely on our current expectations and projections about future events and industry and financial trends that we believe may affect our financial condition, results of operations, business strategy and financial needs. Such forward-looking statements are subject to risks, uncertainties and other important factors that could cause actual results and the timing of events to differ materially from future results expressed or implied by such forward-looking statements. Factors that could cause or contribute to such differences include, but are not limited to, those identified in “Part II —Item 1A. Risk Factors” provided below, and those discussed in other documents we file with the SEC, including our Report on Form 10-K for the year ended December 31, 2022 and subsequent Quarterly Reports on Form 10-Q. Furthermore, such forward-looking statements speak only as of the date of this Quarterly Report. Except as required by law, we undertake no obligation to update any forward-looking statements to reflect events or circumstances after the date of this Quarterly Report.</w:t>
      </w:r>
    </w:p>
    <w:p>
      <w:pPr>
        <w:pStyle w:val="TextBody"/>
        <w:spacing w:before="0" w:after="0"/>
        <w:ind w:left="0" w:right="0" w:firstLine="720"/>
        <w:jc w:val="left"/>
        <w:rPr/>
      </w:pPr>
      <w:r>
        <w:rPr/>
        <w:t>​</w:t>
      </w:r>
    </w:p>
    <w:p>
      <w:pPr>
        <w:pStyle w:val="TextBody"/>
        <w:spacing w:before="0" w:after="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spacing w:before="0" w:after="0"/>
        <w:ind w:left="0" w:right="0" w:hanging="0"/>
        <w:jc w:val="left"/>
        <w:rPr/>
      </w:pPr>
      <w:r>
        <w:rPr/>
        <w:t>​</w:t>
      </w:r>
    </w:p>
    <w:p>
      <w:pPr>
        <w:pStyle w:val="TextBody"/>
        <w:spacing w:before="0" w:after="0"/>
        <w:ind w:left="0" w:right="0" w:firstLine="720"/>
        <w:jc w:val="left"/>
        <w:rPr>
          <w:rFonts w:ascii="Times New Roman;Times;serif" w:hAnsi="Times New Roman;Times;serif"/>
          <w:sz w:val="20"/>
        </w:rPr>
      </w:pPr>
      <w:r>
        <w:rPr>
          <w:rFonts w:ascii="Times New Roman;Times;serif" w:hAnsi="Times New Roman;Times;serif"/>
          <w:sz w:val="20"/>
        </w:rPr>
        <w:t>We are a leading, vertically integrated provider of fiber-optic networking products. We target four networking end-markets: CATV, internet data centers, telecom and FTTH. We design and manufacture a range of optical communications products at varying levels of integration, from components, subassemblies and modules to complete turn-key equipment. In designing products for our customers, we typically begin with the fundamental building blocks of lasers and laser components. From these foundational products, we design and manufacture a wide range of products to meet our customers’ needs and specifications, and such products differ from each other by their end market, intended use and level of integration. We are primarily focused on the higher-performance segments within the CATV, internet data center, telecom and FTTH markets which increasingly demand faster connectivity and innovation. Our vertically integrated manufacturing model provides us several advantages, including rapid product development, fast response times to customer requests and control over product quality and manufacturing costs.</w:t>
      </w:r>
    </w:p>
    <w:p>
      <w:pPr>
        <w:pStyle w:val="TextBody"/>
        <w:spacing w:before="0" w:after="0"/>
        <w:ind w:left="0" w:right="0" w:hanging="0"/>
        <w:jc w:val="left"/>
        <w:rPr/>
      </w:pPr>
      <w:r>
        <w:rPr/>
        <w:t>​</w:t>
      </w:r>
    </w:p>
    <w:p>
      <w:pPr>
        <w:pStyle w:val="TextBody"/>
        <w:spacing w:before="0" w:after="0"/>
        <w:ind w:left="0" w:right="0" w:firstLine="720"/>
        <w:jc w:val="left"/>
        <w:rPr>
          <w:rFonts w:ascii="Times New Roman;Times;serif" w:hAnsi="Times New Roman;Times;serif"/>
          <w:sz w:val="20"/>
        </w:rPr>
      </w:pPr>
      <w:r>
        <w:rPr>
          <w:rFonts w:ascii="Times New Roman;Times;serif" w:hAnsi="Times New Roman;Times;serif"/>
          <w:sz w:val="20"/>
        </w:rPr>
        <w:t>The four end markets we target are all driven by significant bandwidth demand fueled by the growth of network-connected devices, video traffic, cloud computing and online social networking. Within the CATV market, we benefit from a number of ongoing trends including the build-out of CATV infrastructure in the US and other countries, the move to higher bandwidth networks among CATV service providers and the outsourcing of system design among CATV networking equipment companies. Within the internet data center market, we benefit from the increasing use of higher-capacity optical networking technology as a replacement for copper cables, particularly as speeds reach 100 Gbps and above, as well as the movement to open internet data center architectures and the increasing use of in-house equipment design among leading internet companies. In the FTTH market, we benefit from continuing PON deployments and system upgrades among telecom service providers. In the telecom market, we benefit from deployment of new high-speed fiber-optic networks by telecom network operators, including 5G networks.</w:t>
      </w:r>
    </w:p>
    <w:p>
      <w:pPr>
        <w:pStyle w:val="TextBody"/>
        <w:spacing w:before="0" w:after="0"/>
        <w:ind w:left="0" w:right="0" w:firstLine="720"/>
        <w:jc w:val="left"/>
        <w:rPr/>
      </w:pPr>
      <w:r>
        <w:rPr/>
        <w:t>​</w:t>
      </w:r>
    </w:p>
    <w:p>
      <w:pPr>
        <w:pStyle w:val="TextBody"/>
        <w:spacing w:before="0" w:after="0"/>
        <w:ind w:left="0" w:right="0" w:firstLine="720"/>
        <w:jc w:val="left"/>
        <w:rPr>
          <w:rFonts w:ascii="Times New Roman;Times;serif" w:hAnsi="Times New Roman;Times;serif"/>
          <w:sz w:val="20"/>
        </w:rPr>
      </w:pPr>
      <w:r>
        <w:rPr>
          <w:rFonts w:ascii="Times New Roman;Times;serif" w:hAnsi="Times New Roman;Times;serif"/>
          <w:sz w:val="20"/>
        </w:rPr>
        <w:t>Our vertically integrated manufacturing model provides us several advantages, including rapid product development, fast response times to customer requests and greater control over product quality and manufacturing costs. We design, manufacture and integrate our own analog and digital lasers using a proprietary Molecular Beam Epitaxy, or MBE, and Metal Organic Chemical Vapor Deposition (MOCVD) fabrication process, which we believe is unique in our industry. We manufacture the majority of the laser chips and optical components that are used in our products. The lasers we manufacture are tested extensively to enable reliable operation over time and our devices are often highly tolerant of changes in temperature and humidity, making them well-suited to the CATV, FTTH and 5G telecom markets where networking equipment is often installed outdoors.</w:t>
      </w:r>
    </w:p>
    <w:p>
      <w:pPr>
        <w:pStyle w:val="TextBody"/>
        <w:spacing w:before="0" w:after="0"/>
        <w:ind w:left="0" w:right="0" w:firstLine="720"/>
        <w:jc w:val="left"/>
        <w:rPr/>
      </w:pPr>
      <w:r>
        <w:rPr/>
        <w:t> </w:t>
      </w:r>
    </w:p>
    <w:p>
      <w:pPr>
        <w:pStyle w:val="TextBody"/>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have three manufacturing sites: Sugar Land, Texas, Ningbo, China and Taipei, Taiwan. Our research and development functions are generally partnered with our manufacturing locations, and we have an additional research and development facility in Duluth, Georgia. In our Sugar Land facility, we manufacture laser chips (utilizing our MBE and MOCVD processes), subassemblies and components. The subassemblies are used in the manufacture of components by our other manufacturing facilities or sold to third parties as modules. We manufacture our laser chips only within our Sugar Land facility, where our laser design team is located. In our Taiwan location, we manufacture optical components, such as our butterfly lasers, which incorporate laser chips, subassemblies and components manufactured within our Sugar Land facility. Additionally, in our Taiwan location, we manufacture transceivers for the internet data center, telecom, FTTH and other markets. In our China facility, we take advantage of lower labor costs and manufacture certain more labor intensive components and optical equipment systems, such as optical subassemblies and transceivers for the CATV transmitters (at the headend), CATV outdoor equipment (at the node) and internet data center market. Each manufacturing facility conducts testing on the components, modules or subsystems it manufactures and each facility is certified to </w:t>
      </w:r>
      <w:r>
        <w:rPr>
          <w:rFonts w:ascii="Times New Roman;Times;serif" w:hAnsi="Times New Roman;Times;serif"/>
          <w:sz w:val="20"/>
          <w:highlight w:val="white"/>
        </w:rPr>
        <w:t>ISO 9001:2015. Our facilities in Ningbo, China, Taipei, Taiwan, and Sugar Land, Texas are all certified to ISO 14001:2015.</w:t>
      </w:r>
    </w:p>
    <w:p>
      <w:pPr>
        <w:pStyle w:val="TextBody"/>
        <w:spacing w:before="0" w:after="0"/>
        <w:ind w:left="0" w:right="0" w:firstLine="720"/>
        <w:jc w:val="left"/>
        <w:rPr/>
      </w:pPr>
      <w:r>
        <w:rPr/>
        <w:t> </w:t>
      </w:r>
    </w:p>
    <w:p>
      <w:pPr>
        <w:pStyle w:val="TextBody"/>
        <w:spacing w:before="0" w:after="0"/>
        <w:ind w:left="0" w:right="0" w:firstLine="720"/>
        <w:jc w:val="left"/>
        <w:rPr>
          <w:rFonts w:ascii="Times New Roman;Times;serif" w:hAnsi="Times New Roman;Times;serif"/>
          <w:sz w:val="20"/>
        </w:rPr>
      </w:pPr>
      <w:r>
        <w:rPr>
          <w:rFonts w:ascii="Times New Roman;Times;serif" w:hAnsi="Times New Roman;Times;serif"/>
          <w:sz w:val="20"/>
        </w:rPr>
        <w:t>Our business depends on winning competitive bid selection processes to develop components, systems and equipment for use in our customers’ products. These selection processes are typically lengthy, and as a result our sales cycles will vary based on the level of customization required, market served, whether the design win is with an existing or new customer and whether our solution being designed in our customers’ product is our first generation or subsequent generation product. We do not have any long-term purchase commitments (in excess of one year) with any of our customers, most of whom purchase our products on a purchase order basis. However, once one of our solutions is incorporated into a customer’s design, we believe that our solution is likely to continue to be purchased for that design throughout that product’s life cycle because of the time and expense associated with redesigning the product or substituting an alternative solution.</w:t>
      </w:r>
    </w:p>
    <w:p>
      <w:pPr>
        <w:pStyle w:val="TextBody"/>
        <w:spacing w:before="0" w:after="0"/>
        <w:ind w:left="0" w:right="0" w:firstLine="720"/>
        <w:jc w:val="left"/>
        <w:rPr/>
      </w:pPr>
      <w:r>
        <w:rPr/>
        <w:t>​</w:t>
      </w:r>
    </w:p>
    <w:p>
      <w:pPr>
        <w:pStyle w:val="TextBody"/>
        <w:spacing w:before="0" w:after="0"/>
        <w:ind w:left="0" w:right="0" w:firstLine="720"/>
        <w:jc w:val="left"/>
        <w:rPr>
          <w:rFonts w:ascii="Times New Roman;Times;serif" w:hAnsi="Times New Roman;Times;serif"/>
          <w:sz w:val="20"/>
        </w:rPr>
      </w:pPr>
      <w:r>
        <w:rPr>
          <w:rFonts w:ascii="Times New Roman;Times;serif" w:hAnsi="Times New Roman;Times;serif"/>
          <w:sz w:val="20"/>
        </w:rPr>
        <w:t>Our principal executive offices are located at 13139 Jess Pirtle Blvd., Sugar Land, TX 77478, and our telephone number is (281) 295-1800.</w:t>
      </w:r>
    </w:p>
    <w:p>
      <w:pPr>
        <w:pStyle w:val="TextBody"/>
        <w:spacing w:before="0" w:after="0"/>
        <w:ind w:left="0" w:right="0" w:firstLine="720"/>
        <w:jc w:val="left"/>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22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160" w:right="0" w:hanging="180"/>
        <w:rPr>
          <w:rFonts w:ascii="Times New Roman" w:hAnsi="Times New Roman"/>
          <w:b/>
          <w:caps w:val="false"/>
          <w:smallCaps w:val="false"/>
          <w:sz w:val="20"/>
        </w:rPr>
      </w:pPr>
      <w:r>
        <w:rPr>
          <w:rFonts w:ascii="Times New Roman" w:hAnsi="Times New Roman"/>
          <w:b/>
          <w:caps w:val="false"/>
          <w:smallCaps w:val="false"/>
          <w:sz w:val="20"/>
        </w:rPr>
        <w:t>Divestiture Agreement with Yuhan Optoelectronic Technology (Shanghai) Co., Ltd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On September 15, 2022, we entered into a definitive purchase agreement and announced the planned divestiture to sell the manufacturing facilities in the People's Republic of China ("PRC") and certain assets related to our transceiver business and multi-channel optical sub-assembly products to Yuhan Optoelectronic Technology (Shanghai) Co., Ltd. ("Purchaser"), which is a company incorporated in the PRC. The transaction is expected to close in late 2023 or 2024 subject to satisfaction of certain closing conditions, including CFIUS approval. </w:t>
      </w:r>
    </w:p>
    <w:p>
      <w:pPr>
        <w:pStyle w:val="TextBody"/>
        <w:spacing w:before="0" w:after="0"/>
        <w:ind w:left="16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The purchase price will be an amount equal to the $150 million USD equivalent of Renminbi, less a holdback amount. Prior to the closing of the transaction the Company anticipates investing an amount equal to between 4% and 10% of the estimated proceeds from the transaction in exchange for a 10% equity interest in the Purchaser. The proceeds from the transaction will enable the Company to make strategic investments in higher margin and higher growth opportunities. By exiting the transceiver market, the Company will focus its resources on its CATV business and manufacturing lasers and laser components for the CATV, datacenter, telecom and FTTH markets.</w:t>
      </w:r>
    </w:p>
    <w:p>
      <w:pPr>
        <w:pStyle w:val="TextBody"/>
        <w:spacing w:before="0" w:after="0"/>
        <w:ind w:left="0" w:right="0" w:hanging="0"/>
        <w:rPr/>
      </w:pPr>
      <w:r>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Our management has performed an evaluation as required by ASC-360-10-45-9 to determine whether to classify certain of our assets and liabilities as held for sale as of March 31, 2023. ASC 360 requires that a company classifies a business as held for sale in the period in which management commits to a plan to sell the business, the business is available for immediate sale in its present condition, an active program to complete the plan to sell the business is initiated, the sale of the business within one year is probable and the business is being marketed at a reasonable price in relation to its fair value. Although we have announced the execution of a definitive purchase agreement regarding the Divestiture, completion of this transaction is not certain for reasons that include the fact that the proposed sale is subject to regulatory approval in the US and China, the timing and likelihood of which is uncertain and beyond our control, and the fact that we cannot be certain that the buyer will not request modification of terms within the definitive purchase agreement. As a result, we have concluded that at the present time the business is not "available for immediate sale" under the meaning defined in ASC 360 and therefore none of our assets or liabilities should be classified as held for sale.</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jc w:val="left"/>
        <w:rPr>
          <w:rFonts w:ascii="Times New Roman;Times;serif" w:hAnsi="Times New Roman;Times;serif"/>
          <w:b/>
          <w:sz w:val="20"/>
        </w:rPr>
      </w:pPr>
      <w:r>
        <w:rPr>
          <w:rFonts w:ascii="Times New Roman;Times;serif" w:hAnsi="Times New Roman;Times;serif"/>
          <w:b/>
          <w:sz w:val="20"/>
        </w:rPr>
        <w:t>COVID-19 Pandemic</w:t>
      </w:r>
    </w:p>
    <w:p>
      <w:pPr>
        <w:pStyle w:val="TextBody"/>
        <w:spacing w:before="0" w:after="0"/>
        <w:ind w:left="0" w:right="0" w:firstLine="720"/>
        <w:jc w:val="left"/>
        <w:rPr/>
      </w:pPr>
      <w:r>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The COVID-19 pandemic has had, and continues to have, a significant impact around the world. We are subject to risks and uncertainties as a result of the COVID-19 pandemic. The extent of the impact of the COVID-19 pandemic on our business is highly uncertain and difficult to predict as COVID-19 continues to spread around the world. In March 2020, we instituted travel restrictions and implemented sanitation and disinfection procedures to safeguard the health and safety of our employees which continue today. With increased vaccinations and the potential reduction of infections, we implemented procedures for a safe return to the office environment for all of our employees in 2021. China experienced the world's largest COVID-19 surge of the pandemic in December 2022 after the end of the zero-COVID policy. Yet there is minimum impact to the labor force in China due to less government restrictions on quarantine and testing.</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The spread of COVID-19 has impacted our supply chain operations through restrictions, reduced capacity and shutdown of business activities by suppliers whom we rely on for sourcing components and materials and third-party partners whom we rely on for manufacturing, warehousing and logistics services. Our supply chain restrictions due to COVID-19 have improved during the latter part of 2022, and we will continue to expect improvements for the remainder of 2023.</w:t>
      </w:r>
    </w:p>
    <w:p>
      <w:pPr>
        <w:pStyle w:val="TextBody"/>
        <w:spacing w:before="0" w:after="0"/>
        <w:ind w:left="0" w:right="0" w:hanging="360"/>
        <w:rPr/>
      </w:pPr>
      <w:r>
        <w:rPr/>
        <w:t> </w:t>
      </w:r>
    </w:p>
    <w:p>
      <w:pPr>
        <w:pStyle w:val="TextBody"/>
        <w:spacing w:before="0" w:after="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spacing w:before="0" w:after="0"/>
        <w:ind w:left="0" w:right="0" w:hanging="0"/>
        <w:jc w:val="left"/>
        <w:rPr/>
      </w:pPr>
      <w:r>
        <w:rPr/>
        <w:t>​</w:t>
      </w:r>
    </w:p>
    <w:p>
      <w:pPr>
        <w:pStyle w:val="TextBody"/>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set forth our consolidated results of operations for the periods presented and as a percentage of our revenue for those periods (in thousands, except percentages):</w:t>
      </w:r>
    </w:p>
    <w:p>
      <w:pPr>
        <w:pStyle w:val="TextBody"/>
        <w:spacing w:before="0" w:after="0"/>
        <w:ind w:left="0" w:right="0" w:hanging="0"/>
        <w:jc w:val="left"/>
        <w:rPr/>
      </w:pPr>
      <w:r>
        <w:rPr/>
        <w:t>​</w:t>
      </w:r>
    </w:p>
    <w:tbl>
      <w:tblPr>
        <w:tblW w:w="6801" w:type="dxa"/>
        <w:jc w:val="left"/>
        <w:tblInd w:w="0" w:type="dxa"/>
        <w:tblCellMar>
          <w:top w:w="0" w:type="dxa"/>
          <w:left w:w="0" w:type="dxa"/>
          <w:bottom w:w="0" w:type="dxa"/>
          <w:right w:w="0" w:type="dxa"/>
        </w:tblCellMar>
      </w:tblPr>
      <w:tblGrid>
        <w:gridCol w:w="2735"/>
        <w:gridCol w:w="60"/>
        <w:gridCol w:w="138"/>
        <w:gridCol w:w="718"/>
        <w:gridCol w:w="88"/>
        <w:gridCol w:w="66"/>
        <w:gridCol w:w="66"/>
        <w:gridCol w:w="652"/>
        <w:gridCol w:w="245"/>
        <w:gridCol w:w="60"/>
        <w:gridCol w:w="148"/>
        <w:gridCol w:w="770"/>
        <w:gridCol w:w="94"/>
        <w:gridCol w:w="71"/>
        <w:gridCol w:w="71"/>
        <w:gridCol w:w="574"/>
        <w:gridCol w:w="245"/>
      </w:tblGrid>
      <w:tr>
        <w:trPr/>
        <w:tc>
          <w:tcPr>
            <w:tcW w:w="273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728" w:type="dxa"/>
            <w:gridSpan w:val="6"/>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w:t>
            </w:r>
          </w:p>
        </w:tc>
        <w:tc>
          <w:tcPr>
            <w:tcW w:w="24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728" w:type="dxa"/>
            <w:gridSpan w:val="6"/>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w:t>
            </w:r>
          </w:p>
        </w:tc>
        <w:tc>
          <w:tcPr>
            <w:tcW w:w="245" w:type="dxa"/>
            <w:tcBorders/>
            <w:shd w:fill="FFFFFF" w:val="clear"/>
            <w:vAlign w:val="center"/>
          </w:tcPr>
          <w:p>
            <w:pPr>
              <w:pStyle w:val="TableContents"/>
              <w:spacing w:before="0" w:after="283"/>
              <w:rPr/>
            </w:pPr>
            <w:r>
              <w:rPr/>
              <w:t> </w:t>
            </w:r>
          </w:p>
        </w:tc>
      </w:tr>
      <w:tr>
        <w:trPr/>
        <w:tc>
          <w:tcPr>
            <w:tcW w:w="2735" w:type="dxa"/>
            <w:tcBorders/>
            <w:shd w:fill="FFFFFF" w:val="clear"/>
            <w:vAlign w:val="center"/>
          </w:tcPr>
          <w:p>
            <w:pPr>
              <w:pStyle w:val="TableContents"/>
              <w:spacing w:before="0" w:after="0"/>
              <w:rPr>
                <w:caps w:val="false"/>
                <w:smallCaps w:val="false"/>
              </w:rPr>
            </w:pPr>
            <w:r>
              <w:rPr>
                <w:caps w:val="false"/>
                <w:smallCaps w:val="false"/>
              </w:rPr>
              <w:t>​</w:t>
            </w:r>
          </w:p>
        </w:tc>
        <w:tc>
          <w:tcPr>
            <w:tcW w:w="60" w:type="dxa"/>
            <w:tcBorders/>
            <w:shd w:fill="FFFFFF" w:val="clear"/>
            <w:vAlign w:val="center"/>
          </w:tcPr>
          <w:p>
            <w:pPr>
              <w:pStyle w:val="TableContents"/>
              <w:spacing w:before="0" w:after="283"/>
              <w:ind w:left="0" w:right="0" w:hanging="0"/>
              <w:rPr/>
            </w:pPr>
            <w:r>
              <w:rPr/>
              <w:t> </w:t>
            </w:r>
          </w:p>
        </w:tc>
        <w:tc>
          <w:tcPr>
            <w:tcW w:w="1728"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March 31,</w:t>
            </w:r>
          </w:p>
        </w:tc>
        <w:tc>
          <w:tcPr>
            <w:tcW w:w="24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728"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March 31,</w:t>
            </w:r>
          </w:p>
        </w:tc>
        <w:tc>
          <w:tcPr>
            <w:tcW w:w="245" w:type="dxa"/>
            <w:tcBorders/>
            <w:shd w:fill="FFFFFF" w:val="clear"/>
            <w:vAlign w:val="center"/>
          </w:tcPr>
          <w:p>
            <w:pPr>
              <w:pStyle w:val="TableContents"/>
              <w:spacing w:before="0" w:after="283"/>
              <w:rPr/>
            </w:pPr>
            <w:r>
              <w:rPr/>
              <w:t> </w:t>
            </w:r>
          </w:p>
        </w:tc>
      </w:tr>
      <w:tr>
        <w:trPr/>
        <w:tc>
          <w:tcPr>
            <w:tcW w:w="2735" w:type="dxa"/>
            <w:tcBorders/>
            <w:shd w:fill="FFFFFF" w:val="clear"/>
            <w:vAlign w:val="center"/>
          </w:tcPr>
          <w:p>
            <w:pPr>
              <w:pStyle w:val="TableContents"/>
              <w:spacing w:before="0" w:after="0"/>
              <w:rPr>
                <w:caps w:val="false"/>
                <w:smallCaps w:val="false"/>
              </w:rPr>
            </w:pPr>
            <w:r>
              <w:rPr>
                <w:caps w:val="false"/>
                <w:smallCaps w:val="false"/>
              </w:rPr>
              <w:t>​</w:t>
            </w:r>
          </w:p>
        </w:tc>
        <w:tc>
          <w:tcPr>
            <w:tcW w:w="60" w:type="dxa"/>
            <w:tcBorders/>
            <w:shd w:fill="FFFFFF" w:val="clear"/>
            <w:vAlign w:val="center"/>
          </w:tcPr>
          <w:p>
            <w:pPr>
              <w:pStyle w:val="TableContents"/>
              <w:spacing w:before="0" w:after="283"/>
              <w:ind w:left="0" w:right="0" w:hanging="0"/>
              <w:rPr/>
            </w:pPr>
            <w:r>
              <w:rPr/>
              <w:t> </w:t>
            </w:r>
          </w:p>
        </w:tc>
        <w:tc>
          <w:tcPr>
            <w:tcW w:w="1728"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24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728"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245" w:type="dxa"/>
            <w:tcBorders/>
            <w:shd w:fill="FFFFFF" w:val="clear"/>
            <w:vAlign w:val="center"/>
          </w:tcPr>
          <w:p>
            <w:pPr>
              <w:pStyle w:val="TableContents"/>
              <w:spacing w:before="0" w:after="283"/>
              <w:rPr/>
            </w:pPr>
            <w:r>
              <w:rPr/>
              <w:t> </w:t>
            </w:r>
          </w:p>
        </w:tc>
      </w:tr>
      <w:tr>
        <w:trPr/>
        <w:tc>
          <w:tcPr>
            <w:tcW w:w="273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Revenue, net</w:t>
            </w:r>
          </w:p>
        </w:tc>
        <w:tc>
          <w:tcPr>
            <w:tcW w:w="60" w:type="dxa"/>
            <w:tcBorders/>
            <w:shd w:fill="CCEEFF" w:val="clear"/>
            <w:vAlign w:val="center"/>
          </w:tcPr>
          <w:p>
            <w:pPr>
              <w:pStyle w:val="TableContents"/>
              <w:spacing w:before="0" w:after="283"/>
              <w:ind w:left="0" w:right="0" w:hanging="0"/>
              <w:rPr/>
            </w:pPr>
            <w:r>
              <w:rPr/>
              <w:t> </w:t>
            </w:r>
          </w:p>
        </w:tc>
        <w:tc>
          <w:tcPr>
            <w:tcW w:w="138"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18"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53,030</w:t>
            </w:r>
          </w:p>
        </w:tc>
        <w:tc>
          <w:tcPr>
            <w:tcW w:w="88" w:type="dxa"/>
            <w:tcBorders/>
            <w:shd w:fill="CCEEFF" w:val="clear"/>
            <w:vAlign w:val="center"/>
          </w:tcPr>
          <w:p>
            <w:pPr>
              <w:pStyle w:val="TableContents"/>
              <w:spacing w:before="0" w:after="283"/>
              <w:rPr/>
            </w:pPr>
            <w:r>
              <w:rPr/>
              <w:t> </w:t>
            </w:r>
          </w:p>
        </w:tc>
        <w:tc>
          <w:tcPr>
            <w:tcW w:w="66" w:type="dxa"/>
            <w:tcBorders/>
            <w:shd w:fill="CCEEFF" w:val="clear"/>
            <w:vAlign w:val="center"/>
          </w:tcPr>
          <w:p>
            <w:pPr>
              <w:pStyle w:val="TableContents"/>
              <w:spacing w:before="0" w:after="283"/>
              <w:rPr/>
            </w:pPr>
            <w:r>
              <w:rPr/>
              <w:t> </w:t>
            </w:r>
          </w:p>
        </w:tc>
        <w:tc>
          <w:tcPr>
            <w:tcW w:w="66" w:type="dxa"/>
            <w:tcBorders/>
            <w:shd w:fill="CCEEFF" w:val="clear"/>
            <w:vAlign w:val="center"/>
          </w:tcPr>
          <w:p>
            <w:pPr>
              <w:pStyle w:val="TableContents"/>
              <w:spacing w:before="0" w:after="283"/>
              <w:ind w:left="0" w:right="0" w:hanging="0"/>
              <w:rPr/>
            </w:pPr>
            <w:r>
              <w:rPr/>
              <w:t> </w:t>
            </w:r>
          </w:p>
        </w:tc>
        <w:tc>
          <w:tcPr>
            <w:tcW w:w="652"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100.00</w:t>
            </w:r>
          </w:p>
        </w:tc>
        <w:tc>
          <w:tcPr>
            <w:tcW w:w="24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spacing w:before="0" w:after="283"/>
              <w:ind w:left="0" w:right="0" w:hanging="0"/>
              <w:rPr/>
            </w:pPr>
            <w:r>
              <w:rPr/>
              <w:t> </w:t>
            </w:r>
          </w:p>
        </w:tc>
        <w:tc>
          <w:tcPr>
            <w:tcW w:w="148"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7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52,242</w:t>
            </w:r>
          </w:p>
        </w:tc>
        <w:tc>
          <w:tcPr>
            <w:tcW w:w="94" w:type="dxa"/>
            <w:tcBorders/>
            <w:shd w:fill="CCEEFF" w:val="clear"/>
            <w:vAlign w:val="center"/>
          </w:tcPr>
          <w:p>
            <w:pPr>
              <w:pStyle w:val="TableContents"/>
              <w:spacing w:before="0" w:after="283"/>
              <w:rPr/>
            </w:pPr>
            <w:r>
              <w:rPr/>
              <w:t> </w:t>
            </w:r>
          </w:p>
        </w:tc>
        <w:tc>
          <w:tcPr>
            <w:tcW w:w="71" w:type="dxa"/>
            <w:tcBorders/>
            <w:shd w:fill="CCEEFF" w:val="clear"/>
            <w:vAlign w:val="center"/>
          </w:tcPr>
          <w:p>
            <w:pPr>
              <w:pStyle w:val="TableContents"/>
              <w:spacing w:before="0" w:after="283"/>
              <w:rPr/>
            </w:pPr>
            <w:r>
              <w:rPr/>
              <w:t> </w:t>
            </w:r>
          </w:p>
        </w:tc>
        <w:tc>
          <w:tcPr>
            <w:tcW w:w="71" w:type="dxa"/>
            <w:tcBorders/>
            <w:shd w:fill="CCEEFF" w:val="clear"/>
            <w:vAlign w:val="center"/>
          </w:tcPr>
          <w:p>
            <w:pPr>
              <w:pStyle w:val="TableContents"/>
              <w:spacing w:before="0" w:after="283"/>
              <w:ind w:left="0" w:right="0" w:hanging="0"/>
              <w:rPr/>
            </w:pPr>
            <w:r>
              <w:rPr/>
              <w:t> </w:t>
            </w:r>
          </w:p>
        </w:tc>
        <w:tc>
          <w:tcPr>
            <w:tcW w:w="574"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100.0</w:t>
            </w:r>
          </w:p>
        </w:tc>
        <w:tc>
          <w:tcPr>
            <w:tcW w:w="24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2735"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Cost of goods sold</w:t>
            </w:r>
          </w:p>
        </w:tc>
        <w:tc>
          <w:tcPr>
            <w:tcW w:w="60" w:type="dxa"/>
            <w:tcBorders/>
            <w:shd w:fill="FFFFFF" w:val="clear"/>
            <w:vAlign w:val="center"/>
          </w:tcPr>
          <w:p>
            <w:pPr>
              <w:pStyle w:val="TableContents"/>
              <w:spacing w:before="0" w:after="283"/>
              <w:rPr/>
            </w:pPr>
            <w:r>
              <w:rPr/>
              <w:t> </w:t>
            </w:r>
          </w:p>
        </w:tc>
        <w:tc>
          <w:tcPr>
            <w:tcW w:w="138"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718"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43,786</w:t>
            </w:r>
          </w:p>
        </w:tc>
        <w:tc>
          <w:tcPr>
            <w:tcW w:w="88" w:type="dxa"/>
            <w:tcBorders/>
            <w:shd w:fill="FFFFFF" w:val="clear"/>
            <w:vAlign w:val="center"/>
          </w:tcPr>
          <w:p>
            <w:pPr>
              <w:pStyle w:val="TableContents"/>
              <w:spacing w:before="0" w:after="283"/>
              <w:rPr/>
            </w:pPr>
            <w:r>
              <w:rPr/>
              <w:t> </w:t>
            </w:r>
          </w:p>
        </w:tc>
        <w:tc>
          <w:tcPr>
            <w:tcW w:w="66" w:type="dxa"/>
            <w:tcBorders/>
            <w:shd w:fill="FFFFFF" w:val="clear"/>
            <w:vAlign w:val="center"/>
          </w:tcPr>
          <w:p>
            <w:pPr>
              <w:pStyle w:val="TableContents"/>
              <w:spacing w:before="0" w:after="283"/>
              <w:rPr/>
            </w:pPr>
            <w:r>
              <w:rPr/>
              <w:t> </w:t>
            </w:r>
          </w:p>
        </w:tc>
        <w:tc>
          <w:tcPr>
            <w:tcW w:w="66"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52"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82.57</w:t>
            </w:r>
          </w:p>
        </w:tc>
        <w:tc>
          <w:tcPr>
            <w:tcW w:w="24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spacing w:before="0" w:after="283"/>
              <w:rPr/>
            </w:pPr>
            <w:r>
              <w:rPr/>
              <w:t> </w:t>
            </w:r>
          </w:p>
        </w:tc>
        <w:tc>
          <w:tcPr>
            <w:tcW w:w="148"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77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43,217</w:t>
            </w:r>
          </w:p>
        </w:tc>
        <w:tc>
          <w:tcPr>
            <w:tcW w:w="94" w:type="dxa"/>
            <w:tcBorders/>
            <w:shd w:fill="FFFFFF" w:val="clear"/>
            <w:vAlign w:val="center"/>
          </w:tcPr>
          <w:p>
            <w:pPr>
              <w:pStyle w:val="TableContents"/>
              <w:spacing w:before="0" w:after="283"/>
              <w:rPr/>
            </w:pPr>
            <w:r>
              <w:rPr/>
              <w:t> </w:t>
            </w:r>
          </w:p>
        </w:tc>
        <w:tc>
          <w:tcPr>
            <w:tcW w:w="71" w:type="dxa"/>
            <w:tcBorders/>
            <w:shd w:fill="FFFFFF" w:val="clear"/>
            <w:vAlign w:val="center"/>
          </w:tcPr>
          <w:p>
            <w:pPr>
              <w:pStyle w:val="TableContents"/>
              <w:spacing w:before="0" w:after="283"/>
              <w:rPr/>
            </w:pPr>
            <w:r>
              <w:rPr/>
              <w:t> </w:t>
            </w:r>
          </w:p>
        </w:tc>
        <w:tc>
          <w:tcPr>
            <w:tcW w:w="71"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74"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82.7</w:t>
            </w:r>
          </w:p>
        </w:tc>
        <w:tc>
          <w:tcPr>
            <w:tcW w:w="24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273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Gross profit</w:t>
            </w:r>
          </w:p>
        </w:tc>
        <w:tc>
          <w:tcPr>
            <w:tcW w:w="60" w:type="dxa"/>
            <w:tcBorders/>
            <w:shd w:fill="CCEEFF" w:val="clear"/>
            <w:vAlign w:val="center"/>
          </w:tcPr>
          <w:p>
            <w:pPr>
              <w:pStyle w:val="TableContents"/>
              <w:spacing w:before="0" w:after="283"/>
              <w:rPr/>
            </w:pPr>
            <w:r>
              <w:rPr/>
              <w:t> </w:t>
            </w:r>
          </w:p>
        </w:tc>
        <w:tc>
          <w:tcPr>
            <w:tcW w:w="138"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718"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9,244</w:t>
            </w:r>
          </w:p>
        </w:tc>
        <w:tc>
          <w:tcPr>
            <w:tcW w:w="88" w:type="dxa"/>
            <w:tcBorders/>
            <w:shd w:fill="CCEEFF" w:val="clear"/>
            <w:vAlign w:val="center"/>
          </w:tcPr>
          <w:p>
            <w:pPr>
              <w:pStyle w:val="TableContents"/>
              <w:spacing w:before="0" w:after="283"/>
              <w:rPr/>
            </w:pPr>
            <w:r>
              <w:rPr/>
              <w:t> </w:t>
            </w:r>
          </w:p>
        </w:tc>
        <w:tc>
          <w:tcPr>
            <w:tcW w:w="66" w:type="dxa"/>
            <w:tcBorders/>
            <w:shd w:fill="CCEEFF" w:val="clear"/>
            <w:vAlign w:val="center"/>
          </w:tcPr>
          <w:p>
            <w:pPr>
              <w:pStyle w:val="TableContents"/>
              <w:spacing w:before="0" w:after="283"/>
              <w:rPr/>
            </w:pPr>
            <w:r>
              <w:rPr/>
              <w:t> </w:t>
            </w:r>
          </w:p>
        </w:tc>
        <w:tc>
          <w:tcPr>
            <w:tcW w:w="66"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52"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17.43</w:t>
            </w:r>
          </w:p>
        </w:tc>
        <w:tc>
          <w:tcPr>
            <w:tcW w:w="24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spacing w:before="0" w:after="283"/>
              <w:rPr/>
            </w:pPr>
            <w:r>
              <w:rPr/>
              <w:t> </w:t>
            </w:r>
          </w:p>
        </w:tc>
        <w:tc>
          <w:tcPr>
            <w:tcW w:w="148"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77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9,025</w:t>
            </w:r>
          </w:p>
        </w:tc>
        <w:tc>
          <w:tcPr>
            <w:tcW w:w="94" w:type="dxa"/>
            <w:tcBorders/>
            <w:shd w:fill="CCEEFF" w:val="clear"/>
            <w:vAlign w:val="center"/>
          </w:tcPr>
          <w:p>
            <w:pPr>
              <w:pStyle w:val="TableContents"/>
              <w:spacing w:before="0" w:after="283"/>
              <w:rPr/>
            </w:pPr>
            <w:r>
              <w:rPr/>
              <w:t> </w:t>
            </w:r>
          </w:p>
        </w:tc>
        <w:tc>
          <w:tcPr>
            <w:tcW w:w="71" w:type="dxa"/>
            <w:tcBorders/>
            <w:shd w:fill="CCEEFF" w:val="clear"/>
            <w:vAlign w:val="center"/>
          </w:tcPr>
          <w:p>
            <w:pPr>
              <w:pStyle w:val="TableContents"/>
              <w:spacing w:before="0" w:after="283"/>
              <w:rPr/>
            </w:pPr>
            <w:r>
              <w:rPr/>
              <w:t> </w:t>
            </w:r>
          </w:p>
        </w:tc>
        <w:tc>
          <w:tcPr>
            <w:tcW w:w="71"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574"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17.3</w:t>
            </w:r>
          </w:p>
        </w:tc>
        <w:tc>
          <w:tcPr>
            <w:tcW w:w="24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2735"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Operating expenses</w:t>
            </w:r>
          </w:p>
        </w:tc>
        <w:tc>
          <w:tcPr>
            <w:tcW w:w="60" w:type="dxa"/>
            <w:tcBorders/>
            <w:shd w:fill="FFFFFF" w:val="clear"/>
            <w:vAlign w:val="center"/>
          </w:tcPr>
          <w:p>
            <w:pPr>
              <w:pStyle w:val="TableContents"/>
              <w:spacing w:before="0" w:after="283"/>
              <w:ind w:left="0" w:right="0" w:hanging="0"/>
              <w:rPr/>
            </w:pPr>
            <w:r>
              <w:rPr/>
              <w:t> </w:t>
            </w:r>
          </w:p>
        </w:tc>
        <w:tc>
          <w:tcPr>
            <w:tcW w:w="856" w:type="dxa"/>
            <w:gridSpan w:val="2"/>
            <w:tcBorders/>
            <w:shd w:fill="FFFFFF" w:val="clear"/>
            <w:vAlign w:val="center"/>
          </w:tcPr>
          <w:p>
            <w:pPr>
              <w:pStyle w:val="TableContents"/>
              <w:spacing w:before="0" w:after="0"/>
              <w:ind w:left="0" w:right="0" w:hanging="0"/>
              <w:rPr>
                <w:caps w:val="false"/>
                <w:smallCaps w:val="false"/>
              </w:rPr>
            </w:pPr>
            <w:r>
              <w:rPr>
                <w:caps w:val="false"/>
                <w:smallCaps w:val="false"/>
              </w:rPr>
              <w:t>​</w:t>
            </w:r>
          </w:p>
        </w:tc>
        <w:tc>
          <w:tcPr>
            <w:tcW w:w="88" w:type="dxa"/>
            <w:tcBorders/>
            <w:shd w:fill="FFFFFF" w:val="clear"/>
            <w:vAlign w:val="center"/>
          </w:tcPr>
          <w:p>
            <w:pPr>
              <w:pStyle w:val="TableContents"/>
              <w:spacing w:before="0" w:after="283"/>
              <w:rPr/>
            </w:pPr>
            <w:r>
              <w:rPr/>
              <w:t> </w:t>
            </w:r>
          </w:p>
        </w:tc>
        <w:tc>
          <w:tcPr>
            <w:tcW w:w="66" w:type="dxa"/>
            <w:tcBorders/>
            <w:shd w:fill="FFFFFF" w:val="clear"/>
            <w:vAlign w:val="center"/>
          </w:tcPr>
          <w:p>
            <w:pPr>
              <w:pStyle w:val="TableContents"/>
              <w:spacing w:before="0" w:after="283"/>
              <w:rPr/>
            </w:pPr>
            <w:r>
              <w:rPr/>
              <w:t> </w:t>
            </w:r>
          </w:p>
        </w:tc>
        <w:tc>
          <w:tcPr>
            <w:tcW w:w="66" w:type="dxa"/>
            <w:tcBorders/>
            <w:shd w:fill="FFFFFF" w:val="clear"/>
            <w:vAlign w:val="center"/>
          </w:tcPr>
          <w:p>
            <w:pPr>
              <w:pStyle w:val="TableContents"/>
              <w:spacing w:before="0" w:after="283"/>
              <w:rPr/>
            </w:pPr>
            <w:r>
              <w:rPr/>
              <w:t> </w:t>
            </w:r>
          </w:p>
        </w:tc>
        <w:tc>
          <w:tcPr>
            <w:tcW w:w="652" w:type="dxa"/>
            <w:tcBorders/>
            <w:shd w:fill="FFFFFF" w:val="clear"/>
            <w:vAlign w:val="center"/>
          </w:tcPr>
          <w:p>
            <w:pPr>
              <w:pStyle w:val="TableContents"/>
              <w:spacing w:before="0" w:after="283"/>
              <w:rPr/>
            </w:pPr>
            <w:r>
              <w:rPr/>
              <w:t> </w:t>
            </w:r>
          </w:p>
        </w:tc>
        <w:tc>
          <w:tcPr>
            <w:tcW w:w="24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918" w:type="dxa"/>
            <w:gridSpan w:val="2"/>
            <w:tcBorders/>
            <w:shd w:fill="FFFFFF" w:val="clear"/>
            <w:vAlign w:val="center"/>
          </w:tcPr>
          <w:p>
            <w:pPr>
              <w:pStyle w:val="TableContents"/>
              <w:spacing w:before="0" w:after="0"/>
              <w:ind w:left="0" w:right="0" w:hanging="0"/>
              <w:rPr>
                <w:caps w:val="false"/>
                <w:smallCaps w:val="false"/>
              </w:rPr>
            </w:pPr>
            <w:r>
              <w:rPr>
                <w:caps w:val="false"/>
                <w:smallCaps w:val="false"/>
              </w:rPr>
              <w:t>​</w:t>
            </w:r>
          </w:p>
        </w:tc>
        <w:tc>
          <w:tcPr>
            <w:tcW w:w="94" w:type="dxa"/>
            <w:tcBorders/>
            <w:shd w:fill="FFFFFF" w:val="clear"/>
            <w:vAlign w:val="center"/>
          </w:tcPr>
          <w:p>
            <w:pPr>
              <w:pStyle w:val="TableContents"/>
              <w:spacing w:before="0" w:after="283"/>
              <w:rPr/>
            </w:pPr>
            <w:r>
              <w:rPr/>
              <w:t> </w:t>
            </w:r>
          </w:p>
        </w:tc>
        <w:tc>
          <w:tcPr>
            <w:tcW w:w="71" w:type="dxa"/>
            <w:tcBorders/>
            <w:shd w:fill="FFFFFF" w:val="clear"/>
            <w:vAlign w:val="center"/>
          </w:tcPr>
          <w:p>
            <w:pPr>
              <w:pStyle w:val="TableContents"/>
              <w:spacing w:before="0" w:after="283"/>
              <w:rPr/>
            </w:pPr>
            <w:r>
              <w:rPr/>
              <w:t> </w:t>
            </w:r>
          </w:p>
        </w:tc>
        <w:tc>
          <w:tcPr>
            <w:tcW w:w="71" w:type="dxa"/>
            <w:tcBorders/>
            <w:shd w:fill="FFFFFF" w:val="clear"/>
            <w:vAlign w:val="center"/>
          </w:tcPr>
          <w:p>
            <w:pPr>
              <w:pStyle w:val="TableContents"/>
              <w:spacing w:before="0" w:after="283"/>
              <w:rPr/>
            </w:pPr>
            <w:r>
              <w:rPr/>
              <w:t> </w:t>
            </w:r>
          </w:p>
        </w:tc>
        <w:tc>
          <w:tcPr>
            <w:tcW w:w="574" w:type="dxa"/>
            <w:tcBorders/>
            <w:shd w:fill="FFFFFF" w:val="clear"/>
            <w:vAlign w:val="center"/>
          </w:tcPr>
          <w:p>
            <w:pPr>
              <w:pStyle w:val="TableContents"/>
              <w:spacing w:before="0" w:after="283"/>
              <w:rPr/>
            </w:pPr>
            <w:r>
              <w:rPr/>
              <w:t> </w:t>
            </w:r>
          </w:p>
        </w:tc>
        <w:tc>
          <w:tcPr>
            <w:tcW w:w="245" w:type="dxa"/>
            <w:tcBorders/>
            <w:shd w:fill="FFFFFF" w:val="clear"/>
            <w:vAlign w:val="center"/>
          </w:tcPr>
          <w:p>
            <w:pPr>
              <w:pStyle w:val="TableContents"/>
              <w:spacing w:before="0" w:after="283"/>
              <w:rPr/>
            </w:pPr>
            <w:r>
              <w:rPr/>
              <w:t> </w:t>
            </w:r>
          </w:p>
        </w:tc>
      </w:tr>
      <w:tr>
        <w:trPr/>
        <w:tc>
          <w:tcPr>
            <w:tcW w:w="273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Research and development</w:t>
            </w:r>
          </w:p>
        </w:tc>
        <w:tc>
          <w:tcPr>
            <w:tcW w:w="60" w:type="dxa"/>
            <w:tcBorders/>
            <w:shd w:fill="CCEEFF" w:val="clear"/>
            <w:vAlign w:val="center"/>
          </w:tcPr>
          <w:p>
            <w:pPr>
              <w:pStyle w:val="TableContents"/>
              <w:spacing w:before="0" w:after="283"/>
              <w:rPr/>
            </w:pPr>
            <w:r>
              <w:rPr/>
              <w:t> </w:t>
            </w:r>
          </w:p>
        </w:tc>
        <w:tc>
          <w:tcPr>
            <w:tcW w:w="138" w:type="dxa"/>
            <w:tcBorders/>
            <w:shd w:fill="CCEEFF" w:val="clear"/>
            <w:vAlign w:val="center"/>
          </w:tcPr>
          <w:p>
            <w:pPr>
              <w:pStyle w:val="TableContents"/>
              <w:spacing w:before="0" w:after="283"/>
              <w:ind w:left="0" w:right="0" w:hanging="0"/>
              <w:rPr/>
            </w:pPr>
            <w:r>
              <w:rPr/>
              <w:t> </w:t>
            </w:r>
          </w:p>
        </w:tc>
        <w:tc>
          <w:tcPr>
            <w:tcW w:w="718"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8,536</w:t>
            </w:r>
          </w:p>
        </w:tc>
        <w:tc>
          <w:tcPr>
            <w:tcW w:w="88" w:type="dxa"/>
            <w:tcBorders/>
            <w:shd w:fill="CCEEFF" w:val="clear"/>
            <w:vAlign w:val="center"/>
          </w:tcPr>
          <w:p>
            <w:pPr>
              <w:pStyle w:val="TableContents"/>
              <w:spacing w:before="0" w:after="283"/>
              <w:rPr/>
            </w:pPr>
            <w:r>
              <w:rPr/>
              <w:t> </w:t>
            </w:r>
          </w:p>
        </w:tc>
        <w:tc>
          <w:tcPr>
            <w:tcW w:w="66" w:type="dxa"/>
            <w:tcBorders/>
            <w:shd w:fill="CCEEFF" w:val="clear"/>
            <w:vAlign w:val="center"/>
          </w:tcPr>
          <w:p>
            <w:pPr>
              <w:pStyle w:val="TableContents"/>
              <w:spacing w:before="0" w:after="283"/>
              <w:rPr/>
            </w:pPr>
            <w:r>
              <w:rPr/>
              <w:t> </w:t>
            </w:r>
          </w:p>
        </w:tc>
        <w:tc>
          <w:tcPr>
            <w:tcW w:w="66" w:type="dxa"/>
            <w:tcBorders/>
            <w:shd w:fill="CCEEFF" w:val="clear"/>
            <w:vAlign w:val="center"/>
          </w:tcPr>
          <w:p>
            <w:pPr>
              <w:pStyle w:val="TableContents"/>
              <w:spacing w:before="0" w:after="283"/>
              <w:ind w:left="0" w:right="0" w:hanging="0"/>
              <w:rPr/>
            </w:pPr>
            <w:r>
              <w:rPr/>
              <w:t> </w:t>
            </w:r>
          </w:p>
        </w:tc>
        <w:tc>
          <w:tcPr>
            <w:tcW w:w="652"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16.10</w:t>
            </w:r>
          </w:p>
        </w:tc>
        <w:tc>
          <w:tcPr>
            <w:tcW w:w="24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spacing w:before="0" w:after="283"/>
              <w:rPr/>
            </w:pPr>
            <w:r>
              <w:rPr/>
              <w:t> </w:t>
            </w:r>
          </w:p>
        </w:tc>
        <w:tc>
          <w:tcPr>
            <w:tcW w:w="148" w:type="dxa"/>
            <w:tcBorders/>
            <w:shd w:fill="CCEEFF" w:val="clear"/>
            <w:vAlign w:val="center"/>
          </w:tcPr>
          <w:p>
            <w:pPr>
              <w:pStyle w:val="TableContents"/>
              <w:spacing w:before="0" w:after="283"/>
              <w:ind w:left="0" w:right="0" w:hanging="0"/>
              <w:rPr/>
            </w:pPr>
            <w:r>
              <w:rPr/>
              <w:t> </w:t>
            </w:r>
          </w:p>
        </w:tc>
        <w:tc>
          <w:tcPr>
            <w:tcW w:w="77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9,486</w:t>
            </w:r>
          </w:p>
        </w:tc>
        <w:tc>
          <w:tcPr>
            <w:tcW w:w="94" w:type="dxa"/>
            <w:tcBorders/>
            <w:shd w:fill="CCEEFF" w:val="clear"/>
            <w:vAlign w:val="center"/>
          </w:tcPr>
          <w:p>
            <w:pPr>
              <w:pStyle w:val="TableContents"/>
              <w:spacing w:before="0" w:after="283"/>
              <w:rPr/>
            </w:pPr>
            <w:r>
              <w:rPr/>
              <w:t> </w:t>
            </w:r>
          </w:p>
        </w:tc>
        <w:tc>
          <w:tcPr>
            <w:tcW w:w="71" w:type="dxa"/>
            <w:tcBorders/>
            <w:shd w:fill="CCEEFF" w:val="clear"/>
            <w:vAlign w:val="center"/>
          </w:tcPr>
          <w:p>
            <w:pPr>
              <w:pStyle w:val="TableContents"/>
              <w:spacing w:before="0" w:after="283"/>
              <w:rPr/>
            </w:pPr>
            <w:r>
              <w:rPr/>
              <w:t> </w:t>
            </w:r>
          </w:p>
        </w:tc>
        <w:tc>
          <w:tcPr>
            <w:tcW w:w="71" w:type="dxa"/>
            <w:tcBorders/>
            <w:shd w:fill="CCEEFF" w:val="clear"/>
            <w:vAlign w:val="center"/>
          </w:tcPr>
          <w:p>
            <w:pPr>
              <w:pStyle w:val="TableContents"/>
              <w:spacing w:before="0" w:after="283"/>
              <w:ind w:left="0" w:right="0" w:hanging="0"/>
              <w:rPr/>
            </w:pPr>
            <w:r>
              <w:rPr/>
              <w:t> </w:t>
            </w:r>
          </w:p>
        </w:tc>
        <w:tc>
          <w:tcPr>
            <w:tcW w:w="574"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18.2</w:t>
            </w:r>
          </w:p>
        </w:tc>
        <w:tc>
          <w:tcPr>
            <w:tcW w:w="24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2735"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Sales and marketing</w:t>
            </w:r>
          </w:p>
        </w:tc>
        <w:tc>
          <w:tcPr>
            <w:tcW w:w="60" w:type="dxa"/>
            <w:tcBorders/>
            <w:shd w:fill="FFFFFF" w:val="clear"/>
            <w:vAlign w:val="center"/>
          </w:tcPr>
          <w:p>
            <w:pPr>
              <w:pStyle w:val="TableContents"/>
              <w:spacing w:before="0" w:after="283"/>
              <w:rPr/>
            </w:pPr>
            <w:r>
              <w:rPr/>
              <w:t> </w:t>
            </w:r>
          </w:p>
        </w:tc>
        <w:tc>
          <w:tcPr>
            <w:tcW w:w="138" w:type="dxa"/>
            <w:tcBorders/>
            <w:shd w:fill="FFFFFF" w:val="clear"/>
            <w:vAlign w:val="center"/>
          </w:tcPr>
          <w:p>
            <w:pPr>
              <w:pStyle w:val="TableContents"/>
              <w:spacing w:before="0" w:after="283"/>
              <w:ind w:left="0" w:right="0" w:hanging="0"/>
              <w:rPr/>
            </w:pPr>
            <w:r>
              <w:rPr/>
              <w:t> </w:t>
            </w:r>
          </w:p>
        </w:tc>
        <w:tc>
          <w:tcPr>
            <w:tcW w:w="718"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2,327</w:t>
            </w:r>
          </w:p>
        </w:tc>
        <w:tc>
          <w:tcPr>
            <w:tcW w:w="88" w:type="dxa"/>
            <w:tcBorders/>
            <w:shd w:fill="FFFFFF" w:val="clear"/>
            <w:vAlign w:val="center"/>
          </w:tcPr>
          <w:p>
            <w:pPr>
              <w:pStyle w:val="TableContents"/>
              <w:spacing w:before="0" w:after="283"/>
              <w:rPr/>
            </w:pPr>
            <w:r>
              <w:rPr/>
              <w:t> </w:t>
            </w:r>
          </w:p>
        </w:tc>
        <w:tc>
          <w:tcPr>
            <w:tcW w:w="66" w:type="dxa"/>
            <w:tcBorders/>
            <w:shd w:fill="FFFFFF" w:val="clear"/>
            <w:vAlign w:val="center"/>
          </w:tcPr>
          <w:p>
            <w:pPr>
              <w:pStyle w:val="TableContents"/>
              <w:spacing w:before="0" w:after="283"/>
              <w:rPr/>
            </w:pPr>
            <w:r>
              <w:rPr/>
              <w:t> </w:t>
            </w:r>
          </w:p>
        </w:tc>
        <w:tc>
          <w:tcPr>
            <w:tcW w:w="66" w:type="dxa"/>
            <w:tcBorders/>
            <w:shd w:fill="FFFFFF" w:val="clear"/>
            <w:vAlign w:val="center"/>
          </w:tcPr>
          <w:p>
            <w:pPr>
              <w:pStyle w:val="TableContents"/>
              <w:spacing w:before="0" w:after="283"/>
              <w:ind w:left="0" w:right="0" w:hanging="0"/>
              <w:rPr/>
            </w:pPr>
            <w:r>
              <w:rPr/>
              <w:t> </w:t>
            </w:r>
          </w:p>
        </w:tc>
        <w:tc>
          <w:tcPr>
            <w:tcW w:w="652"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4.39</w:t>
            </w:r>
          </w:p>
        </w:tc>
        <w:tc>
          <w:tcPr>
            <w:tcW w:w="24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spacing w:before="0" w:after="283"/>
              <w:rPr/>
            </w:pPr>
            <w:r>
              <w:rPr/>
              <w:t> </w:t>
            </w:r>
          </w:p>
        </w:tc>
        <w:tc>
          <w:tcPr>
            <w:tcW w:w="148" w:type="dxa"/>
            <w:tcBorders/>
            <w:shd w:fill="FFFFFF" w:val="clear"/>
            <w:vAlign w:val="center"/>
          </w:tcPr>
          <w:p>
            <w:pPr>
              <w:pStyle w:val="TableContents"/>
              <w:spacing w:before="0" w:after="283"/>
              <w:ind w:left="0" w:right="0" w:hanging="0"/>
              <w:rPr/>
            </w:pPr>
            <w:r>
              <w:rPr/>
              <w:t> </w:t>
            </w:r>
          </w:p>
        </w:tc>
        <w:tc>
          <w:tcPr>
            <w:tcW w:w="77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2,558</w:t>
            </w:r>
          </w:p>
        </w:tc>
        <w:tc>
          <w:tcPr>
            <w:tcW w:w="94" w:type="dxa"/>
            <w:tcBorders/>
            <w:shd w:fill="FFFFFF" w:val="clear"/>
            <w:vAlign w:val="center"/>
          </w:tcPr>
          <w:p>
            <w:pPr>
              <w:pStyle w:val="TableContents"/>
              <w:spacing w:before="0" w:after="283"/>
              <w:rPr/>
            </w:pPr>
            <w:r>
              <w:rPr/>
              <w:t> </w:t>
            </w:r>
          </w:p>
        </w:tc>
        <w:tc>
          <w:tcPr>
            <w:tcW w:w="71" w:type="dxa"/>
            <w:tcBorders/>
            <w:shd w:fill="FFFFFF" w:val="clear"/>
            <w:vAlign w:val="center"/>
          </w:tcPr>
          <w:p>
            <w:pPr>
              <w:pStyle w:val="TableContents"/>
              <w:spacing w:before="0" w:after="283"/>
              <w:rPr/>
            </w:pPr>
            <w:r>
              <w:rPr/>
              <w:t> </w:t>
            </w:r>
          </w:p>
        </w:tc>
        <w:tc>
          <w:tcPr>
            <w:tcW w:w="71" w:type="dxa"/>
            <w:tcBorders/>
            <w:shd w:fill="FFFFFF" w:val="clear"/>
            <w:vAlign w:val="center"/>
          </w:tcPr>
          <w:p>
            <w:pPr>
              <w:pStyle w:val="TableContents"/>
              <w:spacing w:before="0" w:after="283"/>
              <w:ind w:left="0" w:right="0" w:hanging="0"/>
              <w:rPr/>
            </w:pPr>
            <w:r>
              <w:rPr/>
              <w:t> </w:t>
            </w:r>
          </w:p>
        </w:tc>
        <w:tc>
          <w:tcPr>
            <w:tcW w:w="574"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4.9</w:t>
            </w:r>
          </w:p>
        </w:tc>
        <w:tc>
          <w:tcPr>
            <w:tcW w:w="24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273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General and administrative</w:t>
            </w:r>
          </w:p>
        </w:tc>
        <w:tc>
          <w:tcPr>
            <w:tcW w:w="60" w:type="dxa"/>
            <w:tcBorders/>
            <w:shd w:fill="CCEEFF" w:val="clear"/>
            <w:vAlign w:val="center"/>
          </w:tcPr>
          <w:p>
            <w:pPr>
              <w:pStyle w:val="TableContents"/>
              <w:spacing w:before="0" w:after="283"/>
              <w:rPr/>
            </w:pPr>
            <w:r>
              <w:rPr/>
              <w:t> </w:t>
            </w:r>
          </w:p>
        </w:tc>
        <w:tc>
          <w:tcPr>
            <w:tcW w:w="138"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718"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12,548</w:t>
            </w:r>
          </w:p>
        </w:tc>
        <w:tc>
          <w:tcPr>
            <w:tcW w:w="88" w:type="dxa"/>
            <w:tcBorders/>
            <w:shd w:fill="CCEEFF" w:val="clear"/>
            <w:vAlign w:val="center"/>
          </w:tcPr>
          <w:p>
            <w:pPr>
              <w:pStyle w:val="TableContents"/>
              <w:spacing w:before="0" w:after="283"/>
              <w:rPr/>
            </w:pPr>
            <w:r>
              <w:rPr/>
              <w:t> </w:t>
            </w:r>
          </w:p>
        </w:tc>
        <w:tc>
          <w:tcPr>
            <w:tcW w:w="66" w:type="dxa"/>
            <w:tcBorders/>
            <w:shd w:fill="CCEEFF" w:val="clear"/>
            <w:vAlign w:val="center"/>
          </w:tcPr>
          <w:p>
            <w:pPr>
              <w:pStyle w:val="TableContents"/>
              <w:spacing w:before="0" w:after="283"/>
              <w:rPr/>
            </w:pPr>
            <w:r>
              <w:rPr/>
              <w:t> </w:t>
            </w:r>
          </w:p>
        </w:tc>
        <w:tc>
          <w:tcPr>
            <w:tcW w:w="66"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52"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23.66</w:t>
            </w:r>
          </w:p>
        </w:tc>
        <w:tc>
          <w:tcPr>
            <w:tcW w:w="24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spacing w:before="0" w:after="283"/>
              <w:rPr/>
            </w:pPr>
            <w:r>
              <w:rPr/>
              <w:t> </w:t>
            </w:r>
          </w:p>
        </w:tc>
        <w:tc>
          <w:tcPr>
            <w:tcW w:w="148"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77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11,220</w:t>
            </w:r>
          </w:p>
        </w:tc>
        <w:tc>
          <w:tcPr>
            <w:tcW w:w="94" w:type="dxa"/>
            <w:tcBorders/>
            <w:shd w:fill="CCEEFF" w:val="clear"/>
            <w:vAlign w:val="center"/>
          </w:tcPr>
          <w:p>
            <w:pPr>
              <w:pStyle w:val="TableContents"/>
              <w:spacing w:before="0" w:after="283"/>
              <w:rPr/>
            </w:pPr>
            <w:r>
              <w:rPr/>
              <w:t> </w:t>
            </w:r>
          </w:p>
        </w:tc>
        <w:tc>
          <w:tcPr>
            <w:tcW w:w="71" w:type="dxa"/>
            <w:tcBorders/>
            <w:shd w:fill="CCEEFF" w:val="clear"/>
            <w:vAlign w:val="center"/>
          </w:tcPr>
          <w:p>
            <w:pPr>
              <w:pStyle w:val="TableContents"/>
              <w:spacing w:before="0" w:after="283"/>
              <w:rPr/>
            </w:pPr>
            <w:r>
              <w:rPr/>
              <w:t> </w:t>
            </w:r>
          </w:p>
        </w:tc>
        <w:tc>
          <w:tcPr>
            <w:tcW w:w="71"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574"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21.5</w:t>
            </w:r>
          </w:p>
        </w:tc>
        <w:tc>
          <w:tcPr>
            <w:tcW w:w="24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2735"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Total operating expenses</w:t>
            </w:r>
          </w:p>
        </w:tc>
        <w:tc>
          <w:tcPr>
            <w:tcW w:w="60" w:type="dxa"/>
            <w:tcBorders/>
            <w:shd w:fill="FFFFFF" w:val="clear"/>
            <w:vAlign w:val="center"/>
          </w:tcPr>
          <w:p>
            <w:pPr>
              <w:pStyle w:val="TableContents"/>
              <w:spacing w:before="0" w:after="283"/>
              <w:rPr/>
            </w:pPr>
            <w:r>
              <w:rPr/>
              <w:t> </w:t>
            </w:r>
          </w:p>
        </w:tc>
        <w:tc>
          <w:tcPr>
            <w:tcW w:w="138"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718"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23,411</w:t>
            </w:r>
          </w:p>
        </w:tc>
        <w:tc>
          <w:tcPr>
            <w:tcW w:w="88" w:type="dxa"/>
            <w:tcBorders/>
            <w:shd w:fill="FFFFFF" w:val="clear"/>
            <w:vAlign w:val="center"/>
          </w:tcPr>
          <w:p>
            <w:pPr>
              <w:pStyle w:val="TableContents"/>
              <w:spacing w:before="0" w:after="283"/>
              <w:rPr/>
            </w:pPr>
            <w:r>
              <w:rPr/>
              <w:t> </w:t>
            </w:r>
          </w:p>
        </w:tc>
        <w:tc>
          <w:tcPr>
            <w:tcW w:w="66" w:type="dxa"/>
            <w:tcBorders/>
            <w:shd w:fill="FFFFFF" w:val="clear"/>
            <w:vAlign w:val="center"/>
          </w:tcPr>
          <w:p>
            <w:pPr>
              <w:pStyle w:val="TableContents"/>
              <w:spacing w:before="0" w:after="283"/>
              <w:rPr/>
            </w:pPr>
            <w:r>
              <w:rPr/>
              <w:t> </w:t>
            </w:r>
          </w:p>
        </w:tc>
        <w:tc>
          <w:tcPr>
            <w:tcW w:w="66"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52"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44.15</w:t>
            </w:r>
          </w:p>
        </w:tc>
        <w:tc>
          <w:tcPr>
            <w:tcW w:w="24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spacing w:before="0" w:after="283"/>
              <w:rPr/>
            </w:pPr>
            <w:r>
              <w:rPr/>
              <w:t> </w:t>
            </w:r>
          </w:p>
        </w:tc>
        <w:tc>
          <w:tcPr>
            <w:tcW w:w="148"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77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23,264</w:t>
            </w:r>
          </w:p>
        </w:tc>
        <w:tc>
          <w:tcPr>
            <w:tcW w:w="94" w:type="dxa"/>
            <w:tcBorders/>
            <w:shd w:fill="FFFFFF" w:val="clear"/>
            <w:vAlign w:val="center"/>
          </w:tcPr>
          <w:p>
            <w:pPr>
              <w:pStyle w:val="TableContents"/>
              <w:spacing w:before="0" w:after="283"/>
              <w:rPr/>
            </w:pPr>
            <w:r>
              <w:rPr/>
              <w:t> </w:t>
            </w:r>
          </w:p>
        </w:tc>
        <w:tc>
          <w:tcPr>
            <w:tcW w:w="71" w:type="dxa"/>
            <w:tcBorders/>
            <w:shd w:fill="FFFFFF" w:val="clear"/>
            <w:vAlign w:val="center"/>
          </w:tcPr>
          <w:p>
            <w:pPr>
              <w:pStyle w:val="TableContents"/>
              <w:spacing w:before="0" w:after="283"/>
              <w:rPr/>
            </w:pPr>
            <w:r>
              <w:rPr/>
              <w:t> </w:t>
            </w:r>
          </w:p>
        </w:tc>
        <w:tc>
          <w:tcPr>
            <w:tcW w:w="71"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74"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44.5</w:t>
            </w:r>
          </w:p>
        </w:tc>
        <w:tc>
          <w:tcPr>
            <w:tcW w:w="24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273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Loss from operations</w:t>
            </w:r>
          </w:p>
        </w:tc>
        <w:tc>
          <w:tcPr>
            <w:tcW w:w="60" w:type="dxa"/>
            <w:tcBorders/>
            <w:shd w:fill="CCEEFF" w:val="clear"/>
            <w:vAlign w:val="center"/>
          </w:tcPr>
          <w:p>
            <w:pPr>
              <w:pStyle w:val="TableContents"/>
              <w:spacing w:before="0" w:after="283"/>
              <w:rPr/>
            </w:pPr>
            <w:r>
              <w:rPr/>
              <w:t> </w:t>
            </w:r>
          </w:p>
        </w:tc>
        <w:tc>
          <w:tcPr>
            <w:tcW w:w="138"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718"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(14,167</w:t>
            </w:r>
          </w:p>
        </w:tc>
        <w:tc>
          <w:tcPr>
            <w:tcW w:w="88"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6" w:type="dxa"/>
            <w:tcBorders/>
            <w:shd w:fill="CCEEFF" w:val="clear"/>
            <w:vAlign w:val="center"/>
          </w:tcPr>
          <w:p>
            <w:pPr>
              <w:pStyle w:val="TableContents"/>
              <w:spacing w:before="0" w:after="283"/>
              <w:rPr/>
            </w:pPr>
            <w:r>
              <w:rPr/>
              <w:t> </w:t>
            </w:r>
          </w:p>
        </w:tc>
        <w:tc>
          <w:tcPr>
            <w:tcW w:w="66"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52"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(26.72</w:t>
            </w:r>
          </w:p>
        </w:tc>
        <w:tc>
          <w:tcPr>
            <w:tcW w:w="24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spacing w:before="0" w:after="283"/>
              <w:rPr/>
            </w:pPr>
            <w:r>
              <w:rPr/>
              <w:t> </w:t>
            </w:r>
          </w:p>
        </w:tc>
        <w:tc>
          <w:tcPr>
            <w:tcW w:w="148"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77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(14,239</w:t>
            </w:r>
          </w:p>
        </w:tc>
        <w:tc>
          <w:tcPr>
            <w:tcW w:w="94"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71" w:type="dxa"/>
            <w:tcBorders/>
            <w:shd w:fill="CCEEFF" w:val="clear"/>
            <w:vAlign w:val="center"/>
          </w:tcPr>
          <w:p>
            <w:pPr>
              <w:pStyle w:val="TableContents"/>
              <w:spacing w:before="0" w:after="283"/>
              <w:rPr/>
            </w:pPr>
            <w:r>
              <w:rPr/>
              <w:t> </w:t>
            </w:r>
          </w:p>
        </w:tc>
        <w:tc>
          <w:tcPr>
            <w:tcW w:w="71"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574"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(27.3</w:t>
            </w:r>
          </w:p>
        </w:tc>
        <w:tc>
          <w:tcPr>
            <w:tcW w:w="24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2735"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Other income (expense)</w:t>
            </w:r>
          </w:p>
        </w:tc>
        <w:tc>
          <w:tcPr>
            <w:tcW w:w="60" w:type="dxa"/>
            <w:tcBorders/>
            <w:shd w:fill="FFFFFF" w:val="clear"/>
            <w:vAlign w:val="center"/>
          </w:tcPr>
          <w:p>
            <w:pPr>
              <w:pStyle w:val="TableContents"/>
              <w:spacing w:before="0" w:after="283"/>
              <w:ind w:left="0" w:right="0" w:hanging="0"/>
              <w:rPr/>
            </w:pPr>
            <w:r>
              <w:rPr/>
              <w:t> </w:t>
            </w:r>
          </w:p>
        </w:tc>
        <w:tc>
          <w:tcPr>
            <w:tcW w:w="856" w:type="dxa"/>
            <w:gridSpan w:val="2"/>
            <w:tcBorders/>
            <w:shd w:fill="FFFFFF" w:val="clear"/>
            <w:vAlign w:val="center"/>
          </w:tcPr>
          <w:p>
            <w:pPr>
              <w:pStyle w:val="TableContents"/>
              <w:spacing w:before="0" w:after="0"/>
              <w:ind w:left="0" w:right="0" w:hanging="0"/>
              <w:rPr>
                <w:caps w:val="false"/>
                <w:smallCaps w:val="false"/>
              </w:rPr>
            </w:pPr>
            <w:r>
              <w:rPr>
                <w:caps w:val="false"/>
                <w:smallCaps w:val="false"/>
              </w:rPr>
              <w:t>​</w:t>
            </w:r>
          </w:p>
        </w:tc>
        <w:tc>
          <w:tcPr>
            <w:tcW w:w="88" w:type="dxa"/>
            <w:tcBorders/>
            <w:shd w:fill="FFFFFF" w:val="clear"/>
            <w:vAlign w:val="center"/>
          </w:tcPr>
          <w:p>
            <w:pPr>
              <w:pStyle w:val="TableContents"/>
              <w:spacing w:before="0" w:after="283"/>
              <w:rPr/>
            </w:pPr>
            <w:r>
              <w:rPr/>
              <w:t> </w:t>
            </w:r>
          </w:p>
        </w:tc>
        <w:tc>
          <w:tcPr>
            <w:tcW w:w="66" w:type="dxa"/>
            <w:tcBorders/>
            <w:shd w:fill="FFFFFF" w:val="clear"/>
            <w:vAlign w:val="center"/>
          </w:tcPr>
          <w:p>
            <w:pPr>
              <w:pStyle w:val="TableContents"/>
              <w:spacing w:before="0" w:after="283"/>
              <w:rPr/>
            </w:pPr>
            <w:r>
              <w:rPr/>
              <w:t> </w:t>
            </w:r>
          </w:p>
        </w:tc>
        <w:tc>
          <w:tcPr>
            <w:tcW w:w="66" w:type="dxa"/>
            <w:tcBorders/>
            <w:shd w:fill="FFFFFF" w:val="clear"/>
            <w:vAlign w:val="center"/>
          </w:tcPr>
          <w:p>
            <w:pPr>
              <w:pStyle w:val="TableContents"/>
              <w:spacing w:before="0" w:after="283"/>
              <w:rPr/>
            </w:pPr>
            <w:r>
              <w:rPr/>
              <w:t> </w:t>
            </w:r>
          </w:p>
        </w:tc>
        <w:tc>
          <w:tcPr>
            <w:tcW w:w="652" w:type="dxa"/>
            <w:tcBorders/>
            <w:shd w:fill="FFFFFF" w:val="clear"/>
            <w:vAlign w:val="center"/>
          </w:tcPr>
          <w:p>
            <w:pPr>
              <w:pStyle w:val="TableContents"/>
              <w:spacing w:before="0" w:after="283"/>
              <w:rPr/>
            </w:pPr>
            <w:r>
              <w:rPr/>
              <w:t> </w:t>
            </w:r>
          </w:p>
        </w:tc>
        <w:tc>
          <w:tcPr>
            <w:tcW w:w="24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918" w:type="dxa"/>
            <w:gridSpan w:val="2"/>
            <w:tcBorders/>
            <w:shd w:fill="FFFFFF" w:val="clear"/>
            <w:vAlign w:val="center"/>
          </w:tcPr>
          <w:p>
            <w:pPr>
              <w:pStyle w:val="TableContents"/>
              <w:spacing w:before="0" w:after="0"/>
              <w:ind w:left="0" w:right="0" w:hanging="0"/>
              <w:rPr>
                <w:caps w:val="false"/>
                <w:smallCaps w:val="false"/>
              </w:rPr>
            </w:pPr>
            <w:r>
              <w:rPr>
                <w:caps w:val="false"/>
                <w:smallCaps w:val="false"/>
              </w:rPr>
              <w:t>​</w:t>
            </w:r>
          </w:p>
        </w:tc>
        <w:tc>
          <w:tcPr>
            <w:tcW w:w="94" w:type="dxa"/>
            <w:tcBorders/>
            <w:shd w:fill="FFFFFF" w:val="clear"/>
            <w:vAlign w:val="center"/>
          </w:tcPr>
          <w:p>
            <w:pPr>
              <w:pStyle w:val="TableContents"/>
              <w:spacing w:before="0" w:after="283"/>
              <w:rPr/>
            </w:pPr>
            <w:r>
              <w:rPr/>
              <w:t> </w:t>
            </w:r>
          </w:p>
        </w:tc>
        <w:tc>
          <w:tcPr>
            <w:tcW w:w="71" w:type="dxa"/>
            <w:tcBorders/>
            <w:shd w:fill="FFFFFF" w:val="clear"/>
            <w:vAlign w:val="center"/>
          </w:tcPr>
          <w:p>
            <w:pPr>
              <w:pStyle w:val="TableContents"/>
              <w:spacing w:before="0" w:after="283"/>
              <w:rPr/>
            </w:pPr>
            <w:r>
              <w:rPr/>
              <w:t> </w:t>
            </w:r>
          </w:p>
        </w:tc>
        <w:tc>
          <w:tcPr>
            <w:tcW w:w="71" w:type="dxa"/>
            <w:tcBorders/>
            <w:shd w:fill="FFFFFF" w:val="clear"/>
            <w:vAlign w:val="center"/>
          </w:tcPr>
          <w:p>
            <w:pPr>
              <w:pStyle w:val="TableContents"/>
              <w:spacing w:before="0" w:after="283"/>
              <w:rPr/>
            </w:pPr>
            <w:r>
              <w:rPr/>
              <w:t> </w:t>
            </w:r>
          </w:p>
        </w:tc>
        <w:tc>
          <w:tcPr>
            <w:tcW w:w="574" w:type="dxa"/>
            <w:tcBorders/>
            <w:shd w:fill="FFFFFF" w:val="clear"/>
            <w:vAlign w:val="center"/>
          </w:tcPr>
          <w:p>
            <w:pPr>
              <w:pStyle w:val="TableContents"/>
              <w:spacing w:before="0" w:after="283"/>
              <w:rPr/>
            </w:pPr>
            <w:r>
              <w:rPr/>
              <w:t> </w:t>
            </w:r>
          </w:p>
        </w:tc>
        <w:tc>
          <w:tcPr>
            <w:tcW w:w="245" w:type="dxa"/>
            <w:tcBorders/>
            <w:shd w:fill="FFFFFF" w:val="clear"/>
            <w:vAlign w:val="center"/>
          </w:tcPr>
          <w:p>
            <w:pPr>
              <w:pStyle w:val="TableContents"/>
              <w:spacing w:before="0" w:after="283"/>
              <w:rPr/>
            </w:pPr>
            <w:r>
              <w:rPr/>
              <w:t> </w:t>
            </w:r>
          </w:p>
        </w:tc>
      </w:tr>
      <w:tr>
        <w:trPr/>
        <w:tc>
          <w:tcPr>
            <w:tcW w:w="273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Interest income</w:t>
            </w:r>
          </w:p>
        </w:tc>
        <w:tc>
          <w:tcPr>
            <w:tcW w:w="60" w:type="dxa"/>
            <w:tcBorders/>
            <w:shd w:fill="CCEEFF" w:val="clear"/>
            <w:vAlign w:val="center"/>
          </w:tcPr>
          <w:p>
            <w:pPr>
              <w:pStyle w:val="TableContents"/>
              <w:spacing w:before="0" w:after="283"/>
              <w:rPr/>
            </w:pPr>
            <w:r>
              <w:rPr/>
              <w:t> </w:t>
            </w:r>
          </w:p>
        </w:tc>
        <w:tc>
          <w:tcPr>
            <w:tcW w:w="138" w:type="dxa"/>
            <w:tcBorders/>
            <w:shd w:fill="CCEEFF" w:val="clear"/>
            <w:vAlign w:val="center"/>
          </w:tcPr>
          <w:p>
            <w:pPr>
              <w:pStyle w:val="TableContents"/>
              <w:spacing w:before="0" w:after="283"/>
              <w:ind w:left="0" w:right="0" w:hanging="0"/>
              <w:rPr/>
            </w:pPr>
            <w:r>
              <w:rPr/>
              <w:t> </w:t>
            </w:r>
          </w:p>
        </w:tc>
        <w:tc>
          <w:tcPr>
            <w:tcW w:w="718"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33</w:t>
            </w:r>
          </w:p>
        </w:tc>
        <w:tc>
          <w:tcPr>
            <w:tcW w:w="88" w:type="dxa"/>
            <w:tcBorders/>
            <w:shd w:fill="CCEEFF" w:val="clear"/>
            <w:vAlign w:val="center"/>
          </w:tcPr>
          <w:p>
            <w:pPr>
              <w:pStyle w:val="TableContents"/>
              <w:spacing w:before="0" w:after="283"/>
              <w:rPr/>
            </w:pPr>
            <w:r>
              <w:rPr/>
              <w:t> </w:t>
            </w:r>
          </w:p>
        </w:tc>
        <w:tc>
          <w:tcPr>
            <w:tcW w:w="66" w:type="dxa"/>
            <w:tcBorders/>
            <w:shd w:fill="CCEEFF" w:val="clear"/>
            <w:vAlign w:val="center"/>
          </w:tcPr>
          <w:p>
            <w:pPr>
              <w:pStyle w:val="TableContents"/>
              <w:spacing w:before="0" w:after="283"/>
              <w:rPr/>
            </w:pPr>
            <w:r>
              <w:rPr/>
              <w:t> </w:t>
            </w:r>
          </w:p>
        </w:tc>
        <w:tc>
          <w:tcPr>
            <w:tcW w:w="66" w:type="dxa"/>
            <w:tcBorders/>
            <w:shd w:fill="CCEEFF" w:val="clear"/>
            <w:vAlign w:val="center"/>
          </w:tcPr>
          <w:p>
            <w:pPr>
              <w:pStyle w:val="TableContents"/>
              <w:spacing w:before="0" w:after="283"/>
              <w:ind w:left="0" w:right="0" w:hanging="0"/>
              <w:rPr/>
            </w:pPr>
            <w:r>
              <w:rPr/>
              <w:t> </w:t>
            </w:r>
          </w:p>
        </w:tc>
        <w:tc>
          <w:tcPr>
            <w:tcW w:w="652"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0.06</w:t>
            </w:r>
          </w:p>
        </w:tc>
        <w:tc>
          <w:tcPr>
            <w:tcW w:w="24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spacing w:before="0" w:after="283"/>
              <w:rPr/>
            </w:pPr>
            <w:r>
              <w:rPr/>
              <w:t> </w:t>
            </w:r>
          </w:p>
        </w:tc>
        <w:tc>
          <w:tcPr>
            <w:tcW w:w="148" w:type="dxa"/>
            <w:tcBorders/>
            <w:shd w:fill="CCEEFF" w:val="clear"/>
            <w:vAlign w:val="center"/>
          </w:tcPr>
          <w:p>
            <w:pPr>
              <w:pStyle w:val="TableContents"/>
              <w:spacing w:before="0" w:after="283"/>
              <w:ind w:left="0" w:right="0" w:hanging="0"/>
              <w:rPr/>
            </w:pPr>
            <w:r>
              <w:rPr/>
              <w:t> </w:t>
            </w:r>
          </w:p>
        </w:tc>
        <w:tc>
          <w:tcPr>
            <w:tcW w:w="77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28</w:t>
            </w:r>
          </w:p>
        </w:tc>
        <w:tc>
          <w:tcPr>
            <w:tcW w:w="94" w:type="dxa"/>
            <w:tcBorders/>
            <w:shd w:fill="CCEEFF" w:val="clear"/>
            <w:vAlign w:val="center"/>
          </w:tcPr>
          <w:p>
            <w:pPr>
              <w:pStyle w:val="TableContents"/>
              <w:spacing w:before="0" w:after="283"/>
              <w:rPr/>
            </w:pPr>
            <w:r>
              <w:rPr/>
              <w:t> </w:t>
            </w:r>
          </w:p>
        </w:tc>
        <w:tc>
          <w:tcPr>
            <w:tcW w:w="71" w:type="dxa"/>
            <w:tcBorders/>
            <w:shd w:fill="CCEEFF" w:val="clear"/>
            <w:vAlign w:val="center"/>
          </w:tcPr>
          <w:p>
            <w:pPr>
              <w:pStyle w:val="TableContents"/>
              <w:spacing w:before="0" w:after="283"/>
              <w:rPr/>
            </w:pPr>
            <w:r>
              <w:rPr/>
              <w:t> </w:t>
            </w:r>
          </w:p>
        </w:tc>
        <w:tc>
          <w:tcPr>
            <w:tcW w:w="71" w:type="dxa"/>
            <w:tcBorders/>
            <w:shd w:fill="CCEEFF" w:val="clear"/>
            <w:vAlign w:val="center"/>
          </w:tcPr>
          <w:p>
            <w:pPr>
              <w:pStyle w:val="TableContents"/>
              <w:spacing w:before="0" w:after="283"/>
              <w:ind w:left="0" w:right="0" w:hanging="0"/>
              <w:rPr/>
            </w:pPr>
            <w:r>
              <w:rPr/>
              <w:t> </w:t>
            </w:r>
          </w:p>
        </w:tc>
        <w:tc>
          <w:tcPr>
            <w:tcW w:w="574"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0.1</w:t>
            </w:r>
          </w:p>
        </w:tc>
        <w:tc>
          <w:tcPr>
            <w:tcW w:w="24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2735"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Interest expense</w:t>
            </w:r>
          </w:p>
        </w:tc>
        <w:tc>
          <w:tcPr>
            <w:tcW w:w="60" w:type="dxa"/>
            <w:tcBorders/>
            <w:shd w:fill="FFFFFF" w:val="clear"/>
            <w:vAlign w:val="center"/>
          </w:tcPr>
          <w:p>
            <w:pPr>
              <w:pStyle w:val="TableContents"/>
              <w:spacing w:before="0" w:after="283"/>
              <w:rPr/>
            </w:pPr>
            <w:r>
              <w:rPr/>
              <w:t> </w:t>
            </w:r>
          </w:p>
        </w:tc>
        <w:tc>
          <w:tcPr>
            <w:tcW w:w="138" w:type="dxa"/>
            <w:tcBorders/>
            <w:shd w:fill="FFFFFF" w:val="clear"/>
            <w:vAlign w:val="center"/>
          </w:tcPr>
          <w:p>
            <w:pPr>
              <w:pStyle w:val="TableContents"/>
              <w:spacing w:before="0" w:after="283"/>
              <w:ind w:left="0" w:right="0" w:hanging="0"/>
              <w:rPr/>
            </w:pPr>
            <w:r>
              <w:rPr/>
              <w:t> </w:t>
            </w:r>
          </w:p>
        </w:tc>
        <w:tc>
          <w:tcPr>
            <w:tcW w:w="718"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(2,137</w:t>
            </w:r>
          </w:p>
        </w:tc>
        <w:tc>
          <w:tcPr>
            <w:tcW w:w="88"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6" w:type="dxa"/>
            <w:tcBorders/>
            <w:shd w:fill="FFFFFF" w:val="clear"/>
            <w:vAlign w:val="center"/>
          </w:tcPr>
          <w:p>
            <w:pPr>
              <w:pStyle w:val="TableContents"/>
              <w:spacing w:before="0" w:after="283"/>
              <w:rPr/>
            </w:pPr>
            <w:r>
              <w:rPr/>
              <w:t> </w:t>
            </w:r>
          </w:p>
        </w:tc>
        <w:tc>
          <w:tcPr>
            <w:tcW w:w="66" w:type="dxa"/>
            <w:tcBorders/>
            <w:shd w:fill="FFFFFF" w:val="clear"/>
            <w:vAlign w:val="center"/>
          </w:tcPr>
          <w:p>
            <w:pPr>
              <w:pStyle w:val="TableContents"/>
              <w:spacing w:before="0" w:after="283"/>
              <w:ind w:left="0" w:right="0" w:hanging="0"/>
              <w:rPr/>
            </w:pPr>
            <w:r>
              <w:rPr/>
              <w:t> </w:t>
            </w:r>
          </w:p>
        </w:tc>
        <w:tc>
          <w:tcPr>
            <w:tcW w:w="652"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(4.03</w:t>
            </w:r>
          </w:p>
        </w:tc>
        <w:tc>
          <w:tcPr>
            <w:tcW w:w="24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spacing w:before="0" w:after="283"/>
              <w:rPr/>
            </w:pPr>
            <w:r>
              <w:rPr/>
              <w:t> </w:t>
            </w:r>
          </w:p>
        </w:tc>
        <w:tc>
          <w:tcPr>
            <w:tcW w:w="148" w:type="dxa"/>
            <w:tcBorders/>
            <w:shd w:fill="FFFFFF" w:val="clear"/>
            <w:vAlign w:val="center"/>
          </w:tcPr>
          <w:p>
            <w:pPr>
              <w:pStyle w:val="TableContents"/>
              <w:spacing w:before="0" w:after="283"/>
              <w:ind w:left="0" w:right="0" w:hanging="0"/>
              <w:rPr/>
            </w:pPr>
            <w:r>
              <w:rPr/>
              <w:t> </w:t>
            </w:r>
          </w:p>
        </w:tc>
        <w:tc>
          <w:tcPr>
            <w:tcW w:w="77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(1,401</w:t>
            </w:r>
          </w:p>
        </w:tc>
        <w:tc>
          <w:tcPr>
            <w:tcW w:w="94"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71" w:type="dxa"/>
            <w:tcBorders/>
            <w:shd w:fill="FFFFFF" w:val="clear"/>
            <w:vAlign w:val="center"/>
          </w:tcPr>
          <w:p>
            <w:pPr>
              <w:pStyle w:val="TableContents"/>
              <w:spacing w:before="0" w:after="283"/>
              <w:rPr/>
            </w:pPr>
            <w:r>
              <w:rPr/>
              <w:t> </w:t>
            </w:r>
          </w:p>
        </w:tc>
        <w:tc>
          <w:tcPr>
            <w:tcW w:w="71" w:type="dxa"/>
            <w:tcBorders/>
            <w:shd w:fill="FFFFFF" w:val="clear"/>
            <w:vAlign w:val="center"/>
          </w:tcPr>
          <w:p>
            <w:pPr>
              <w:pStyle w:val="TableContents"/>
              <w:spacing w:before="0" w:after="283"/>
              <w:ind w:left="0" w:right="0" w:hanging="0"/>
              <w:rPr/>
            </w:pPr>
            <w:r>
              <w:rPr/>
              <w:t> </w:t>
            </w:r>
          </w:p>
        </w:tc>
        <w:tc>
          <w:tcPr>
            <w:tcW w:w="574"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(2.7</w:t>
            </w:r>
          </w:p>
        </w:tc>
        <w:tc>
          <w:tcPr>
            <w:tcW w:w="24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273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Other income, net</w:t>
            </w:r>
          </w:p>
        </w:tc>
        <w:tc>
          <w:tcPr>
            <w:tcW w:w="60" w:type="dxa"/>
            <w:tcBorders/>
            <w:shd w:fill="CCEEFF" w:val="clear"/>
            <w:vAlign w:val="center"/>
          </w:tcPr>
          <w:p>
            <w:pPr>
              <w:pStyle w:val="TableContents"/>
              <w:spacing w:before="0" w:after="283"/>
              <w:rPr/>
            </w:pPr>
            <w:r>
              <w:rPr/>
              <w:t> </w:t>
            </w:r>
          </w:p>
        </w:tc>
        <w:tc>
          <w:tcPr>
            <w:tcW w:w="138"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718"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(21</w:t>
            </w:r>
          </w:p>
        </w:tc>
        <w:tc>
          <w:tcPr>
            <w:tcW w:w="88"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6" w:type="dxa"/>
            <w:tcBorders/>
            <w:shd w:fill="CCEEFF" w:val="clear"/>
            <w:vAlign w:val="center"/>
          </w:tcPr>
          <w:p>
            <w:pPr>
              <w:pStyle w:val="TableContents"/>
              <w:spacing w:before="0" w:after="283"/>
              <w:rPr/>
            </w:pPr>
            <w:r>
              <w:rPr/>
              <w:t> </w:t>
            </w:r>
          </w:p>
        </w:tc>
        <w:tc>
          <w:tcPr>
            <w:tcW w:w="66"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52"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(0.04</w:t>
            </w:r>
          </w:p>
        </w:tc>
        <w:tc>
          <w:tcPr>
            <w:tcW w:w="24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spacing w:before="0" w:after="283"/>
              <w:rPr/>
            </w:pPr>
            <w:r>
              <w:rPr/>
              <w:t> </w:t>
            </w:r>
          </w:p>
        </w:tc>
        <w:tc>
          <w:tcPr>
            <w:tcW w:w="148"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77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(450</w:t>
            </w:r>
          </w:p>
        </w:tc>
        <w:tc>
          <w:tcPr>
            <w:tcW w:w="94"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71" w:type="dxa"/>
            <w:tcBorders/>
            <w:shd w:fill="CCEEFF" w:val="clear"/>
            <w:vAlign w:val="center"/>
          </w:tcPr>
          <w:p>
            <w:pPr>
              <w:pStyle w:val="TableContents"/>
              <w:spacing w:before="0" w:after="283"/>
              <w:rPr/>
            </w:pPr>
            <w:r>
              <w:rPr/>
              <w:t> </w:t>
            </w:r>
          </w:p>
        </w:tc>
        <w:tc>
          <w:tcPr>
            <w:tcW w:w="71"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574"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(0.9</w:t>
            </w:r>
          </w:p>
        </w:tc>
        <w:tc>
          <w:tcPr>
            <w:tcW w:w="24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2735"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Total other income (expense), net</w:t>
            </w:r>
          </w:p>
        </w:tc>
        <w:tc>
          <w:tcPr>
            <w:tcW w:w="60" w:type="dxa"/>
            <w:tcBorders/>
            <w:shd w:fill="FFFFFF" w:val="clear"/>
            <w:vAlign w:val="center"/>
          </w:tcPr>
          <w:p>
            <w:pPr>
              <w:pStyle w:val="TableContents"/>
              <w:spacing w:before="0" w:after="283"/>
              <w:rPr/>
            </w:pPr>
            <w:r>
              <w:rPr/>
              <w:t> </w:t>
            </w:r>
          </w:p>
        </w:tc>
        <w:tc>
          <w:tcPr>
            <w:tcW w:w="138" w:type="dxa"/>
            <w:tcBorders/>
            <w:shd w:fill="FFFFFF" w:val="clear"/>
            <w:vAlign w:val="center"/>
          </w:tcPr>
          <w:p>
            <w:pPr>
              <w:pStyle w:val="TableContents"/>
              <w:spacing w:before="0" w:after="283"/>
              <w:ind w:left="0" w:right="0" w:hanging="0"/>
              <w:rPr/>
            </w:pPr>
            <w:r>
              <w:rPr/>
              <w:t> </w:t>
            </w:r>
          </w:p>
        </w:tc>
        <w:tc>
          <w:tcPr>
            <w:tcW w:w="718"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(2,125</w:t>
            </w:r>
          </w:p>
        </w:tc>
        <w:tc>
          <w:tcPr>
            <w:tcW w:w="88"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6" w:type="dxa"/>
            <w:tcBorders/>
            <w:shd w:fill="FFFFFF" w:val="clear"/>
            <w:vAlign w:val="center"/>
          </w:tcPr>
          <w:p>
            <w:pPr>
              <w:pStyle w:val="TableContents"/>
              <w:spacing w:before="0" w:after="283"/>
              <w:rPr/>
            </w:pPr>
            <w:r>
              <w:rPr/>
              <w:t> </w:t>
            </w:r>
          </w:p>
        </w:tc>
        <w:tc>
          <w:tcPr>
            <w:tcW w:w="66" w:type="dxa"/>
            <w:tcBorders/>
            <w:shd w:fill="FFFFFF" w:val="clear"/>
            <w:vAlign w:val="center"/>
          </w:tcPr>
          <w:p>
            <w:pPr>
              <w:pStyle w:val="TableContents"/>
              <w:spacing w:before="0" w:after="283"/>
              <w:ind w:left="0" w:right="0" w:hanging="0"/>
              <w:rPr/>
            </w:pPr>
            <w:r>
              <w:rPr/>
              <w:t> </w:t>
            </w:r>
          </w:p>
        </w:tc>
        <w:tc>
          <w:tcPr>
            <w:tcW w:w="652"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(4.01</w:t>
            </w:r>
          </w:p>
        </w:tc>
        <w:tc>
          <w:tcPr>
            <w:tcW w:w="24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spacing w:before="0" w:after="283"/>
              <w:rPr/>
            </w:pPr>
            <w:r>
              <w:rPr/>
              <w:t> </w:t>
            </w:r>
          </w:p>
        </w:tc>
        <w:tc>
          <w:tcPr>
            <w:tcW w:w="148" w:type="dxa"/>
            <w:tcBorders/>
            <w:shd w:fill="FFFFFF" w:val="clear"/>
            <w:vAlign w:val="center"/>
          </w:tcPr>
          <w:p>
            <w:pPr>
              <w:pStyle w:val="TableContents"/>
              <w:spacing w:before="0" w:after="283"/>
              <w:ind w:left="0" w:right="0" w:hanging="0"/>
              <w:rPr/>
            </w:pPr>
            <w:r>
              <w:rPr/>
              <w:t> </w:t>
            </w:r>
          </w:p>
        </w:tc>
        <w:tc>
          <w:tcPr>
            <w:tcW w:w="77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(1,823</w:t>
            </w:r>
          </w:p>
        </w:tc>
        <w:tc>
          <w:tcPr>
            <w:tcW w:w="94"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71" w:type="dxa"/>
            <w:tcBorders/>
            <w:shd w:fill="FFFFFF" w:val="clear"/>
            <w:vAlign w:val="center"/>
          </w:tcPr>
          <w:p>
            <w:pPr>
              <w:pStyle w:val="TableContents"/>
              <w:spacing w:before="0" w:after="283"/>
              <w:rPr/>
            </w:pPr>
            <w:r>
              <w:rPr/>
              <w:t> </w:t>
            </w:r>
          </w:p>
        </w:tc>
        <w:tc>
          <w:tcPr>
            <w:tcW w:w="71" w:type="dxa"/>
            <w:tcBorders/>
            <w:shd w:fill="FFFFFF" w:val="clear"/>
            <w:vAlign w:val="center"/>
          </w:tcPr>
          <w:p>
            <w:pPr>
              <w:pStyle w:val="TableContents"/>
              <w:spacing w:before="0" w:after="283"/>
              <w:ind w:left="0" w:right="0" w:hanging="0"/>
              <w:rPr/>
            </w:pPr>
            <w:r>
              <w:rPr/>
              <w:t> </w:t>
            </w:r>
          </w:p>
        </w:tc>
        <w:tc>
          <w:tcPr>
            <w:tcW w:w="574"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(3.5</w:t>
            </w:r>
          </w:p>
        </w:tc>
        <w:tc>
          <w:tcPr>
            <w:tcW w:w="24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273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Loss before income taxes</w:t>
            </w:r>
          </w:p>
        </w:tc>
        <w:tc>
          <w:tcPr>
            <w:tcW w:w="60" w:type="dxa"/>
            <w:tcBorders/>
            <w:shd w:fill="CCEEFF" w:val="clear"/>
            <w:vAlign w:val="center"/>
          </w:tcPr>
          <w:p>
            <w:pPr>
              <w:pStyle w:val="TableContents"/>
              <w:spacing w:before="0" w:after="283"/>
              <w:rPr/>
            </w:pPr>
            <w:r>
              <w:rPr/>
              <w:t> </w:t>
            </w:r>
          </w:p>
        </w:tc>
        <w:tc>
          <w:tcPr>
            <w:tcW w:w="138"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718"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(16,292</w:t>
            </w:r>
          </w:p>
        </w:tc>
        <w:tc>
          <w:tcPr>
            <w:tcW w:w="88"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6" w:type="dxa"/>
            <w:tcBorders/>
            <w:shd w:fill="CCEEFF" w:val="clear"/>
            <w:vAlign w:val="center"/>
          </w:tcPr>
          <w:p>
            <w:pPr>
              <w:pStyle w:val="TableContents"/>
              <w:spacing w:before="0" w:after="283"/>
              <w:rPr/>
            </w:pPr>
            <w:r>
              <w:rPr/>
              <w:t> </w:t>
            </w:r>
          </w:p>
        </w:tc>
        <w:tc>
          <w:tcPr>
            <w:tcW w:w="66"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52"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(30.72</w:t>
            </w:r>
          </w:p>
        </w:tc>
        <w:tc>
          <w:tcPr>
            <w:tcW w:w="24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spacing w:before="0" w:after="283"/>
              <w:rPr/>
            </w:pPr>
            <w:r>
              <w:rPr/>
              <w:t> </w:t>
            </w:r>
          </w:p>
        </w:tc>
        <w:tc>
          <w:tcPr>
            <w:tcW w:w="148"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77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(16,062</w:t>
            </w:r>
          </w:p>
        </w:tc>
        <w:tc>
          <w:tcPr>
            <w:tcW w:w="94"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71" w:type="dxa"/>
            <w:tcBorders/>
            <w:shd w:fill="CCEEFF" w:val="clear"/>
            <w:vAlign w:val="center"/>
          </w:tcPr>
          <w:p>
            <w:pPr>
              <w:pStyle w:val="TableContents"/>
              <w:spacing w:before="0" w:after="283"/>
              <w:rPr/>
            </w:pPr>
            <w:r>
              <w:rPr/>
              <w:t> </w:t>
            </w:r>
          </w:p>
        </w:tc>
        <w:tc>
          <w:tcPr>
            <w:tcW w:w="71"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574"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(30.7</w:t>
            </w:r>
          </w:p>
        </w:tc>
        <w:tc>
          <w:tcPr>
            <w:tcW w:w="24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2735"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Income tax expense</w:t>
            </w:r>
          </w:p>
        </w:tc>
        <w:tc>
          <w:tcPr>
            <w:tcW w:w="60" w:type="dxa"/>
            <w:tcBorders/>
            <w:shd w:fill="FFFFFF" w:val="clear"/>
            <w:vAlign w:val="center"/>
          </w:tcPr>
          <w:p>
            <w:pPr>
              <w:pStyle w:val="TableContents"/>
              <w:spacing w:before="0" w:after="283"/>
              <w:rPr/>
            </w:pPr>
            <w:r>
              <w:rPr/>
              <w:t> </w:t>
            </w:r>
          </w:p>
        </w:tc>
        <w:tc>
          <w:tcPr>
            <w:tcW w:w="138"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718"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88" w:type="dxa"/>
            <w:tcBorders/>
            <w:shd w:fill="FFFFFF" w:val="clear"/>
            <w:vAlign w:val="center"/>
          </w:tcPr>
          <w:p>
            <w:pPr>
              <w:pStyle w:val="TableContents"/>
              <w:spacing w:before="0" w:after="283"/>
              <w:rPr/>
            </w:pPr>
            <w:r>
              <w:rPr/>
              <w:t> </w:t>
            </w:r>
          </w:p>
        </w:tc>
        <w:tc>
          <w:tcPr>
            <w:tcW w:w="66" w:type="dxa"/>
            <w:tcBorders/>
            <w:shd w:fill="FFFFFF" w:val="clear"/>
            <w:vAlign w:val="center"/>
          </w:tcPr>
          <w:p>
            <w:pPr>
              <w:pStyle w:val="TableContents"/>
              <w:spacing w:before="0" w:after="283"/>
              <w:rPr/>
            </w:pPr>
            <w:r>
              <w:rPr/>
              <w:t> </w:t>
            </w:r>
          </w:p>
        </w:tc>
        <w:tc>
          <w:tcPr>
            <w:tcW w:w="66"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52"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0.00</w:t>
            </w:r>
          </w:p>
        </w:tc>
        <w:tc>
          <w:tcPr>
            <w:tcW w:w="24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spacing w:before="0" w:after="283"/>
              <w:rPr/>
            </w:pPr>
            <w:r>
              <w:rPr/>
              <w:t> </w:t>
            </w:r>
          </w:p>
        </w:tc>
        <w:tc>
          <w:tcPr>
            <w:tcW w:w="148"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77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w:t>
            </w:r>
          </w:p>
        </w:tc>
        <w:tc>
          <w:tcPr>
            <w:tcW w:w="94" w:type="dxa"/>
            <w:tcBorders/>
            <w:shd w:fill="FFFFFF" w:val="clear"/>
            <w:vAlign w:val="center"/>
          </w:tcPr>
          <w:p>
            <w:pPr>
              <w:pStyle w:val="TableContents"/>
              <w:spacing w:before="0" w:after="283"/>
              <w:rPr/>
            </w:pPr>
            <w:r>
              <w:rPr/>
              <w:t> </w:t>
            </w:r>
          </w:p>
        </w:tc>
        <w:tc>
          <w:tcPr>
            <w:tcW w:w="71" w:type="dxa"/>
            <w:tcBorders/>
            <w:shd w:fill="FFFFFF" w:val="clear"/>
            <w:vAlign w:val="center"/>
          </w:tcPr>
          <w:p>
            <w:pPr>
              <w:pStyle w:val="TableContents"/>
              <w:spacing w:before="0" w:after="283"/>
              <w:rPr/>
            </w:pPr>
            <w:r>
              <w:rPr/>
              <w:t> </w:t>
            </w:r>
          </w:p>
        </w:tc>
        <w:tc>
          <w:tcPr>
            <w:tcW w:w="71"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74"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0.0</w:t>
            </w:r>
          </w:p>
        </w:tc>
        <w:tc>
          <w:tcPr>
            <w:tcW w:w="24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273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CCEEFF" w:val="clear"/>
            <w:vAlign w:val="center"/>
          </w:tcPr>
          <w:p>
            <w:pPr>
              <w:pStyle w:val="TableContents"/>
              <w:spacing w:before="0" w:after="283"/>
              <w:ind w:left="0" w:right="0" w:hanging="0"/>
              <w:rPr/>
            </w:pPr>
            <w:r>
              <w:rPr/>
              <w:t> </w:t>
            </w:r>
          </w:p>
        </w:tc>
        <w:tc>
          <w:tcPr>
            <w:tcW w:w="138"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18"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(16,292</w:t>
            </w:r>
          </w:p>
        </w:tc>
        <w:tc>
          <w:tcPr>
            <w:tcW w:w="88"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6" w:type="dxa"/>
            <w:tcBorders/>
            <w:shd w:fill="CCEEFF" w:val="clear"/>
            <w:vAlign w:val="center"/>
          </w:tcPr>
          <w:p>
            <w:pPr>
              <w:pStyle w:val="TableContents"/>
              <w:spacing w:before="0" w:after="283"/>
              <w:rPr/>
            </w:pPr>
            <w:r>
              <w:rPr/>
              <w:t> </w:t>
            </w:r>
          </w:p>
        </w:tc>
        <w:tc>
          <w:tcPr>
            <w:tcW w:w="66" w:type="dxa"/>
            <w:tcBorders>
              <w:bottom w:val="double" w:sz="6" w:space="0" w:color="000000"/>
            </w:tcBorders>
            <w:shd w:fill="CCEEFF" w:val="clear"/>
            <w:tcMar>
              <w:bottom w:w="28" w:type="dxa"/>
            </w:tcMar>
            <w:vAlign w:val="center"/>
          </w:tcPr>
          <w:p>
            <w:pPr>
              <w:pStyle w:val="TableContents"/>
              <w:spacing w:before="0" w:after="283"/>
              <w:ind w:left="0" w:right="0" w:hanging="0"/>
              <w:rPr/>
            </w:pPr>
            <w:r>
              <w:rPr/>
              <w:t> </w:t>
            </w:r>
          </w:p>
        </w:tc>
        <w:tc>
          <w:tcPr>
            <w:tcW w:w="652"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(30.72</w:t>
            </w:r>
          </w:p>
        </w:tc>
        <w:tc>
          <w:tcPr>
            <w:tcW w:w="24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spacing w:before="0" w:after="283"/>
              <w:ind w:left="0" w:right="0" w:hanging="0"/>
              <w:rPr/>
            </w:pPr>
            <w:r>
              <w:rPr/>
              <w:t> </w:t>
            </w:r>
          </w:p>
        </w:tc>
        <w:tc>
          <w:tcPr>
            <w:tcW w:w="148"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7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(16,062</w:t>
            </w:r>
          </w:p>
        </w:tc>
        <w:tc>
          <w:tcPr>
            <w:tcW w:w="94"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71" w:type="dxa"/>
            <w:tcBorders/>
            <w:shd w:fill="CCEEFF" w:val="clear"/>
            <w:vAlign w:val="center"/>
          </w:tcPr>
          <w:p>
            <w:pPr>
              <w:pStyle w:val="TableContents"/>
              <w:spacing w:before="0" w:after="283"/>
              <w:rPr/>
            </w:pPr>
            <w:r>
              <w:rPr/>
              <w:t> </w:t>
            </w:r>
          </w:p>
        </w:tc>
        <w:tc>
          <w:tcPr>
            <w:tcW w:w="71" w:type="dxa"/>
            <w:tcBorders>
              <w:bottom w:val="double" w:sz="6" w:space="0" w:color="000000"/>
            </w:tcBorders>
            <w:shd w:fill="CCEEFF" w:val="clear"/>
            <w:tcMar>
              <w:bottom w:w="28" w:type="dxa"/>
            </w:tcMar>
            <w:vAlign w:val="center"/>
          </w:tcPr>
          <w:p>
            <w:pPr>
              <w:pStyle w:val="TableContents"/>
              <w:spacing w:before="0" w:after="283"/>
              <w:ind w:left="0" w:right="0" w:hanging="0"/>
              <w:rPr/>
            </w:pPr>
            <w:r>
              <w:rPr/>
              <w:t> </w:t>
            </w:r>
          </w:p>
        </w:tc>
        <w:tc>
          <w:tcPr>
            <w:tcW w:w="574"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(30.7</w:t>
            </w:r>
          </w:p>
        </w:tc>
        <w:tc>
          <w:tcPr>
            <w:tcW w:w="24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bl>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23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b/>
          <w:i/>
          <w:sz w:val="20"/>
        </w:rPr>
      </w:pPr>
      <w:r>
        <w:rPr>
          <w:rFonts w:ascii="Times New Roman;Times;serif" w:hAnsi="Times New Roman;Times;serif"/>
          <w:b/>
          <w:i/>
          <w:sz w:val="20"/>
        </w:rPr>
        <w:t>Comparison of Financial Results</w:t>
      </w:r>
    </w:p>
    <w:p>
      <w:pPr>
        <w:pStyle w:val="TextBody"/>
        <w:spacing w:before="0" w:after="0"/>
        <w:ind w:left="0" w:right="0" w:hanging="0"/>
        <w:jc w:val="left"/>
        <w:rPr/>
      </w:pPr>
      <w:r>
        <w:rPr/>
        <w:t>​</w:t>
      </w:r>
    </w:p>
    <w:p>
      <w:pPr>
        <w:pStyle w:val="TextBody"/>
        <w:spacing w:before="0" w:after="0"/>
        <w:ind w:left="0" w:right="0" w:hanging="0"/>
        <w:jc w:val="left"/>
        <w:rPr>
          <w:rFonts w:ascii="Times New Roman;Times;serif" w:hAnsi="Times New Roman;Times;serif"/>
          <w:i/>
          <w:sz w:val="20"/>
        </w:rPr>
      </w:pPr>
      <w:r>
        <w:rPr>
          <w:rFonts w:ascii="Times New Roman;Times;serif" w:hAnsi="Times New Roman;Times;serif"/>
          <w:i/>
          <w:sz w:val="20"/>
        </w:rPr>
        <w:t>Revenue</w:t>
      </w:r>
    </w:p>
    <w:p>
      <w:pPr>
        <w:pStyle w:val="TextBody"/>
        <w:spacing w:before="0" w:after="0"/>
        <w:ind w:left="0" w:right="0" w:firstLine="720"/>
        <w:jc w:val="left"/>
        <w:rPr/>
      </w:pPr>
      <w:r>
        <w:rPr/>
        <w:t>​</w:t>
      </w:r>
    </w:p>
    <w:p>
      <w:pPr>
        <w:pStyle w:val="TextBody"/>
        <w:spacing w:before="0" w:after="0"/>
        <w:ind w:left="0" w:right="0" w:firstLine="720"/>
        <w:jc w:val="left"/>
        <w:rPr>
          <w:rFonts w:ascii="Times New Roman;Times;serif" w:hAnsi="Times New Roman;Times;serif"/>
          <w:sz w:val="20"/>
        </w:rPr>
      </w:pPr>
      <w:r>
        <w:rPr>
          <w:rFonts w:ascii="Times New Roman;Times;serif" w:hAnsi="Times New Roman;Times;serif"/>
          <w:sz w:val="20"/>
        </w:rPr>
        <w:t>We generate revenue through the sale of our products to equipment providers and network operators for the CATV, internet data center, telecom and FTTH markets. We derive a significant portion of our revenue from our top ten customers, and we anticipate that we will continue to do so for the foreseeable future. The following charts provide the revenue contribution from each of the markets we served for the three months ended March 31, 2023 and 2022 (in thousands, except percentages):</w:t>
      </w:r>
    </w:p>
    <w:p>
      <w:pPr>
        <w:pStyle w:val="TextBody"/>
        <w:spacing w:before="0" w:after="0"/>
        <w:ind w:left="0" w:right="0" w:hanging="0"/>
        <w:jc w:val="left"/>
        <w:rPr/>
      </w:pPr>
      <w:r>
        <w:rPr/>
        <w:t>​</w:t>
      </w:r>
    </w:p>
    <w:tbl>
      <w:tblPr>
        <w:tblW w:w="6545" w:type="dxa"/>
        <w:jc w:val="left"/>
        <w:tblInd w:w="0" w:type="dxa"/>
        <w:tblCellMar>
          <w:top w:w="0" w:type="dxa"/>
          <w:left w:w="0" w:type="dxa"/>
          <w:bottom w:w="0" w:type="dxa"/>
          <w:right w:w="0" w:type="dxa"/>
        </w:tblCellMar>
      </w:tblPr>
      <w:tblGrid>
        <w:gridCol w:w="1220"/>
        <w:gridCol w:w="60"/>
        <w:gridCol w:w="125"/>
        <w:gridCol w:w="590"/>
        <w:gridCol w:w="60"/>
        <w:gridCol w:w="60"/>
        <w:gridCol w:w="81"/>
        <w:gridCol w:w="659"/>
        <w:gridCol w:w="185"/>
        <w:gridCol w:w="60"/>
        <w:gridCol w:w="125"/>
        <w:gridCol w:w="590"/>
        <w:gridCol w:w="60"/>
        <w:gridCol w:w="60"/>
        <w:gridCol w:w="81"/>
        <w:gridCol w:w="659"/>
        <w:gridCol w:w="185"/>
        <w:gridCol w:w="60"/>
        <w:gridCol w:w="129"/>
        <w:gridCol w:w="566"/>
        <w:gridCol w:w="80"/>
        <w:gridCol w:w="60"/>
        <w:gridCol w:w="60"/>
        <w:gridCol w:w="485"/>
        <w:gridCol w:w="245"/>
      </w:tblGrid>
      <w:tr>
        <w:trPr/>
        <w:tc>
          <w:tcPr>
            <w:tcW w:w="122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3395" w:type="dxa"/>
            <w:gridSpan w:val="14"/>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March 31,</w:t>
            </w:r>
          </w:p>
        </w:tc>
        <w:tc>
          <w:tcPr>
            <w:tcW w:w="1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380"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245" w:type="dxa"/>
            <w:tcBorders/>
            <w:shd w:fill="FFFFFF" w:val="clear"/>
            <w:vAlign w:val="center"/>
          </w:tcPr>
          <w:p>
            <w:pPr>
              <w:pStyle w:val="TableContents"/>
              <w:spacing w:before="0" w:after="283"/>
              <w:rPr/>
            </w:pPr>
            <w:r>
              <w:rPr/>
              <w:t> </w:t>
            </w:r>
          </w:p>
        </w:tc>
      </w:tr>
      <w:tr>
        <w:trPr/>
        <w:tc>
          <w:tcPr>
            <w:tcW w:w="1220" w:type="dxa"/>
            <w:tcBorders/>
            <w:shd w:fill="FFFFFF" w:val="clear"/>
            <w:vAlign w:val="center"/>
          </w:tcPr>
          <w:p>
            <w:pPr>
              <w:pStyle w:val="TableContents"/>
              <w:spacing w:before="0" w:after="0"/>
              <w:rPr>
                <w:caps w:val="false"/>
                <w:smallCaps w:val="false"/>
              </w:rPr>
            </w:pPr>
            <w:r>
              <w:rPr>
                <w:caps w:val="false"/>
                <w:smallCaps w:val="false"/>
              </w:rPr>
              <w: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590"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40" w:type="dxa"/>
            <w:gridSpan w:val="2"/>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of</w:t>
            </w:r>
          </w:p>
        </w:tc>
        <w:tc>
          <w:tcPr>
            <w:tcW w:w="1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590"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40" w:type="dxa"/>
            <w:gridSpan w:val="2"/>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of</w:t>
            </w:r>
          </w:p>
        </w:tc>
        <w:tc>
          <w:tcPr>
            <w:tcW w:w="1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695" w:type="dxa"/>
            <w:gridSpan w:val="2"/>
            <w:tcBorders/>
            <w:shd w:fill="FFFFFF" w:val="clear"/>
            <w:vAlign w:val="center"/>
          </w:tcPr>
          <w:p>
            <w:pPr>
              <w:pStyle w:val="TableContents"/>
              <w:spacing w:before="0" w:after="0"/>
              <w:ind w:left="0" w:right="0" w:hanging="0"/>
              <w:rPr>
                <w:caps w:val="false"/>
                <w:smallCaps w:val="false"/>
              </w:rPr>
            </w:pPr>
            <w:r>
              <w:rPr>
                <w:caps w:val="false"/>
                <w:smallCaps w:val="false"/>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545" w:type="dxa"/>
            <w:gridSpan w:val="2"/>
            <w:tcBorders/>
            <w:shd w:fill="FFFFFF" w:val="clear"/>
            <w:vAlign w:val="center"/>
          </w:tcPr>
          <w:p>
            <w:pPr>
              <w:pStyle w:val="TableContents"/>
              <w:spacing w:before="0" w:after="0"/>
              <w:ind w:left="0" w:right="0" w:hanging="0"/>
              <w:rPr>
                <w:caps w:val="false"/>
                <w:smallCaps w:val="false"/>
              </w:rPr>
            </w:pPr>
            <w:r>
              <w:rPr>
                <w:caps w:val="false"/>
                <w:smallCaps w:val="false"/>
              </w:rPr>
              <w:t>​</w:t>
            </w:r>
          </w:p>
        </w:tc>
        <w:tc>
          <w:tcPr>
            <w:tcW w:w="245" w:type="dxa"/>
            <w:tcBorders/>
            <w:shd w:fill="FFFFFF" w:val="clear"/>
            <w:vAlign w:val="center"/>
          </w:tcPr>
          <w:p>
            <w:pPr>
              <w:pStyle w:val="TableContents"/>
              <w:spacing w:before="0" w:after="283"/>
              <w:rPr/>
            </w:pPr>
            <w:r>
              <w:rPr/>
              <w:t> </w:t>
            </w:r>
          </w:p>
        </w:tc>
      </w:tr>
      <w:tr>
        <w:trPr/>
        <w:tc>
          <w:tcPr>
            <w:tcW w:w="1220" w:type="dxa"/>
            <w:tcBorders/>
            <w:shd w:fill="FFFFFF" w:val="clear"/>
            <w:vAlign w:val="center"/>
          </w:tcPr>
          <w:p>
            <w:pPr>
              <w:pStyle w:val="TableContents"/>
              <w:spacing w:before="0" w:after="0"/>
              <w:rPr>
                <w:caps w:val="false"/>
                <w:smallCaps w:val="false"/>
              </w:rPr>
            </w:pPr>
            <w:r>
              <w:rPr>
                <w:caps w:val="false"/>
                <w:smallCaps w:val="false"/>
              </w:rPr>
              <w:t>​</w:t>
            </w:r>
          </w:p>
        </w:tc>
        <w:tc>
          <w:tcPr>
            <w:tcW w:w="60" w:type="dxa"/>
            <w:tcBorders/>
            <w:shd w:fill="FFFFFF" w:val="clear"/>
            <w:vAlign w:val="center"/>
          </w:tcPr>
          <w:p>
            <w:pPr>
              <w:pStyle w:val="TableContents"/>
              <w:spacing w:before="0" w:after="283"/>
              <w:ind w:left="0" w:right="0" w:hanging="0"/>
              <w:rPr/>
            </w:pPr>
            <w:r>
              <w:rPr/>
              <w:t> </w:t>
            </w:r>
          </w:p>
        </w:tc>
        <w:tc>
          <w:tcPr>
            <w:tcW w:w="71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4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Revenue</w:t>
            </w:r>
          </w:p>
        </w:tc>
        <w:tc>
          <w:tcPr>
            <w:tcW w:w="1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1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4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Revenue</w:t>
            </w:r>
          </w:p>
        </w:tc>
        <w:tc>
          <w:tcPr>
            <w:tcW w:w="1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69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545" w:type="dxa"/>
            <w:gridSpan w:val="2"/>
            <w:tcBorders>
              <w:bottom w:val="single" w:sz="2" w:space="0" w:color="000000"/>
            </w:tcBorders>
            <w:shd w:fill="FFFFFF" w:val="clear"/>
            <w:tcMar>
              <w:bottom w:w="28" w:type="dxa"/>
            </w:tcMar>
            <w:vAlign w:val="center"/>
          </w:tcPr>
          <w:p>
            <w:pPr>
              <w:pStyle w:val="TableContents"/>
              <w:spacing w:before="0" w:after="283"/>
              <w:jc w:val="center"/>
              <w:rPr/>
            </w:pPr>
            <w:r>
              <w:rPr/>
              <w:t> </w:t>
            </w:r>
          </w:p>
        </w:tc>
        <w:tc>
          <w:tcPr>
            <w:tcW w:w="24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122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CATV</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27,779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1" w:type="dxa"/>
            <w:tcBorders/>
            <w:shd w:fill="CCEEFF" w:val="clear"/>
            <w:vAlign w:val="center"/>
          </w:tcPr>
          <w:p>
            <w:pPr>
              <w:pStyle w:val="TableContents"/>
              <w:spacing w:before="0" w:after="283"/>
              <w:ind w:left="0" w:right="0" w:hanging="0"/>
              <w:rPr/>
            </w:pPr>
            <w:r>
              <w:rPr/>
              <w:t> </w:t>
            </w:r>
          </w:p>
        </w:tc>
        <w:tc>
          <w:tcPr>
            <w:tcW w:w="659"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52.4</w:t>
            </w:r>
          </w:p>
        </w:tc>
        <w:tc>
          <w:tcPr>
            <w:tcW w:w="18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24,980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1" w:type="dxa"/>
            <w:tcBorders/>
            <w:shd w:fill="CCEEFF" w:val="clear"/>
            <w:vAlign w:val="center"/>
          </w:tcPr>
          <w:p>
            <w:pPr>
              <w:pStyle w:val="TableContents"/>
              <w:spacing w:before="0" w:after="283"/>
              <w:ind w:left="0" w:right="0" w:hanging="0"/>
              <w:rPr/>
            </w:pPr>
            <w:r>
              <w:rPr/>
              <w:t> </w:t>
            </w:r>
          </w:p>
        </w:tc>
        <w:tc>
          <w:tcPr>
            <w:tcW w:w="659"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47.8</w:t>
            </w:r>
          </w:p>
        </w:tc>
        <w:tc>
          <w:tcPr>
            <w:tcW w:w="18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ind w:left="0" w:right="0" w:hanging="0"/>
              <w:rPr/>
            </w:pPr>
            <w:r>
              <w:rPr/>
              <w:t> </w:t>
            </w:r>
          </w:p>
        </w:tc>
        <w:tc>
          <w:tcPr>
            <w:tcW w:w="129"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6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2,799</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48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11.2</w:t>
            </w:r>
          </w:p>
        </w:tc>
        <w:tc>
          <w:tcPr>
            <w:tcW w:w="24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t>
            </w:r>
          </w:p>
        </w:tc>
      </w:tr>
      <w:tr>
        <w:trPr/>
        <w:tc>
          <w:tcPr>
            <w:tcW w:w="1220"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Data Center</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20,353</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81" w:type="dxa"/>
            <w:tcBorders/>
            <w:shd w:fill="FFFFFF" w:val="clear"/>
            <w:vAlign w:val="center"/>
          </w:tcPr>
          <w:p>
            <w:pPr>
              <w:pStyle w:val="TableContents"/>
              <w:spacing w:before="0" w:after="283"/>
              <w:ind w:left="0" w:right="0" w:hanging="0"/>
              <w:rPr/>
            </w:pPr>
            <w:r>
              <w:rPr/>
              <w:t> </w:t>
            </w:r>
          </w:p>
        </w:tc>
        <w:tc>
          <w:tcPr>
            <w:tcW w:w="659"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38.4</w:t>
            </w:r>
          </w:p>
        </w:tc>
        <w:tc>
          <w:tcPr>
            <w:tcW w:w="18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21,415</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81" w:type="dxa"/>
            <w:tcBorders/>
            <w:shd w:fill="FFFFFF" w:val="clear"/>
            <w:vAlign w:val="center"/>
          </w:tcPr>
          <w:p>
            <w:pPr>
              <w:pStyle w:val="TableContents"/>
              <w:spacing w:before="0" w:after="283"/>
              <w:ind w:left="0" w:right="0" w:hanging="0"/>
              <w:rPr/>
            </w:pPr>
            <w:r>
              <w:rPr/>
              <w:t> </w:t>
            </w:r>
          </w:p>
        </w:tc>
        <w:tc>
          <w:tcPr>
            <w:tcW w:w="659"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41.0</w:t>
            </w:r>
          </w:p>
        </w:tc>
        <w:tc>
          <w:tcPr>
            <w:tcW w:w="18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29" w:type="dxa"/>
            <w:tcBorders/>
            <w:shd w:fill="FFFFFF" w:val="clear"/>
            <w:vAlign w:val="center"/>
          </w:tcPr>
          <w:p>
            <w:pPr>
              <w:pStyle w:val="TableContents"/>
              <w:spacing w:before="0" w:after="283"/>
              <w:ind w:left="0" w:right="0" w:hanging="0"/>
              <w:rPr/>
            </w:pPr>
            <w:r>
              <w:rPr/>
              <w:t> </w:t>
            </w:r>
          </w:p>
        </w:tc>
        <w:tc>
          <w:tcPr>
            <w:tcW w:w="56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(1,062</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48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(5.0</w:t>
            </w:r>
          </w:p>
        </w:tc>
        <w:tc>
          <w:tcPr>
            <w:tcW w:w="24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t>
            </w:r>
          </w:p>
        </w:tc>
      </w:tr>
      <w:tr>
        <w:trPr/>
        <w:tc>
          <w:tcPr>
            <w:tcW w:w="122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Telecom</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3,707</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1" w:type="dxa"/>
            <w:tcBorders/>
            <w:shd w:fill="CCEEFF" w:val="clear"/>
            <w:vAlign w:val="center"/>
          </w:tcPr>
          <w:p>
            <w:pPr>
              <w:pStyle w:val="TableContents"/>
              <w:spacing w:before="0" w:after="283"/>
              <w:ind w:left="0" w:right="0" w:hanging="0"/>
              <w:rPr/>
            </w:pPr>
            <w:r>
              <w:rPr/>
              <w:t> </w:t>
            </w:r>
          </w:p>
        </w:tc>
        <w:tc>
          <w:tcPr>
            <w:tcW w:w="659"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7.0</w:t>
            </w:r>
          </w:p>
        </w:tc>
        <w:tc>
          <w:tcPr>
            <w:tcW w:w="18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5,265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1" w:type="dxa"/>
            <w:tcBorders/>
            <w:shd w:fill="CCEEFF" w:val="clear"/>
            <w:vAlign w:val="center"/>
          </w:tcPr>
          <w:p>
            <w:pPr>
              <w:pStyle w:val="TableContents"/>
              <w:spacing w:before="0" w:after="283"/>
              <w:ind w:left="0" w:right="0" w:hanging="0"/>
              <w:rPr/>
            </w:pPr>
            <w:r>
              <w:rPr/>
              <w:t> </w:t>
            </w:r>
          </w:p>
        </w:tc>
        <w:tc>
          <w:tcPr>
            <w:tcW w:w="659"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10.1</w:t>
            </w:r>
          </w:p>
        </w:tc>
        <w:tc>
          <w:tcPr>
            <w:tcW w:w="18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29" w:type="dxa"/>
            <w:tcBorders/>
            <w:shd w:fill="CCEEFF" w:val="clear"/>
            <w:vAlign w:val="center"/>
          </w:tcPr>
          <w:p>
            <w:pPr>
              <w:pStyle w:val="TableContents"/>
              <w:spacing w:before="0" w:after="283"/>
              <w:ind w:left="0" w:right="0" w:hanging="0"/>
              <w:rPr/>
            </w:pPr>
            <w:r>
              <w:rPr/>
              <w:t> </w:t>
            </w:r>
          </w:p>
        </w:tc>
        <w:tc>
          <w:tcPr>
            <w:tcW w:w="56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(1,558</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48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(29.6</w:t>
            </w:r>
          </w:p>
        </w:tc>
        <w:tc>
          <w:tcPr>
            <w:tcW w:w="24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t>
            </w:r>
          </w:p>
        </w:tc>
      </w:tr>
      <w:tr>
        <w:trPr/>
        <w:tc>
          <w:tcPr>
            <w:tcW w:w="1220"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FTTH</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81" w:type="dxa"/>
            <w:tcBorders/>
            <w:shd w:fill="FFFFFF" w:val="clear"/>
            <w:vAlign w:val="center"/>
          </w:tcPr>
          <w:p>
            <w:pPr>
              <w:pStyle w:val="TableContents"/>
              <w:spacing w:before="0" w:after="283"/>
              <w:ind w:left="0" w:right="0" w:hanging="0"/>
              <w:rPr/>
            </w:pPr>
            <w:r>
              <w:rPr/>
              <w:t> </w:t>
            </w:r>
          </w:p>
        </w:tc>
        <w:tc>
          <w:tcPr>
            <w:tcW w:w="659"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0.0</w:t>
            </w:r>
          </w:p>
        </w:tc>
        <w:tc>
          <w:tcPr>
            <w:tcW w:w="18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98</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81" w:type="dxa"/>
            <w:tcBorders/>
            <w:shd w:fill="FFFFFF" w:val="clear"/>
            <w:vAlign w:val="center"/>
          </w:tcPr>
          <w:p>
            <w:pPr>
              <w:pStyle w:val="TableContents"/>
              <w:spacing w:before="0" w:after="283"/>
              <w:ind w:left="0" w:right="0" w:hanging="0"/>
              <w:rPr/>
            </w:pPr>
            <w:r>
              <w:rPr/>
              <w:t> </w:t>
            </w:r>
          </w:p>
        </w:tc>
        <w:tc>
          <w:tcPr>
            <w:tcW w:w="659"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0.2</w:t>
            </w:r>
          </w:p>
        </w:tc>
        <w:tc>
          <w:tcPr>
            <w:tcW w:w="18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29" w:type="dxa"/>
            <w:tcBorders/>
            <w:shd w:fill="FFFFFF" w:val="clear"/>
            <w:vAlign w:val="center"/>
          </w:tcPr>
          <w:p>
            <w:pPr>
              <w:pStyle w:val="TableContents"/>
              <w:spacing w:before="0" w:after="283"/>
              <w:ind w:left="0" w:right="0" w:hanging="0"/>
              <w:rPr/>
            </w:pPr>
            <w:r>
              <w:rPr/>
              <w:t> </w:t>
            </w:r>
          </w:p>
        </w:tc>
        <w:tc>
          <w:tcPr>
            <w:tcW w:w="56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(96</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48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(98.0</w:t>
            </w:r>
          </w:p>
        </w:tc>
        <w:tc>
          <w:tcPr>
            <w:tcW w:w="24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t>
            </w:r>
          </w:p>
        </w:tc>
      </w:tr>
      <w:tr>
        <w:trPr/>
        <w:tc>
          <w:tcPr>
            <w:tcW w:w="122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59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1,189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1"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59"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2.2</w:t>
            </w:r>
          </w:p>
        </w:tc>
        <w:tc>
          <w:tcPr>
            <w:tcW w:w="18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59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484</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1"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59"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0.9</w:t>
            </w:r>
          </w:p>
        </w:tc>
        <w:tc>
          <w:tcPr>
            <w:tcW w:w="18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29"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566"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705</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48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145.7</w:t>
            </w:r>
          </w:p>
        </w:tc>
        <w:tc>
          <w:tcPr>
            <w:tcW w:w="24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t>
            </w:r>
          </w:p>
        </w:tc>
      </w:tr>
      <w:tr>
        <w:trPr/>
        <w:tc>
          <w:tcPr>
            <w:tcW w:w="1220"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Total Revenue</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53,030</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81" w:type="dxa"/>
            <w:tcBorders>
              <w:bottom w:val="double" w:sz="6" w:space="0" w:color="000000"/>
            </w:tcBorders>
            <w:shd w:fill="FFFFFF" w:val="clear"/>
            <w:tcMar>
              <w:bottom w:w="28" w:type="dxa"/>
            </w:tcMar>
            <w:vAlign w:val="center"/>
          </w:tcPr>
          <w:p>
            <w:pPr>
              <w:pStyle w:val="TableContents"/>
              <w:spacing w:before="0" w:after="283"/>
              <w:ind w:left="0" w:right="0" w:hanging="0"/>
              <w:rPr/>
            </w:pPr>
            <w:r>
              <w:rPr/>
              <w:t> </w:t>
            </w:r>
          </w:p>
        </w:tc>
        <w:tc>
          <w:tcPr>
            <w:tcW w:w="659"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100.0</w:t>
            </w:r>
          </w:p>
        </w:tc>
        <w:tc>
          <w:tcPr>
            <w:tcW w:w="18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52,242</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81" w:type="dxa"/>
            <w:tcBorders>
              <w:bottom w:val="double" w:sz="6" w:space="0" w:color="000000"/>
            </w:tcBorders>
            <w:shd w:fill="FFFFFF" w:val="clear"/>
            <w:tcMar>
              <w:bottom w:w="28" w:type="dxa"/>
            </w:tcMar>
            <w:vAlign w:val="center"/>
          </w:tcPr>
          <w:p>
            <w:pPr>
              <w:pStyle w:val="TableContents"/>
              <w:spacing w:before="0" w:after="283"/>
              <w:ind w:left="0" w:right="0" w:hanging="0"/>
              <w:rPr/>
            </w:pPr>
            <w:r>
              <w:rPr/>
              <w:t> </w:t>
            </w:r>
          </w:p>
        </w:tc>
        <w:tc>
          <w:tcPr>
            <w:tcW w:w="659"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100.0</w:t>
            </w:r>
          </w:p>
        </w:tc>
        <w:tc>
          <w:tcPr>
            <w:tcW w:w="18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ind w:left="0" w:right="0" w:hanging="0"/>
              <w:rPr/>
            </w:pPr>
            <w:r>
              <w:rPr/>
              <w:t> </w:t>
            </w:r>
          </w:p>
        </w:tc>
        <w:tc>
          <w:tcPr>
            <w:tcW w:w="129"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66"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788</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bottom w:val="double" w:sz="6" w:space="0" w:color="000000"/>
            </w:tcBorders>
            <w:shd w:fill="FFFFFF" w:val="clear"/>
            <w:tcMar>
              <w:bottom w:w="28" w:type="dxa"/>
            </w:tcMar>
            <w:vAlign w:val="center"/>
          </w:tcPr>
          <w:p>
            <w:pPr>
              <w:pStyle w:val="TableContents"/>
              <w:spacing w:before="0" w:after="283"/>
              <w:ind w:left="0" w:right="0" w:hanging="0"/>
              <w:rPr/>
            </w:pPr>
            <w:r>
              <w:rPr/>
              <w:t> </w:t>
            </w:r>
          </w:p>
        </w:tc>
        <w:tc>
          <w:tcPr>
            <w:tcW w:w="48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w:t>
            </w:r>
          </w:p>
        </w:tc>
        <w:tc>
          <w:tcPr>
            <w:tcW w:w="24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t>
            </w:r>
          </w:p>
        </w:tc>
      </w:tr>
    </w:tbl>
    <w:p>
      <w:pPr>
        <w:pStyle w:val="TextBody"/>
        <w:spacing w:before="0" w:after="0"/>
        <w:ind w:left="0" w:right="0" w:hanging="0"/>
        <w:jc w:val="left"/>
        <w:rPr/>
      </w:pPr>
      <w:r>
        <w:rPr/>
        <w:t> </w:t>
      </w:r>
    </w:p>
    <w:p>
      <w:pPr>
        <w:pStyle w:val="TextBody"/>
        <w:spacing w:before="0" w:after="0"/>
        <w:ind w:left="0" w:right="0" w:firstLine="720"/>
        <w:jc w:val="left"/>
        <w:rPr>
          <w:rFonts w:ascii="Times New Roman;Times;serif" w:hAnsi="Times New Roman;Times;serif"/>
          <w:sz w:val="20"/>
        </w:rPr>
      </w:pPr>
      <w:r>
        <w:rPr>
          <w:rFonts w:ascii="Times New Roman;Times;serif" w:hAnsi="Times New Roman;Times;serif"/>
          <w:sz w:val="20"/>
          <w:highlight w:val="white"/>
        </w:rPr>
        <w:t xml:space="preserve">The increase in revenue during the three months ended March 31, 2023 was </w:t>
      </w:r>
      <w:r>
        <w:rPr>
          <w:rFonts w:ascii="Times New Roman;Times;serif" w:hAnsi="Times New Roman;Times;serif"/>
          <w:sz w:val="20"/>
        </w:rPr>
        <w:t>driven primarily by strong demand in CATV product sales arising from products with architecture improvements to enable delivery of additional bandwidth to consumers. The increase in bandwidth demand was particularly acute in the upstream direction, and sales of products associated with increa</w:t>
      </w:r>
      <w:r>
        <w:rPr>
          <w:rFonts w:ascii="Times New Roman;Times;serif" w:hAnsi="Times New Roman;Times;serif"/>
          <w:sz w:val="20"/>
          <w:highlight w:val="white"/>
        </w:rPr>
        <w:t xml:space="preserve">sed return-path bandwidth were notably strong in the quarter. The increase was offset by the decrease of data center sales and telecom sales. </w:t>
      </w:r>
    </w:p>
    <w:p>
      <w:pPr>
        <w:pStyle w:val="TextBody"/>
        <w:spacing w:before="0" w:after="0"/>
        <w:ind w:left="0" w:right="0" w:firstLine="720"/>
        <w:jc w:val="left"/>
        <w:rPr/>
      </w:pPr>
      <w:r>
        <w:rPr/>
        <w:t> </w:t>
      </w:r>
    </w:p>
    <w:p>
      <w:pPr>
        <w:pStyle w:val="TextBody"/>
        <w:spacing w:before="0" w:after="0"/>
        <w:ind w:left="0" w:right="0" w:firstLine="720"/>
        <w:jc w:val="left"/>
        <w:rPr>
          <w:rFonts w:ascii="Times New Roman;Times;serif" w:hAnsi="Times New Roman;Times;serif"/>
          <w:sz w:val="20"/>
          <w:highlight w:val="white"/>
        </w:rPr>
      </w:pPr>
      <w:r>
        <w:rPr>
          <w:rFonts w:ascii="Times New Roman;Times;serif" w:hAnsi="Times New Roman;Times;serif"/>
          <w:sz w:val="20"/>
          <w:highlight w:val="white"/>
        </w:rPr>
        <w:t>We have begun to see increased orders for our 400G data center products from several large customers. Based on forecasts from our customers, we expect increased demand for these products through the end of 2023. In the first quarter, we also generated approximately $4 million in revenue from one of our largest data center customers which was related to furnishing qualification reports to ensure future orders will be fullfilled and expedited. We believe there will be additional such expediting fees in the second quarter and we believe that the customer's willingness to incur these expedite fees implies significant demand for the expedited products for at least the remainder of 2023.</w:t>
      </w:r>
    </w:p>
    <w:p>
      <w:pPr>
        <w:pStyle w:val="TextBody"/>
        <w:spacing w:before="0" w:after="0"/>
        <w:ind w:left="0" w:right="0" w:firstLine="720"/>
        <w:jc w:val="left"/>
        <w:rPr/>
      </w:pPr>
      <w:r>
        <w:rPr/>
        <w:t> </w:t>
      </w:r>
    </w:p>
    <w:p>
      <w:pPr>
        <w:pStyle w:val="TextBody"/>
        <w:spacing w:before="0" w:after="0"/>
        <w:ind w:left="0" w:right="0" w:firstLine="720"/>
        <w:jc w:val="left"/>
        <w:rPr>
          <w:rFonts w:ascii="Times New Roman;Times;serif" w:hAnsi="Times New Roman;Times;serif"/>
          <w:sz w:val="20"/>
        </w:rPr>
      </w:pPr>
      <w:r>
        <w:rPr>
          <w:rFonts w:ascii="Times New Roman;Times;serif" w:hAnsi="Times New Roman;Times;serif"/>
          <w:sz w:val="20"/>
          <w:highlight w:val="white"/>
        </w:rPr>
        <w:t xml:space="preserve">For the three months ended </w:t>
      </w:r>
      <w:r>
        <w:rPr>
          <w:rFonts w:ascii="Times New Roman;Times;serif" w:hAnsi="Times New Roman;Times;serif"/>
          <w:sz w:val="20"/>
        </w:rPr>
        <w:t>March 31, 2023 and 2022</w:t>
      </w:r>
      <w:r>
        <w:rPr>
          <w:rFonts w:ascii="Times New Roman;Times;serif" w:hAnsi="Times New Roman;Times;serif"/>
          <w:sz w:val="20"/>
          <w:highlight w:val="white"/>
        </w:rPr>
        <w:t>, our top ten customers represented 93% and 88.6% of our revenue, respectively. We believe that diversifying our customer base is critical for our future success, since reliance on a small number of key customers makes our ability to forecast future results dependent upon the accuracy of the forecasts we receive from those key customers. We continue to prioritize new customer acquisition and growth of diverse revenue streams.</w:t>
      </w: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24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i/>
          <w:sz w:val="20"/>
        </w:rPr>
      </w:pPr>
      <w:r>
        <w:rPr>
          <w:rFonts w:ascii="Times New Roman;Times;serif" w:hAnsi="Times New Roman;Times;serif"/>
          <w:i/>
          <w:sz w:val="20"/>
        </w:rPr>
        <w:t>Cost of goods sold and gross margin</w:t>
      </w:r>
    </w:p>
    <w:p>
      <w:pPr>
        <w:pStyle w:val="TextBody"/>
        <w:spacing w:before="0" w:after="0"/>
        <w:ind w:left="0" w:right="0" w:hanging="0"/>
        <w:jc w:val="left"/>
        <w:rPr/>
      </w:pPr>
      <w:r>
        <w:rPr/>
        <w:t>​</w:t>
      </w:r>
    </w:p>
    <w:tbl>
      <w:tblPr>
        <w:tblW w:w="6570" w:type="dxa"/>
        <w:jc w:val="left"/>
        <w:tblInd w:w="0" w:type="dxa"/>
        <w:tblCellMar>
          <w:top w:w="0" w:type="dxa"/>
          <w:left w:w="0" w:type="dxa"/>
          <w:bottom w:w="0" w:type="dxa"/>
          <w:right w:w="0" w:type="dxa"/>
        </w:tblCellMar>
      </w:tblPr>
      <w:tblGrid>
        <w:gridCol w:w="1535"/>
        <w:gridCol w:w="60"/>
        <w:gridCol w:w="125"/>
        <w:gridCol w:w="590"/>
        <w:gridCol w:w="60"/>
        <w:gridCol w:w="60"/>
        <w:gridCol w:w="100"/>
        <w:gridCol w:w="640"/>
        <w:gridCol w:w="185"/>
        <w:gridCol w:w="60"/>
        <w:gridCol w:w="125"/>
        <w:gridCol w:w="590"/>
        <w:gridCol w:w="60"/>
        <w:gridCol w:w="60"/>
        <w:gridCol w:w="100"/>
        <w:gridCol w:w="640"/>
        <w:gridCol w:w="185"/>
        <w:gridCol w:w="60"/>
        <w:gridCol w:w="188"/>
        <w:gridCol w:w="507"/>
        <w:gridCol w:w="60"/>
        <w:gridCol w:w="60"/>
        <w:gridCol w:w="60"/>
        <w:gridCol w:w="275"/>
        <w:gridCol w:w="185"/>
      </w:tblGrid>
      <w:tr>
        <w:trPr/>
        <w:tc>
          <w:tcPr>
            <w:tcW w:w="153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3395" w:type="dxa"/>
            <w:gridSpan w:val="1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March 31,</w:t>
            </w:r>
          </w:p>
        </w:tc>
        <w:tc>
          <w:tcPr>
            <w:tcW w:w="18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695" w:type="dxa"/>
            <w:gridSpan w:val="2"/>
            <w:tcBorders>
              <w:bottom w:val="single" w:sz="2" w:space="0" w:color="000000"/>
            </w:tcBorders>
            <w:shd w:fill="auto" w:val="clear"/>
            <w:tcMar>
              <w:bottom w:w="28" w:type="dxa"/>
            </w:tcMar>
            <w:vAlign w:val="center"/>
          </w:tcPr>
          <w:p>
            <w:pPr>
              <w:pStyle w:val="TableContents"/>
              <w:spacing w:before="0" w:after="0"/>
              <w:ind w:left="0" w:right="0" w:hanging="0"/>
              <w:rPr>
                <w:caps w:val="false"/>
                <w:smallCaps w:val="false"/>
              </w:rPr>
            </w:pPr>
            <w:r>
              <w:rPr>
                <w:caps w:val="false"/>
                <w:smallCaps w:val="false"/>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335" w:type="dxa"/>
            <w:gridSpan w:val="2"/>
            <w:tcBorders>
              <w:bottom w:val="single" w:sz="2" w:space="0" w:color="000000"/>
            </w:tcBorders>
            <w:shd w:fill="auto" w:val="clear"/>
            <w:tcMar>
              <w:bottom w:w="28" w:type="dxa"/>
            </w:tcMar>
            <w:vAlign w:val="center"/>
          </w:tcPr>
          <w:p>
            <w:pPr>
              <w:pStyle w:val="TableContents"/>
              <w:spacing w:before="0" w:after="0"/>
              <w:ind w:left="0" w:right="0" w:hanging="0"/>
              <w:rPr>
                <w:caps w:val="false"/>
                <w:smallCaps w:val="false"/>
              </w:rPr>
            </w:pPr>
            <w:r>
              <w:rPr>
                <w:caps w:val="false"/>
                <w:smallCaps w:val="false"/>
              </w:rPr>
              <w:t>​</w:t>
            </w:r>
          </w:p>
        </w:tc>
        <w:tc>
          <w:tcPr>
            <w:tcW w:w="185" w:type="dxa"/>
            <w:tcBorders/>
            <w:shd w:fill="auto" w:val="clear"/>
            <w:vAlign w:val="center"/>
          </w:tcPr>
          <w:p>
            <w:pPr>
              <w:pStyle w:val="TableContents"/>
              <w:spacing w:before="0" w:after="283"/>
              <w:rPr/>
            </w:pPr>
            <w:r>
              <w:rPr/>
              <w:t> </w:t>
            </w:r>
          </w:p>
        </w:tc>
      </w:tr>
      <w:tr>
        <w:trPr/>
        <w:tc>
          <w:tcPr>
            <w:tcW w:w="1535" w:type="dxa"/>
            <w:tcBorders/>
            <w:shd w:fill="auto" w:val="clear"/>
            <w:vAlign w:val="center"/>
          </w:tcPr>
          <w:p>
            <w:pPr>
              <w:pStyle w:val="TableContents"/>
              <w:spacing w:before="0" w:after="0"/>
              <w:rPr>
                <w:caps w:val="false"/>
                <w:smallCaps w:val="false"/>
              </w:rPr>
            </w:pPr>
            <w:r>
              <w:rPr>
                <w:caps w:val="false"/>
                <w:smallCaps w:val="false"/>
              </w:rPr>
              <w:t>​</w:t>
            </w:r>
          </w:p>
        </w:tc>
        <w:tc>
          <w:tcPr>
            <w:tcW w:w="60" w:type="dxa"/>
            <w:tcBorders/>
            <w:shd w:fill="auto" w:val="clear"/>
            <w:vAlign w:val="center"/>
          </w:tcPr>
          <w:p>
            <w:pPr>
              <w:pStyle w:val="TableContents"/>
              <w:spacing w:before="0" w:after="283"/>
              <w:ind w:left="0" w:right="0" w:hanging="0"/>
              <w:rPr/>
            </w:pPr>
            <w:r>
              <w:rPr/>
              <w:t> </w:t>
            </w:r>
          </w:p>
        </w:tc>
        <w:tc>
          <w:tcPr>
            <w:tcW w:w="1575" w:type="dxa"/>
            <w:gridSpan w:val="6"/>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8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575" w:type="dxa"/>
            <w:gridSpan w:val="6"/>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18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150" w:type="dxa"/>
            <w:gridSpan w:val="6"/>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185" w:type="dxa"/>
            <w:tcBorders/>
            <w:shd w:fill="auto" w:val="clear"/>
            <w:vAlign w:val="center"/>
          </w:tcPr>
          <w:p>
            <w:pPr>
              <w:pStyle w:val="TableContents"/>
              <w:spacing w:before="0" w:after="283"/>
              <w:rPr/>
            </w:pPr>
            <w:r>
              <w:rPr/>
              <w:t> </w:t>
            </w:r>
          </w:p>
        </w:tc>
      </w:tr>
      <w:tr>
        <w:trPr/>
        <w:tc>
          <w:tcPr>
            <w:tcW w:w="1535" w:type="dxa"/>
            <w:tcBorders/>
            <w:shd w:fill="auto" w:val="clear"/>
            <w:vAlign w:val="center"/>
          </w:tcPr>
          <w:p>
            <w:pPr>
              <w:pStyle w:val="TableContents"/>
              <w:spacing w:before="0" w:after="0"/>
              <w:rPr>
                <w:caps w:val="false"/>
                <w:smallCaps w:val="false"/>
              </w:rPr>
            </w:pPr>
            <w:r>
              <w:rPr>
                <w:caps w:val="false"/>
                <w:smallCaps w:val="false"/>
              </w:rPr>
              <w:t>​</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59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740" w:type="dxa"/>
            <w:gridSpan w:val="2"/>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of</w:t>
            </w:r>
          </w:p>
        </w:tc>
        <w:tc>
          <w:tcPr>
            <w:tcW w:w="18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59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740" w:type="dxa"/>
            <w:gridSpan w:val="2"/>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of</w:t>
            </w:r>
          </w:p>
        </w:tc>
        <w:tc>
          <w:tcPr>
            <w:tcW w:w="18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8" w:type="dxa"/>
            <w:tcBorders/>
            <w:shd w:fill="auto" w:val="clear"/>
            <w:vAlign w:val="center"/>
          </w:tcPr>
          <w:p>
            <w:pPr>
              <w:pStyle w:val="TableContents"/>
              <w:spacing w:before="0" w:after="283"/>
              <w:rPr/>
            </w:pPr>
            <w:r>
              <w:rPr/>
              <w:t> </w:t>
            </w:r>
          </w:p>
        </w:tc>
        <w:tc>
          <w:tcPr>
            <w:tcW w:w="50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335" w:type="dxa"/>
            <w:gridSpan w:val="2"/>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185" w:type="dxa"/>
            <w:tcBorders/>
            <w:shd w:fill="auto" w:val="clear"/>
            <w:vAlign w:val="center"/>
          </w:tcPr>
          <w:p>
            <w:pPr>
              <w:pStyle w:val="TableContents"/>
              <w:spacing w:before="0" w:after="283"/>
              <w:rPr/>
            </w:pPr>
            <w:r>
              <w:rPr/>
              <w:t> </w:t>
            </w:r>
          </w:p>
        </w:tc>
      </w:tr>
      <w:tr>
        <w:trPr/>
        <w:tc>
          <w:tcPr>
            <w:tcW w:w="1535" w:type="dxa"/>
            <w:tcBorders/>
            <w:shd w:fill="auto" w:val="clear"/>
            <w:vAlign w:val="center"/>
          </w:tcPr>
          <w:p>
            <w:pPr>
              <w:pStyle w:val="TableContents"/>
              <w:spacing w:before="0" w:after="0"/>
              <w:rPr>
                <w:caps w:val="false"/>
                <w:smallCaps w:val="false"/>
              </w:rPr>
            </w:pPr>
            <w:r>
              <w:rPr>
                <w:caps w:val="false"/>
                <w:smallCaps w:val="false"/>
              </w:rPr>
              <w:t>​</w:t>
            </w:r>
          </w:p>
        </w:tc>
        <w:tc>
          <w:tcPr>
            <w:tcW w:w="60" w:type="dxa"/>
            <w:tcBorders/>
            <w:shd w:fill="auto" w:val="clear"/>
            <w:vAlign w:val="center"/>
          </w:tcPr>
          <w:p>
            <w:pPr>
              <w:pStyle w:val="TableContents"/>
              <w:spacing w:before="0" w:after="283"/>
              <w:ind w:left="0" w:right="0" w:hanging="0"/>
              <w:rPr/>
            </w:pPr>
            <w:r>
              <w:rPr/>
              <w:t> </w:t>
            </w:r>
          </w:p>
        </w:tc>
        <w:tc>
          <w:tcPr>
            <w:tcW w:w="71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74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Revenue</w:t>
            </w:r>
          </w:p>
        </w:tc>
        <w:tc>
          <w:tcPr>
            <w:tcW w:w="18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71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74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Revenue</w:t>
            </w:r>
          </w:p>
        </w:tc>
        <w:tc>
          <w:tcPr>
            <w:tcW w:w="18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69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33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c>
          <w:tcPr>
            <w:tcW w:w="185" w:type="dxa"/>
            <w:tcBorders/>
            <w:shd w:fill="auto" w:val="clear"/>
            <w:vAlign w:val="center"/>
          </w:tcPr>
          <w:p>
            <w:pPr>
              <w:pStyle w:val="TableContents"/>
              <w:spacing w:before="0" w:after="283"/>
              <w:rPr/>
            </w:pPr>
            <w:r>
              <w:rPr/>
              <w:t> </w:t>
            </w:r>
          </w:p>
        </w:tc>
      </w:tr>
      <w:tr>
        <w:trPr/>
        <w:tc>
          <w:tcPr>
            <w:tcW w:w="1535" w:type="dxa"/>
            <w:tcBorders/>
            <w:shd w:fill="auto" w:val="clear"/>
            <w:vAlign w:val="center"/>
          </w:tcPr>
          <w:p>
            <w:pPr>
              <w:pStyle w:val="TableContents"/>
              <w:spacing w:before="0" w:after="0"/>
              <w:rPr>
                <w:caps w:val="false"/>
                <w:smallCaps w:val="false"/>
              </w:rPr>
            </w:pPr>
            <w:r>
              <w:rPr>
                <w:caps w:val="false"/>
                <w:smallCaps w:val="false"/>
              </w:rPr>
              <w:t>​</w:t>
            </w:r>
          </w:p>
        </w:tc>
        <w:tc>
          <w:tcPr>
            <w:tcW w:w="60" w:type="dxa"/>
            <w:tcBorders/>
            <w:shd w:fill="auto" w:val="clear"/>
            <w:vAlign w:val="center"/>
          </w:tcPr>
          <w:p>
            <w:pPr>
              <w:pStyle w:val="TableContents"/>
              <w:spacing w:before="0" w:after="283"/>
              <w:ind w:left="0" w:right="0" w:hanging="0"/>
              <w:rPr/>
            </w:pPr>
            <w:r>
              <w:rPr/>
              <w:t> </w:t>
            </w:r>
          </w:p>
        </w:tc>
        <w:tc>
          <w:tcPr>
            <w:tcW w:w="4790" w:type="dxa"/>
            <w:gridSpan w:val="22"/>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percentages)</w:t>
            </w:r>
          </w:p>
        </w:tc>
        <w:tc>
          <w:tcPr>
            <w:tcW w:w="185" w:type="dxa"/>
            <w:tcBorders/>
            <w:shd w:fill="auto" w:val="clear"/>
            <w:vAlign w:val="center"/>
          </w:tcPr>
          <w:p>
            <w:pPr>
              <w:pStyle w:val="TableContents"/>
              <w:spacing w:before="0" w:after="283"/>
              <w:rPr/>
            </w:pPr>
            <w:r>
              <w:rPr/>
              <w:t> </w:t>
            </w:r>
          </w:p>
        </w:tc>
      </w:tr>
      <w:tr>
        <w:trPr/>
        <w:tc>
          <w:tcPr>
            <w:tcW w:w="153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Cost of goods sold</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43,786</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0" w:type="dxa"/>
            <w:tcBorders/>
            <w:shd w:fill="CCEEFF" w:val="clear"/>
            <w:vAlign w:val="center"/>
          </w:tcPr>
          <w:p>
            <w:pPr>
              <w:pStyle w:val="TableContents"/>
              <w:spacing w:before="0" w:after="283"/>
              <w:ind w:left="0" w:right="0" w:hanging="0"/>
              <w:rPr/>
            </w:pPr>
            <w:r>
              <w:rPr/>
              <w:t> </w:t>
            </w:r>
          </w:p>
        </w:tc>
        <w:tc>
          <w:tcPr>
            <w:tcW w:w="64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82.6</w:t>
            </w:r>
          </w:p>
        </w:tc>
        <w:tc>
          <w:tcPr>
            <w:tcW w:w="18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43,217</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0" w:type="dxa"/>
            <w:tcBorders/>
            <w:shd w:fill="CCEEFF" w:val="clear"/>
            <w:vAlign w:val="center"/>
          </w:tcPr>
          <w:p>
            <w:pPr>
              <w:pStyle w:val="TableContents"/>
              <w:spacing w:before="0" w:after="283"/>
              <w:ind w:left="0" w:right="0" w:hanging="0"/>
              <w:rPr/>
            </w:pPr>
            <w:r>
              <w:rPr/>
              <w:t> </w:t>
            </w:r>
          </w:p>
        </w:tc>
        <w:tc>
          <w:tcPr>
            <w:tcW w:w="64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82.7</w:t>
            </w:r>
          </w:p>
        </w:tc>
        <w:tc>
          <w:tcPr>
            <w:tcW w:w="18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ind w:left="0" w:right="0" w:hanging="0"/>
              <w:rPr/>
            </w:pPr>
            <w:r>
              <w:rPr/>
              <w:t> </w:t>
            </w:r>
          </w:p>
        </w:tc>
        <w:tc>
          <w:tcPr>
            <w:tcW w:w="188"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07"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569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7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w:t>
            </w:r>
          </w:p>
        </w:tc>
        <w:tc>
          <w:tcPr>
            <w:tcW w:w="18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t>
            </w:r>
          </w:p>
        </w:tc>
      </w:tr>
      <w:tr>
        <w:trPr/>
        <w:tc>
          <w:tcPr>
            <w:tcW w:w="1535"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Gross margin</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9,244</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00" w:type="dxa"/>
            <w:tcBorders/>
            <w:shd w:fill="FFFFFF" w:val="clear"/>
            <w:vAlign w:val="center"/>
          </w:tcPr>
          <w:p>
            <w:pPr>
              <w:pStyle w:val="TableContents"/>
              <w:spacing w:before="0" w:after="283"/>
              <w:ind w:left="0" w:right="0" w:hanging="0"/>
              <w:rPr/>
            </w:pPr>
            <w:r>
              <w:rPr/>
              <w:t> </w:t>
            </w:r>
          </w:p>
        </w:tc>
        <w:tc>
          <w:tcPr>
            <w:tcW w:w="64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17.4</w:t>
            </w:r>
          </w:p>
        </w:tc>
        <w:tc>
          <w:tcPr>
            <w:tcW w:w="18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9,025</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00" w:type="dxa"/>
            <w:tcBorders/>
            <w:shd w:fill="FFFFFF" w:val="clear"/>
            <w:vAlign w:val="center"/>
          </w:tcPr>
          <w:p>
            <w:pPr>
              <w:pStyle w:val="TableContents"/>
              <w:spacing w:before="0" w:after="283"/>
              <w:ind w:left="0" w:right="0" w:hanging="0"/>
              <w:rPr/>
            </w:pPr>
            <w:r>
              <w:rPr/>
              <w:t> </w:t>
            </w:r>
          </w:p>
        </w:tc>
        <w:tc>
          <w:tcPr>
            <w:tcW w:w="64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17.3</w:t>
            </w:r>
          </w:p>
        </w:tc>
        <w:tc>
          <w:tcPr>
            <w:tcW w:w="18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88" w:type="dxa"/>
            <w:tcBorders/>
            <w:shd w:fill="FFFFFF" w:val="clear"/>
            <w:vAlign w:val="center"/>
          </w:tcPr>
          <w:p>
            <w:pPr>
              <w:pStyle w:val="TableContents"/>
              <w:spacing w:before="0" w:after="283"/>
              <w:ind w:left="0" w:right="0" w:hanging="0"/>
              <w:rPr/>
            </w:pPr>
            <w:r>
              <w:rPr/>
              <w:t> </w:t>
            </w:r>
          </w:p>
        </w:tc>
        <w:tc>
          <w:tcPr>
            <w:tcW w:w="507"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219</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7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2.4</w:t>
            </w:r>
          </w:p>
        </w:tc>
        <w:tc>
          <w:tcPr>
            <w:tcW w:w="18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t>
            </w:r>
          </w:p>
        </w:tc>
      </w:tr>
    </w:tbl>
    <w:p>
      <w:pPr>
        <w:pStyle w:val="TextBody"/>
        <w:spacing w:before="0" w:after="0"/>
        <w:ind w:left="0" w:right="0" w:hanging="0"/>
        <w:jc w:val="left"/>
        <w:rPr/>
      </w:pPr>
      <w:r>
        <w:rPr/>
        <w:t>​</w:t>
      </w:r>
    </w:p>
    <w:p>
      <w:pPr>
        <w:pStyle w:val="TextBody"/>
        <w:spacing w:before="0" w:after="0"/>
        <w:ind w:left="0" w:right="0" w:firstLine="720"/>
        <w:jc w:val="left"/>
        <w:rPr>
          <w:rFonts w:ascii="Times New Roman;Times;serif" w:hAnsi="Times New Roman;Times;serif"/>
          <w:sz w:val="20"/>
        </w:rPr>
      </w:pPr>
      <w:r>
        <w:rPr>
          <w:rFonts w:ascii="Times New Roman;Times;serif" w:hAnsi="Times New Roman;Times;serif"/>
          <w:sz w:val="20"/>
          <w:highlight w:val="white"/>
        </w:rPr>
        <w:t xml:space="preserve">Cost of goods sold increased by $0.6 million, or 1.3% for the three months ended </w:t>
      </w:r>
      <w:r>
        <w:rPr>
          <w:rFonts w:ascii="Times New Roman;Times;serif" w:hAnsi="Times New Roman;Times;serif"/>
          <w:sz w:val="20"/>
        </w:rPr>
        <w:t>March 31, 2023</w:t>
      </w:r>
      <w:r>
        <w:rPr>
          <w:rFonts w:ascii="Times New Roman;Times;serif" w:hAnsi="Times New Roman;Times;serif"/>
          <w:sz w:val="20"/>
          <w:highlight w:val="white"/>
        </w:rPr>
        <w:t xml:space="preserve"> as compared to the three months ended </w:t>
      </w:r>
      <w:r>
        <w:rPr>
          <w:rFonts w:ascii="Times New Roman;Times;serif" w:hAnsi="Times New Roman;Times;serif"/>
          <w:sz w:val="20"/>
        </w:rPr>
        <w:t>March 31, 2022</w:t>
      </w:r>
      <w:r>
        <w:rPr>
          <w:rFonts w:ascii="Times New Roman;Times;serif" w:hAnsi="Times New Roman;Times;serif"/>
          <w:sz w:val="20"/>
          <w:highlight w:val="white"/>
        </w:rPr>
        <w:t>, primarily due to the 1.5% sales increase and higher cost of certain raw materials due to global supply chain disruption. </w:t>
      </w:r>
    </w:p>
    <w:p>
      <w:pPr>
        <w:pStyle w:val="TextBody"/>
        <w:spacing w:before="0" w:after="0"/>
        <w:ind w:left="0" w:right="0" w:firstLine="720"/>
        <w:jc w:val="left"/>
        <w:rPr/>
      </w:pPr>
      <w:r>
        <w:rPr/>
        <w:t> </w:t>
      </w:r>
    </w:p>
    <w:p>
      <w:pPr>
        <w:pStyle w:val="TextBody"/>
        <w:spacing w:before="0" w:after="0"/>
        <w:ind w:left="0" w:right="0" w:firstLine="720"/>
        <w:jc w:val="left"/>
        <w:rPr>
          <w:rFonts w:ascii="Times New Roman;Times;serif" w:hAnsi="Times New Roman;Times;serif"/>
          <w:sz w:val="20"/>
        </w:rPr>
      </w:pPr>
      <w:r>
        <w:rPr>
          <w:rFonts w:ascii="Times New Roman;Times;serif" w:hAnsi="Times New Roman;Times;serif"/>
          <w:sz w:val="20"/>
          <w:highlight w:val="white"/>
        </w:rPr>
        <w:t xml:space="preserve">Gross profit increased $0.2 million, or 2.4% for the three months ended </w:t>
      </w:r>
      <w:r>
        <w:rPr>
          <w:rFonts w:ascii="Times New Roman;Times;serif" w:hAnsi="Times New Roman;Times;serif"/>
          <w:sz w:val="20"/>
        </w:rPr>
        <w:t>March 31, 2023</w:t>
      </w:r>
      <w:r>
        <w:rPr>
          <w:rFonts w:ascii="Times New Roman;Times;serif" w:hAnsi="Times New Roman;Times;serif"/>
          <w:sz w:val="20"/>
          <w:highlight w:val="white"/>
        </w:rPr>
        <w:t xml:space="preserve"> as compared to the three months ended </w:t>
      </w:r>
      <w:r>
        <w:rPr>
          <w:rFonts w:ascii="Times New Roman;Times;serif" w:hAnsi="Times New Roman;Times;serif"/>
          <w:sz w:val="20"/>
        </w:rPr>
        <w:t>March 31, 2022</w:t>
      </w:r>
      <w:r>
        <w:rPr>
          <w:rFonts w:ascii="Times New Roman;Times;serif" w:hAnsi="Times New Roman;Times;serif"/>
          <w:sz w:val="20"/>
          <w:highlight w:val="white"/>
        </w:rPr>
        <w:t>, primarily as a result of higher selling prices for some of our data center products. </w:t>
      </w:r>
    </w:p>
    <w:p>
      <w:pPr>
        <w:pStyle w:val="TextBody"/>
        <w:spacing w:before="0" w:after="0"/>
        <w:ind w:left="0" w:right="0" w:firstLine="720"/>
        <w:jc w:val="left"/>
        <w:rPr/>
      </w:pPr>
      <w:r>
        <w:rPr/>
        <w:t> </w:t>
      </w:r>
    </w:p>
    <w:p>
      <w:pPr>
        <w:pStyle w:val="TextBody"/>
        <w:spacing w:before="0" w:after="0"/>
        <w:ind w:left="0" w:right="0" w:hanging="0"/>
        <w:jc w:val="left"/>
        <w:rPr>
          <w:rFonts w:ascii="Times New Roman;Times;serif" w:hAnsi="Times New Roman;Times;serif"/>
          <w:i/>
          <w:sz w:val="20"/>
        </w:rPr>
      </w:pPr>
      <w:r>
        <w:rPr>
          <w:rFonts w:ascii="Times New Roman;Times;serif" w:hAnsi="Times New Roman;Times;serif"/>
          <w:i/>
          <w:sz w:val="20"/>
        </w:rPr>
        <w:t>Operating expenses</w:t>
      </w:r>
    </w:p>
    <w:p>
      <w:pPr>
        <w:pStyle w:val="TextBody"/>
        <w:spacing w:before="0" w:after="0"/>
        <w:ind w:left="0" w:right="0" w:hanging="0"/>
        <w:jc w:val="left"/>
        <w:rPr/>
      </w:pPr>
      <w:r>
        <w:rPr/>
        <w:t>​</w:t>
      </w:r>
    </w:p>
    <w:tbl>
      <w:tblPr>
        <w:tblW w:w="7400" w:type="dxa"/>
        <w:jc w:val="left"/>
        <w:tblInd w:w="0" w:type="dxa"/>
        <w:tblCellMar>
          <w:top w:w="0" w:type="dxa"/>
          <w:left w:w="0" w:type="dxa"/>
          <w:bottom w:w="0" w:type="dxa"/>
          <w:right w:w="0" w:type="dxa"/>
        </w:tblCellMar>
      </w:tblPr>
      <w:tblGrid>
        <w:gridCol w:w="2210"/>
        <w:gridCol w:w="60"/>
        <w:gridCol w:w="125"/>
        <w:gridCol w:w="590"/>
        <w:gridCol w:w="60"/>
        <w:gridCol w:w="60"/>
        <w:gridCol w:w="94"/>
        <w:gridCol w:w="601"/>
        <w:gridCol w:w="185"/>
        <w:gridCol w:w="60"/>
        <w:gridCol w:w="125"/>
        <w:gridCol w:w="590"/>
        <w:gridCol w:w="60"/>
        <w:gridCol w:w="60"/>
        <w:gridCol w:w="94"/>
        <w:gridCol w:w="601"/>
        <w:gridCol w:w="185"/>
        <w:gridCol w:w="60"/>
        <w:gridCol w:w="142"/>
        <w:gridCol w:w="553"/>
        <w:gridCol w:w="80"/>
        <w:gridCol w:w="60"/>
        <w:gridCol w:w="60"/>
        <w:gridCol w:w="440"/>
        <w:gridCol w:w="245"/>
      </w:tblGrid>
      <w:tr>
        <w:trPr/>
        <w:tc>
          <w:tcPr>
            <w:tcW w:w="221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3305" w:type="dxa"/>
            <w:gridSpan w:val="14"/>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March 31,</w:t>
            </w:r>
          </w:p>
        </w:tc>
        <w:tc>
          <w:tcPr>
            <w:tcW w:w="1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695" w:type="dxa"/>
            <w:gridSpan w:val="2"/>
            <w:tcBorders>
              <w:bottom w:val="single" w:sz="2" w:space="0" w:color="000000"/>
            </w:tcBorders>
            <w:shd w:fill="FFFFFF" w:val="clear"/>
            <w:tcMar>
              <w:bottom w:w="28" w:type="dxa"/>
            </w:tcMar>
            <w:vAlign w:val="center"/>
          </w:tcPr>
          <w:p>
            <w:pPr>
              <w:pStyle w:val="TableContents"/>
              <w:spacing w:before="0" w:after="0"/>
              <w:ind w:left="0" w:right="0" w:hanging="0"/>
              <w:rPr>
                <w:caps w:val="false"/>
                <w:smallCaps w:val="false"/>
              </w:rPr>
            </w:pPr>
            <w:r>
              <w:rPr>
                <w:caps w:val="false"/>
                <w:smallCaps w:val="false"/>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500" w:type="dxa"/>
            <w:gridSpan w:val="2"/>
            <w:tcBorders>
              <w:bottom w:val="single" w:sz="2" w:space="0" w:color="000000"/>
            </w:tcBorders>
            <w:shd w:fill="FFFFFF" w:val="clear"/>
            <w:tcMar>
              <w:bottom w:w="28" w:type="dxa"/>
            </w:tcMar>
            <w:vAlign w:val="center"/>
          </w:tcPr>
          <w:p>
            <w:pPr>
              <w:pStyle w:val="TableContents"/>
              <w:spacing w:before="0" w:after="0"/>
              <w:ind w:left="0" w:right="0" w:hanging="0"/>
              <w:rPr>
                <w:caps w:val="false"/>
                <w:smallCaps w:val="false"/>
              </w:rPr>
            </w:pPr>
            <w:r>
              <w:rPr>
                <w:caps w:val="false"/>
                <w:smallCaps w:val="false"/>
              </w:rPr>
              <w:t>​</w:t>
            </w:r>
          </w:p>
        </w:tc>
        <w:tc>
          <w:tcPr>
            <w:tcW w:w="245" w:type="dxa"/>
            <w:tcBorders/>
            <w:shd w:fill="FFFFFF" w:val="clear"/>
            <w:vAlign w:val="center"/>
          </w:tcPr>
          <w:p>
            <w:pPr>
              <w:pStyle w:val="TableContents"/>
              <w:spacing w:before="0" w:after="283"/>
              <w:rPr/>
            </w:pPr>
            <w:r>
              <w:rPr/>
              <w:t> </w:t>
            </w:r>
          </w:p>
        </w:tc>
      </w:tr>
      <w:tr>
        <w:trPr/>
        <w:tc>
          <w:tcPr>
            <w:tcW w:w="2210" w:type="dxa"/>
            <w:tcBorders/>
            <w:shd w:fill="FFFFFF" w:val="clear"/>
            <w:vAlign w:val="center"/>
          </w:tcPr>
          <w:p>
            <w:pPr>
              <w:pStyle w:val="TableContents"/>
              <w:spacing w:before="0" w:after="0"/>
              <w:rPr>
                <w:caps w:val="false"/>
                <w:smallCaps w:val="false"/>
              </w:rPr>
            </w:pPr>
            <w:r>
              <w:rPr>
                <w:caps w:val="false"/>
                <w:smallCaps w:val="false"/>
              </w:rPr>
              <w:t>​</w:t>
            </w:r>
          </w:p>
        </w:tc>
        <w:tc>
          <w:tcPr>
            <w:tcW w:w="60" w:type="dxa"/>
            <w:tcBorders/>
            <w:shd w:fill="FFFFFF" w:val="clear"/>
            <w:vAlign w:val="center"/>
          </w:tcPr>
          <w:p>
            <w:pPr>
              <w:pStyle w:val="TableContents"/>
              <w:spacing w:before="0" w:after="283"/>
              <w:ind w:left="0" w:right="0" w:hanging="0"/>
              <w:rPr/>
            </w:pPr>
            <w:r>
              <w:rPr/>
              <w:t> </w:t>
            </w:r>
          </w:p>
        </w:tc>
        <w:tc>
          <w:tcPr>
            <w:tcW w:w="1530"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530"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1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335"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245" w:type="dxa"/>
            <w:tcBorders/>
            <w:shd w:fill="FFFFFF" w:val="clear"/>
            <w:vAlign w:val="center"/>
          </w:tcPr>
          <w:p>
            <w:pPr>
              <w:pStyle w:val="TableContents"/>
              <w:spacing w:before="0" w:after="283"/>
              <w:rPr/>
            </w:pPr>
            <w:r>
              <w:rPr/>
              <w:t> </w:t>
            </w:r>
          </w:p>
        </w:tc>
      </w:tr>
      <w:tr>
        <w:trPr/>
        <w:tc>
          <w:tcPr>
            <w:tcW w:w="2210" w:type="dxa"/>
            <w:tcBorders/>
            <w:shd w:fill="FFFFFF" w:val="clear"/>
            <w:vAlign w:val="center"/>
          </w:tcPr>
          <w:p>
            <w:pPr>
              <w:pStyle w:val="TableContents"/>
              <w:spacing w:before="0" w:after="0"/>
              <w:rPr>
                <w:caps w:val="false"/>
                <w:smallCaps w:val="false"/>
              </w:rPr>
            </w:pPr>
            <w:r>
              <w:rPr>
                <w:caps w:val="false"/>
                <w:smallCaps w:val="false"/>
              </w:rPr>
              <w:t>​</w:t>
            </w:r>
          </w:p>
        </w:tc>
        <w:tc>
          <w:tcPr>
            <w:tcW w:w="60" w:type="dxa"/>
            <w:tcBorders/>
            <w:shd w:fill="FFFFFF" w:val="clear"/>
            <w:vAlign w:val="center"/>
          </w:tcPr>
          <w:p>
            <w:pPr>
              <w:pStyle w:val="TableContents"/>
              <w:spacing w:before="0" w:after="283"/>
              <w:ind w:left="0" w:right="0" w:hanging="0"/>
              <w:rPr/>
            </w:pPr>
            <w:r>
              <w:rPr/>
              <w:t> </w:t>
            </w:r>
          </w:p>
        </w:tc>
        <w:tc>
          <w:tcPr>
            <w:tcW w:w="715" w:type="dxa"/>
            <w:gridSpan w:val="2"/>
            <w:tcBorders/>
            <w:shd w:fill="FFFFFF" w:val="clear"/>
            <w:vAlign w:val="center"/>
          </w:tcPr>
          <w:p>
            <w:pPr>
              <w:pStyle w:val="TableContents"/>
              <w:spacing w:before="0" w:after="0"/>
              <w:ind w:left="0" w:right="0" w:hanging="0"/>
              <w:rPr>
                <w:caps w:val="false"/>
                <w:smallCaps w:val="false"/>
              </w:rPr>
            </w:pPr>
            <w:r>
              <w:rPr>
                <w:caps w:val="false"/>
                <w:smallCaps w:val="false"/>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695" w:type="dxa"/>
            <w:gridSpan w:val="2"/>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of</w:t>
            </w:r>
          </w:p>
        </w:tc>
        <w:tc>
          <w:tcPr>
            <w:tcW w:w="1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15" w:type="dxa"/>
            <w:gridSpan w:val="2"/>
            <w:tcBorders/>
            <w:shd w:fill="FFFFFF" w:val="clear"/>
            <w:vAlign w:val="center"/>
          </w:tcPr>
          <w:p>
            <w:pPr>
              <w:pStyle w:val="TableContents"/>
              <w:spacing w:before="0" w:after="0"/>
              <w:ind w:left="0" w:right="0" w:hanging="0"/>
              <w:rPr>
                <w:caps w:val="false"/>
                <w:smallCaps w:val="false"/>
              </w:rPr>
            </w:pPr>
            <w:r>
              <w:rPr>
                <w:caps w:val="false"/>
                <w:smallCaps w:val="false"/>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695" w:type="dxa"/>
            <w:gridSpan w:val="2"/>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of</w:t>
            </w:r>
          </w:p>
        </w:tc>
        <w:tc>
          <w:tcPr>
            <w:tcW w:w="1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695" w:type="dxa"/>
            <w:gridSpan w:val="2"/>
            <w:tcBorders/>
            <w:shd w:fill="FFFFFF" w:val="clear"/>
            <w:vAlign w:val="center"/>
          </w:tcPr>
          <w:p>
            <w:pPr>
              <w:pStyle w:val="TableContents"/>
              <w:spacing w:before="0" w:after="0"/>
              <w:ind w:left="0" w:right="0" w:hanging="0"/>
              <w:rPr>
                <w:caps w:val="false"/>
                <w:smallCaps w:val="false"/>
              </w:rPr>
            </w:pPr>
            <w:r>
              <w:rPr>
                <w:caps w:val="false"/>
                <w:smallCaps w:val="false"/>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500" w:type="dxa"/>
            <w:gridSpan w:val="2"/>
            <w:tcBorders/>
            <w:shd w:fill="FFFFFF" w:val="clear"/>
            <w:vAlign w:val="center"/>
          </w:tcPr>
          <w:p>
            <w:pPr>
              <w:pStyle w:val="TableContents"/>
              <w:spacing w:before="0" w:after="0"/>
              <w:ind w:left="0" w:right="0" w:hanging="0"/>
              <w:rPr>
                <w:caps w:val="false"/>
                <w:smallCaps w:val="false"/>
              </w:rPr>
            </w:pPr>
            <w:r>
              <w:rPr>
                <w:caps w:val="false"/>
                <w:smallCaps w:val="false"/>
              </w:rPr>
              <w:t>​</w:t>
            </w:r>
          </w:p>
        </w:tc>
        <w:tc>
          <w:tcPr>
            <w:tcW w:w="245" w:type="dxa"/>
            <w:tcBorders/>
            <w:shd w:fill="FFFFFF" w:val="clear"/>
            <w:vAlign w:val="center"/>
          </w:tcPr>
          <w:p>
            <w:pPr>
              <w:pStyle w:val="TableContents"/>
              <w:spacing w:before="0" w:after="283"/>
              <w:rPr/>
            </w:pPr>
            <w:r>
              <w:rPr/>
              <w:t> </w:t>
            </w:r>
          </w:p>
        </w:tc>
      </w:tr>
      <w:tr>
        <w:trPr/>
        <w:tc>
          <w:tcPr>
            <w:tcW w:w="2210" w:type="dxa"/>
            <w:tcBorders/>
            <w:shd w:fill="FFFFFF" w:val="clear"/>
            <w:vAlign w:val="center"/>
          </w:tcPr>
          <w:p>
            <w:pPr>
              <w:pStyle w:val="TableContents"/>
              <w:spacing w:before="0" w:after="0"/>
              <w:rPr>
                <w:caps w:val="false"/>
                <w:smallCaps w:val="false"/>
              </w:rPr>
            </w:pPr>
            <w:r>
              <w:rPr>
                <w:caps w:val="false"/>
                <w:smallCaps w:val="false"/>
              </w:rPr>
              <w:t>​</w:t>
            </w:r>
          </w:p>
        </w:tc>
        <w:tc>
          <w:tcPr>
            <w:tcW w:w="60" w:type="dxa"/>
            <w:tcBorders/>
            <w:shd w:fill="FFFFFF" w:val="clear"/>
            <w:vAlign w:val="center"/>
          </w:tcPr>
          <w:p>
            <w:pPr>
              <w:pStyle w:val="TableContents"/>
              <w:spacing w:before="0" w:after="283"/>
              <w:ind w:left="0" w:right="0" w:hanging="0"/>
              <w:rPr/>
            </w:pPr>
            <w:r>
              <w:rPr/>
              <w:t> </w:t>
            </w:r>
          </w:p>
        </w:tc>
        <w:tc>
          <w:tcPr>
            <w:tcW w:w="71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69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revenue</w:t>
            </w:r>
          </w:p>
        </w:tc>
        <w:tc>
          <w:tcPr>
            <w:tcW w:w="1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1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69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revenue</w:t>
            </w:r>
          </w:p>
        </w:tc>
        <w:tc>
          <w:tcPr>
            <w:tcW w:w="1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69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500" w:type="dxa"/>
            <w:gridSpan w:val="2"/>
            <w:tcBorders>
              <w:bottom w:val="single" w:sz="2" w:space="0" w:color="000000"/>
            </w:tcBorders>
            <w:shd w:fill="FFFFFF" w:val="clear"/>
            <w:tcMar>
              <w:bottom w:w="28" w:type="dxa"/>
            </w:tcMar>
            <w:vAlign w:val="center"/>
          </w:tcPr>
          <w:p>
            <w:pPr>
              <w:pStyle w:val="TableContents"/>
              <w:spacing w:before="0" w:after="283"/>
              <w:jc w:val="center"/>
              <w:rPr/>
            </w:pPr>
            <w:r>
              <w:rPr/>
              <w:t> </w:t>
            </w:r>
          </w:p>
        </w:tc>
        <w:tc>
          <w:tcPr>
            <w:tcW w:w="24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2210" w:type="dxa"/>
            <w:tcBorders/>
            <w:shd w:fill="FFFFFF" w:val="clear"/>
            <w:vAlign w:val="center"/>
          </w:tcPr>
          <w:p>
            <w:pPr>
              <w:pStyle w:val="TableContents"/>
              <w:spacing w:before="0" w:after="0"/>
              <w:rPr>
                <w:caps w:val="false"/>
                <w:smallCaps w:val="false"/>
              </w:rPr>
            </w:pPr>
            <w:r>
              <w:rPr>
                <w:caps w:val="false"/>
                <w:smallCaps w:val="false"/>
              </w:rPr>
              <w:t>​</w:t>
            </w:r>
          </w:p>
        </w:tc>
        <w:tc>
          <w:tcPr>
            <w:tcW w:w="60" w:type="dxa"/>
            <w:tcBorders/>
            <w:shd w:fill="FFFFFF" w:val="clear"/>
            <w:vAlign w:val="center"/>
          </w:tcPr>
          <w:p>
            <w:pPr>
              <w:pStyle w:val="TableContents"/>
              <w:spacing w:before="0" w:after="283"/>
              <w:ind w:left="0" w:right="0" w:hanging="0"/>
              <w:rPr/>
            </w:pPr>
            <w:r>
              <w:rPr/>
              <w:t> </w:t>
            </w:r>
          </w:p>
        </w:tc>
        <w:tc>
          <w:tcPr>
            <w:tcW w:w="4885" w:type="dxa"/>
            <w:gridSpan w:val="22"/>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percentages)</w:t>
            </w:r>
          </w:p>
        </w:tc>
        <w:tc>
          <w:tcPr>
            <w:tcW w:w="245" w:type="dxa"/>
            <w:tcBorders/>
            <w:shd w:fill="FFFFFF" w:val="clear"/>
            <w:vAlign w:val="center"/>
          </w:tcPr>
          <w:p>
            <w:pPr>
              <w:pStyle w:val="TableContents"/>
              <w:spacing w:before="0" w:after="283"/>
              <w:rPr/>
            </w:pPr>
            <w:r>
              <w:rPr/>
              <w:t> </w:t>
            </w:r>
          </w:p>
        </w:tc>
      </w:tr>
      <w:tr>
        <w:trPr/>
        <w:tc>
          <w:tcPr>
            <w:tcW w:w="221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Research and development</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8,536</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4" w:type="dxa"/>
            <w:tcBorders/>
            <w:shd w:fill="CCEEFF" w:val="clear"/>
            <w:vAlign w:val="center"/>
          </w:tcPr>
          <w:p>
            <w:pPr>
              <w:pStyle w:val="TableContents"/>
              <w:spacing w:before="0" w:after="283"/>
              <w:ind w:left="0" w:right="0" w:hanging="0"/>
              <w:rPr/>
            </w:pPr>
            <w:r>
              <w:rPr/>
              <w:t> </w:t>
            </w:r>
          </w:p>
        </w:tc>
        <w:tc>
          <w:tcPr>
            <w:tcW w:w="601"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16.1</w:t>
            </w:r>
          </w:p>
        </w:tc>
        <w:tc>
          <w:tcPr>
            <w:tcW w:w="18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9,486</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4" w:type="dxa"/>
            <w:tcBorders/>
            <w:shd w:fill="CCEEFF" w:val="clear"/>
            <w:vAlign w:val="center"/>
          </w:tcPr>
          <w:p>
            <w:pPr>
              <w:pStyle w:val="TableContents"/>
              <w:spacing w:before="0" w:after="283"/>
              <w:ind w:left="0" w:right="0" w:hanging="0"/>
              <w:rPr/>
            </w:pPr>
            <w:r>
              <w:rPr/>
              <w:t> </w:t>
            </w:r>
          </w:p>
        </w:tc>
        <w:tc>
          <w:tcPr>
            <w:tcW w:w="601"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18.2</w:t>
            </w:r>
          </w:p>
        </w:tc>
        <w:tc>
          <w:tcPr>
            <w:tcW w:w="18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ind w:left="0" w:right="0" w:hanging="0"/>
              <w:rPr/>
            </w:pPr>
            <w:r>
              <w:rPr/>
              <w:t> </w:t>
            </w:r>
          </w:p>
        </w:tc>
        <w:tc>
          <w:tcPr>
            <w:tcW w:w="142"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53"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(950</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44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(10.0</w:t>
            </w:r>
          </w:p>
        </w:tc>
        <w:tc>
          <w:tcPr>
            <w:tcW w:w="24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t>
            </w:r>
          </w:p>
        </w:tc>
      </w:tr>
      <w:tr>
        <w:trPr/>
        <w:tc>
          <w:tcPr>
            <w:tcW w:w="2210"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Sales and marketing</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2,327</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94" w:type="dxa"/>
            <w:tcBorders/>
            <w:shd w:fill="FFFFFF" w:val="clear"/>
            <w:vAlign w:val="center"/>
          </w:tcPr>
          <w:p>
            <w:pPr>
              <w:pStyle w:val="TableContents"/>
              <w:spacing w:before="0" w:after="283"/>
              <w:ind w:left="0" w:right="0" w:hanging="0"/>
              <w:rPr/>
            </w:pPr>
            <w:r>
              <w:rPr/>
              <w:t> </w:t>
            </w:r>
          </w:p>
        </w:tc>
        <w:tc>
          <w:tcPr>
            <w:tcW w:w="601"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4.4</w:t>
            </w:r>
          </w:p>
        </w:tc>
        <w:tc>
          <w:tcPr>
            <w:tcW w:w="18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2,558</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94" w:type="dxa"/>
            <w:tcBorders/>
            <w:shd w:fill="FFFFFF" w:val="clear"/>
            <w:vAlign w:val="center"/>
          </w:tcPr>
          <w:p>
            <w:pPr>
              <w:pStyle w:val="TableContents"/>
              <w:spacing w:before="0" w:after="283"/>
              <w:ind w:left="0" w:right="0" w:hanging="0"/>
              <w:rPr/>
            </w:pPr>
            <w:r>
              <w:rPr/>
              <w:t> </w:t>
            </w:r>
          </w:p>
        </w:tc>
        <w:tc>
          <w:tcPr>
            <w:tcW w:w="601"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4.9</w:t>
            </w:r>
          </w:p>
        </w:tc>
        <w:tc>
          <w:tcPr>
            <w:tcW w:w="18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42" w:type="dxa"/>
            <w:tcBorders/>
            <w:shd w:fill="FFFFFF" w:val="clear"/>
            <w:vAlign w:val="center"/>
          </w:tcPr>
          <w:p>
            <w:pPr>
              <w:pStyle w:val="TableContents"/>
              <w:spacing w:before="0" w:after="283"/>
              <w:ind w:left="0" w:right="0" w:hanging="0"/>
              <w:rPr/>
            </w:pPr>
            <w:r>
              <w:rPr/>
              <w:t> </w:t>
            </w:r>
          </w:p>
        </w:tc>
        <w:tc>
          <w:tcPr>
            <w:tcW w:w="553"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(231</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44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(9.0</w:t>
            </w:r>
          </w:p>
        </w:tc>
        <w:tc>
          <w:tcPr>
            <w:tcW w:w="24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t>
            </w:r>
          </w:p>
        </w:tc>
      </w:tr>
      <w:tr>
        <w:trPr/>
        <w:tc>
          <w:tcPr>
            <w:tcW w:w="221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General and administrative</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59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12,548</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4"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01"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23.7</w:t>
            </w:r>
          </w:p>
        </w:tc>
        <w:tc>
          <w:tcPr>
            <w:tcW w:w="18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59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11,220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4"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01"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21.5</w:t>
            </w:r>
          </w:p>
        </w:tc>
        <w:tc>
          <w:tcPr>
            <w:tcW w:w="18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42"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553"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1,328</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44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11.8</w:t>
            </w:r>
          </w:p>
        </w:tc>
        <w:tc>
          <w:tcPr>
            <w:tcW w:w="24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t>
            </w:r>
          </w:p>
        </w:tc>
      </w:tr>
      <w:tr>
        <w:trPr/>
        <w:tc>
          <w:tcPr>
            <w:tcW w:w="2210"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Total operating expenses</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23,411</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94" w:type="dxa"/>
            <w:tcBorders>
              <w:bottom w:val="double" w:sz="6" w:space="0" w:color="000000"/>
            </w:tcBorders>
            <w:shd w:fill="FFFFFF" w:val="clear"/>
            <w:tcMar>
              <w:bottom w:w="28" w:type="dxa"/>
            </w:tcMar>
            <w:vAlign w:val="center"/>
          </w:tcPr>
          <w:p>
            <w:pPr>
              <w:pStyle w:val="TableContents"/>
              <w:spacing w:before="0" w:after="283"/>
              <w:ind w:left="0" w:right="0" w:hanging="0"/>
              <w:rPr/>
            </w:pPr>
            <w:r>
              <w:rPr/>
              <w:t> </w:t>
            </w:r>
          </w:p>
        </w:tc>
        <w:tc>
          <w:tcPr>
            <w:tcW w:w="601"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44.1</w:t>
            </w:r>
          </w:p>
        </w:tc>
        <w:tc>
          <w:tcPr>
            <w:tcW w:w="18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23,264</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94" w:type="dxa"/>
            <w:tcBorders>
              <w:bottom w:val="double" w:sz="6" w:space="0" w:color="000000"/>
            </w:tcBorders>
            <w:shd w:fill="FFFFFF" w:val="clear"/>
            <w:tcMar>
              <w:bottom w:w="28" w:type="dxa"/>
            </w:tcMar>
            <w:vAlign w:val="center"/>
          </w:tcPr>
          <w:p>
            <w:pPr>
              <w:pStyle w:val="TableContents"/>
              <w:spacing w:before="0" w:after="283"/>
              <w:ind w:left="0" w:right="0" w:hanging="0"/>
              <w:rPr/>
            </w:pPr>
            <w:r>
              <w:rPr/>
              <w:t> </w:t>
            </w:r>
          </w:p>
        </w:tc>
        <w:tc>
          <w:tcPr>
            <w:tcW w:w="601"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44.5</w:t>
            </w:r>
          </w:p>
        </w:tc>
        <w:tc>
          <w:tcPr>
            <w:tcW w:w="18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ind w:left="0" w:right="0" w:hanging="0"/>
              <w:rPr/>
            </w:pPr>
            <w:r>
              <w:rPr/>
              <w:t> </w:t>
            </w:r>
          </w:p>
        </w:tc>
        <w:tc>
          <w:tcPr>
            <w:tcW w:w="142"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53"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147</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bottom w:val="double" w:sz="6" w:space="0" w:color="000000"/>
            </w:tcBorders>
            <w:shd w:fill="FFFFFF" w:val="clear"/>
            <w:tcMar>
              <w:bottom w:w="28" w:type="dxa"/>
            </w:tcMar>
            <w:vAlign w:val="center"/>
          </w:tcPr>
          <w:p>
            <w:pPr>
              <w:pStyle w:val="TableContents"/>
              <w:spacing w:before="0" w:after="283"/>
              <w:ind w:left="0" w:right="0" w:hanging="0"/>
              <w:rPr/>
            </w:pPr>
            <w:r>
              <w:rPr/>
              <w:t> </w:t>
            </w:r>
          </w:p>
        </w:tc>
        <w:tc>
          <w:tcPr>
            <w:tcW w:w="44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0.6</w:t>
            </w:r>
          </w:p>
        </w:tc>
        <w:tc>
          <w:tcPr>
            <w:tcW w:w="24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t>
            </w:r>
          </w:p>
        </w:tc>
      </w:tr>
    </w:tbl>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i/>
          <w:sz w:val="20"/>
          <w:highlight w:val="white"/>
        </w:rPr>
      </w:pPr>
      <w:r>
        <w:rPr>
          <w:rFonts w:ascii="Times New Roman;Times;serif" w:hAnsi="Times New Roman;Times;serif"/>
          <w:i/>
          <w:sz w:val="20"/>
          <w:highlight w:val="white"/>
        </w:rPr>
        <w:t>Research and development expense</w:t>
      </w:r>
    </w:p>
    <w:p>
      <w:pPr>
        <w:pStyle w:val="TextBody"/>
        <w:spacing w:before="0" w:after="0"/>
        <w:ind w:left="0" w:right="0" w:hanging="0"/>
        <w:jc w:val="left"/>
        <w:rPr>
          <w:highlight w:val="white"/>
        </w:rPr>
      </w:pPr>
      <w:r>
        <w:rPr>
          <w:highlight w:val="white"/>
        </w:rPr>
        <w:t>​</w:t>
      </w:r>
    </w:p>
    <w:p>
      <w:pPr>
        <w:pStyle w:val="TextBody"/>
        <w:spacing w:before="0" w:after="0"/>
        <w:ind w:left="0" w:right="0" w:firstLine="720"/>
        <w:jc w:val="left"/>
        <w:rPr>
          <w:rFonts w:ascii="Times New Roman;Times;serif" w:hAnsi="Times New Roman;Times;serif"/>
          <w:sz w:val="20"/>
        </w:rPr>
      </w:pPr>
      <w:r>
        <w:rPr>
          <w:rFonts w:ascii="Times New Roman;Times;serif" w:hAnsi="Times New Roman;Times;serif"/>
          <w:sz w:val="20"/>
          <w:highlight w:val="white"/>
        </w:rPr>
        <w:t xml:space="preserve">Research and development expense decreased by $1.0 million, or 10% for the three months ended </w:t>
      </w:r>
      <w:r>
        <w:rPr>
          <w:rFonts w:ascii="Times New Roman;Times;serif" w:hAnsi="Times New Roman;Times;serif"/>
          <w:sz w:val="20"/>
        </w:rPr>
        <w:t>March 31, 2023</w:t>
      </w:r>
      <w:r>
        <w:rPr>
          <w:rFonts w:ascii="Times New Roman;Times;serif" w:hAnsi="Times New Roman;Times;serif"/>
          <w:sz w:val="20"/>
          <w:highlight w:val="white"/>
        </w:rPr>
        <w:t xml:space="preserve"> as compared to the three months ended </w:t>
      </w:r>
      <w:r>
        <w:rPr>
          <w:rFonts w:ascii="Times New Roman;Times;serif" w:hAnsi="Times New Roman;Times;serif"/>
          <w:sz w:val="20"/>
        </w:rPr>
        <w:t>March 31, 2022</w:t>
      </w:r>
      <w:r>
        <w:rPr>
          <w:rFonts w:ascii="Times New Roman;Times;serif" w:hAnsi="Times New Roman;Times;serif"/>
          <w:sz w:val="20"/>
          <w:highlight w:val="white"/>
        </w:rPr>
        <w:t xml:space="preserve">. Research and development costs consist of R&amp;D work orders, R&amp;D material usage and other project related costs related to 100 Gbps, 200/400 Gbps data center products, DOCSIS 3.1 capable CATV products and other new product development, and depreciation expense resulting from R&amp;D equipment investments. </w:t>
      </w:r>
      <w:r>
        <w:rPr>
          <w:rFonts w:ascii="Times New Roman;Times;serif" w:hAnsi="Times New Roman;Times;serif"/>
          <w:sz w:val="20"/>
        </w:rPr>
        <w:t>The decreases were primarily due to less share-based compensation expense, and less materials and supplies used in R&amp;D activities combined with Asian currency exchange rate effect.</w:t>
      </w:r>
    </w:p>
    <w:p>
      <w:pPr>
        <w:pStyle w:val="TextBody"/>
        <w:spacing w:before="0" w:after="0"/>
        <w:ind w:left="0" w:right="0" w:firstLine="720"/>
        <w:jc w:val="left"/>
        <w:rPr/>
      </w:pPr>
      <w:r>
        <w:rPr/>
        <w:t> </w:t>
      </w:r>
    </w:p>
    <w:p>
      <w:pPr>
        <w:pStyle w:val="TextBody"/>
        <w:spacing w:before="0" w:after="0"/>
        <w:ind w:left="0" w:right="0" w:hanging="0"/>
        <w:jc w:val="left"/>
        <w:rPr>
          <w:rFonts w:ascii="Times New Roman;Times;serif" w:hAnsi="Times New Roman;Times;serif"/>
          <w:i/>
          <w:sz w:val="20"/>
        </w:rPr>
      </w:pPr>
      <w:r>
        <w:rPr>
          <w:rFonts w:ascii="Times New Roman;Times;serif" w:hAnsi="Times New Roman;Times;serif"/>
          <w:i/>
          <w:sz w:val="20"/>
        </w:rPr>
        <w:t>Sales and marketing expense</w:t>
      </w:r>
    </w:p>
    <w:p>
      <w:pPr>
        <w:pStyle w:val="TextBody"/>
        <w:spacing w:before="0" w:after="0"/>
        <w:ind w:left="0" w:right="0" w:hanging="0"/>
        <w:jc w:val="left"/>
        <w:rPr/>
      </w:pPr>
      <w:r>
        <w:rPr/>
        <w:t>​</w:t>
      </w:r>
    </w:p>
    <w:p>
      <w:pPr>
        <w:pStyle w:val="TextBody"/>
        <w:spacing w:before="0" w:after="0"/>
        <w:ind w:left="0" w:right="0" w:firstLine="720"/>
        <w:jc w:val="left"/>
        <w:rPr>
          <w:rFonts w:ascii="Times New Roman;Times;serif" w:hAnsi="Times New Roman;Times;serif"/>
          <w:sz w:val="20"/>
        </w:rPr>
      </w:pPr>
      <w:r>
        <w:rPr>
          <w:rFonts w:ascii="Times New Roman;Times;serif" w:hAnsi="Times New Roman;Times;serif"/>
          <w:sz w:val="20"/>
        </w:rPr>
        <w:t>Sales and marketing expense decreased by $0.2 million, or 9.0% for the three months ended March 31, 2023 as compared to the three months ended March 31, 2022. The decrease was primarily due to a decrease in duties and freight and partially offset by an increase in miscellaneous tax expenses.</w:t>
      </w:r>
    </w:p>
    <w:p>
      <w:pPr>
        <w:pStyle w:val="TextBody"/>
        <w:spacing w:before="0" w:after="0"/>
        <w:ind w:left="0" w:right="0" w:firstLine="720"/>
        <w:jc w:val="left"/>
        <w:rPr>
          <w:highlight w:val="yellow"/>
        </w:rPr>
      </w:pPr>
      <w:r>
        <w:rPr>
          <w:highlight w:val="yellow"/>
        </w:rPr>
        <w:t>​</w:t>
      </w:r>
    </w:p>
    <w:p>
      <w:pPr>
        <w:pStyle w:val="TextBody"/>
        <w:spacing w:before="0" w:after="0"/>
        <w:ind w:left="0" w:right="0" w:hanging="0"/>
        <w:jc w:val="left"/>
        <w:rPr>
          <w:rFonts w:ascii="Times New Roman;Times;serif" w:hAnsi="Times New Roman;Times;serif"/>
          <w:i/>
          <w:sz w:val="20"/>
          <w:highlight w:val="white"/>
        </w:rPr>
      </w:pPr>
      <w:r>
        <w:rPr>
          <w:rFonts w:ascii="Times New Roman;Times;serif" w:hAnsi="Times New Roman;Times;serif"/>
          <w:i/>
          <w:sz w:val="20"/>
          <w:highlight w:val="white"/>
        </w:rPr>
        <w:t>General and administrative expense</w:t>
      </w:r>
    </w:p>
    <w:p>
      <w:pPr>
        <w:pStyle w:val="TextBody"/>
        <w:spacing w:before="0" w:after="0"/>
        <w:ind w:left="0" w:right="0" w:hanging="0"/>
        <w:jc w:val="left"/>
        <w:rPr>
          <w:highlight w:val="white"/>
        </w:rPr>
      </w:pPr>
      <w:r>
        <w:rPr>
          <w:highlight w:val="white"/>
        </w:rPr>
        <w:t>​</w:t>
      </w:r>
    </w:p>
    <w:p>
      <w:pPr>
        <w:pStyle w:val="TextBody"/>
        <w:spacing w:before="0" w:after="0"/>
        <w:ind w:left="0" w:right="0" w:firstLine="720"/>
        <w:jc w:val="left"/>
        <w:rPr>
          <w:rFonts w:ascii="Times New Roman;Times;serif" w:hAnsi="Times New Roman;Times;serif"/>
          <w:sz w:val="20"/>
        </w:rPr>
      </w:pPr>
      <w:r>
        <w:rPr>
          <w:rFonts w:ascii="Times New Roman;Times;serif" w:hAnsi="Times New Roman;Times;serif"/>
          <w:sz w:val="20"/>
          <w:highlight w:val="white"/>
        </w:rPr>
        <w:t xml:space="preserve">General and administrative expense increased by $1.3 million, or 11.8% for the three months ended </w:t>
      </w:r>
      <w:r>
        <w:rPr>
          <w:rFonts w:ascii="Times New Roman;Times;serif" w:hAnsi="Times New Roman;Times;serif"/>
          <w:sz w:val="20"/>
        </w:rPr>
        <w:t>March 31, 2023</w:t>
      </w:r>
      <w:r>
        <w:rPr>
          <w:rFonts w:ascii="Times New Roman;Times;serif" w:hAnsi="Times New Roman;Times;serif"/>
          <w:sz w:val="20"/>
          <w:highlight w:val="white"/>
        </w:rPr>
        <w:t xml:space="preserve"> compared to the three months ended </w:t>
      </w:r>
      <w:r>
        <w:rPr>
          <w:rFonts w:ascii="Times New Roman;Times;serif" w:hAnsi="Times New Roman;Times;serif"/>
          <w:sz w:val="20"/>
        </w:rPr>
        <w:t>March 31, 2022</w:t>
      </w:r>
      <w:r>
        <w:rPr>
          <w:rFonts w:ascii="Times New Roman;Times;serif" w:hAnsi="Times New Roman;Times;serif"/>
          <w:sz w:val="20"/>
          <w:highlight w:val="white"/>
        </w:rPr>
        <w:t xml:space="preserve">. This increase was primarily due to an increase in </w:t>
      </w:r>
      <w:r>
        <w:rPr>
          <w:rFonts w:ascii="Times New Roman;Times;serif" w:hAnsi="Times New Roman;Times;serif"/>
          <w:sz w:val="20"/>
        </w:rPr>
        <w:t>personnel-related costs and </w:t>
      </w:r>
      <w:r>
        <w:rPr>
          <w:rFonts w:ascii="Times New Roman;Times;serif" w:hAnsi="Times New Roman;Times;serif"/>
          <w:sz w:val="20"/>
          <w:highlight w:val="white"/>
        </w:rPr>
        <w:t xml:space="preserve">professional service fees incurred due to the transaction for China </w:t>
      </w:r>
      <w:r>
        <w:rPr>
          <w:rFonts w:ascii="Times New Roman;Times;serif" w:hAnsi="Times New Roman;Times;serif"/>
          <w:sz w:val="20"/>
        </w:rPr>
        <w:t>divestiture agreement</w:t>
      </w:r>
      <w:r>
        <w:rPr>
          <w:rFonts w:ascii="Times New Roman;Times;serif" w:hAnsi="Times New Roman;Times;serif"/>
          <w:sz w:val="20"/>
          <w:highlight w:val="white"/>
        </w:rPr>
        <w:t xml:space="preserve">, taxes and fees. This increase was partially </w:t>
      </w:r>
      <w:r>
        <w:rPr>
          <w:rFonts w:ascii="Times New Roman;Times;serif" w:hAnsi="Times New Roman;Times;serif"/>
          <w:sz w:val="20"/>
        </w:rPr>
        <w:t>offset by a decrease in share-based compensation expense.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25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i/>
          <w:sz w:val="20"/>
        </w:rPr>
      </w:pPr>
      <w:r>
        <w:rPr>
          <w:rFonts w:ascii="Times New Roman;Times;serif" w:hAnsi="Times New Roman;Times;serif"/>
          <w:i/>
          <w:sz w:val="20"/>
        </w:rPr>
        <w:t>Other income (expense), net</w:t>
      </w:r>
    </w:p>
    <w:p>
      <w:pPr>
        <w:pStyle w:val="TextBody"/>
        <w:spacing w:before="0" w:after="0"/>
        <w:ind w:left="0" w:right="0" w:hanging="0"/>
        <w:jc w:val="left"/>
        <w:rPr/>
      </w:pPr>
      <w:r>
        <w:rPr/>
        <w:t>​</w:t>
      </w:r>
    </w:p>
    <w:tbl>
      <w:tblPr>
        <w:tblW w:w="8045" w:type="dxa"/>
        <w:jc w:val="left"/>
        <w:tblInd w:w="0" w:type="dxa"/>
        <w:tblCellMar>
          <w:top w:w="0" w:type="dxa"/>
          <w:left w:w="0" w:type="dxa"/>
          <w:bottom w:w="0" w:type="dxa"/>
          <w:right w:w="0" w:type="dxa"/>
        </w:tblCellMar>
      </w:tblPr>
      <w:tblGrid>
        <w:gridCol w:w="2735"/>
        <w:gridCol w:w="60"/>
        <w:gridCol w:w="129"/>
        <w:gridCol w:w="566"/>
        <w:gridCol w:w="80"/>
        <w:gridCol w:w="60"/>
        <w:gridCol w:w="104"/>
        <w:gridCol w:w="591"/>
        <w:gridCol w:w="245"/>
        <w:gridCol w:w="60"/>
        <w:gridCol w:w="129"/>
        <w:gridCol w:w="566"/>
        <w:gridCol w:w="80"/>
        <w:gridCol w:w="60"/>
        <w:gridCol w:w="104"/>
        <w:gridCol w:w="591"/>
        <w:gridCol w:w="245"/>
        <w:gridCol w:w="60"/>
        <w:gridCol w:w="167"/>
        <w:gridCol w:w="528"/>
        <w:gridCol w:w="80"/>
        <w:gridCol w:w="60"/>
        <w:gridCol w:w="60"/>
        <w:gridCol w:w="440"/>
        <w:gridCol w:w="245"/>
      </w:tblGrid>
      <w:tr>
        <w:trPr/>
        <w:tc>
          <w:tcPr>
            <w:tcW w:w="273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3365" w:type="dxa"/>
            <w:gridSpan w:val="1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March 31,</w:t>
            </w:r>
          </w:p>
        </w:tc>
        <w:tc>
          <w:tcPr>
            <w:tcW w:w="24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695" w:type="dxa"/>
            <w:gridSpan w:val="2"/>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500" w:type="dxa"/>
            <w:gridSpan w:val="2"/>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245" w:type="dxa"/>
            <w:tcBorders/>
            <w:shd w:fill="auto" w:val="clear"/>
            <w:vAlign w:val="center"/>
          </w:tcPr>
          <w:p>
            <w:pPr>
              <w:pStyle w:val="TableContents"/>
              <w:spacing w:before="0" w:after="283"/>
              <w:rPr/>
            </w:pPr>
            <w:r>
              <w:rPr/>
              <w:t> </w:t>
            </w:r>
          </w:p>
        </w:tc>
      </w:tr>
      <w:tr>
        <w:trPr/>
        <w:tc>
          <w:tcPr>
            <w:tcW w:w="2735" w:type="dxa"/>
            <w:tcBorders/>
            <w:shd w:fill="auto" w:val="clear"/>
            <w:vAlign w:val="center"/>
          </w:tcPr>
          <w:p>
            <w:pPr>
              <w:pStyle w:val="TableContents"/>
              <w:spacing w:before="0" w:after="0"/>
              <w:rPr>
                <w:caps w:val="false"/>
                <w:smallCaps w:val="false"/>
              </w:rPr>
            </w:pPr>
            <w:r>
              <w:rPr>
                <w:caps w:val="false"/>
                <w:smallCaps w:val="false"/>
              </w:rPr>
              <w:t>​</w:t>
            </w:r>
          </w:p>
        </w:tc>
        <w:tc>
          <w:tcPr>
            <w:tcW w:w="60" w:type="dxa"/>
            <w:tcBorders/>
            <w:shd w:fill="auto" w:val="clear"/>
            <w:vAlign w:val="center"/>
          </w:tcPr>
          <w:p>
            <w:pPr>
              <w:pStyle w:val="TableContents"/>
              <w:spacing w:before="0" w:after="283"/>
              <w:ind w:left="0" w:right="0" w:hanging="0"/>
              <w:rPr/>
            </w:pPr>
            <w:r>
              <w:rPr/>
              <w:t> </w:t>
            </w:r>
          </w:p>
        </w:tc>
        <w:tc>
          <w:tcPr>
            <w:tcW w:w="1530" w:type="dxa"/>
            <w:gridSpan w:val="6"/>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24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530" w:type="dxa"/>
            <w:gridSpan w:val="6"/>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24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335" w:type="dxa"/>
            <w:gridSpan w:val="6"/>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245" w:type="dxa"/>
            <w:tcBorders/>
            <w:shd w:fill="auto" w:val="clear"/>
            <w:vAlign w:val="center"/>
          </w:tcPr>
          <w:p>
            <w:pPr>
              <w:pStyle w:val="TableContents"/>
              <w:spacing w:before="0" w:after="283"/>
              <w:rPr/>
            </w:pPr>
            <w:r>
              <w:rPr/>
              <w:t> </w:t>
            </w:r>
          </w:p>
        </w:tc>
      </w:tr>
      <w:tr>
        <w:trPr/>
        <w:tc>
          <w:tcPr>
            <w:tcW w:w="2735" w:type="dxa"/>
            <w:tcBorders/>
            <w:shd w:fill="auto" w:val="clear"/>
            <w:vAlign w:val="center"/>
          </w:tcPr>
          <w:p>
            <w:pPr>
              <w:pStyle w:val="TableContents"/>
              <w:spacing w:before="0" w:after="0"/>
              <w:rPr>
                <w:caps w:val="false"/>
                <w:smallCaps w:val="false"/>
              </w:rPr>
            </w:pPr>
            <w:r>
              <w:rPr>
                <w:caps w:val="false"/>
                <w:smallCaps w:val="false"/>
              </w:rPr>
              <w:t>​</w:t>
            </w:r>
          </w:p>
        </w:tc>
        <w:tc>
          <w:tcPr>
            <w:tcW w:w="60" w:type="dxa"/>
            <w:tcBorders/>
            <w:shd w:fill="auto" w:val="clear"/>
            <w:vAlign w:val="center"/>
          </w:tcPr>
          <w:p>
            <w:pPr>
              <w:pStyle w:val="TableContents"/>
              <w:spacing w:before="0" w:after="283"/>
              <w:ind w:left="0" w:right="0" w:hanging="0"/>
              <w:rPr/>
            </w:pPr>
            <w:r>
              <w:rPr/>
              <w:t> </w:t>
            </w:r>
          </w:p>
        </w:tc>
        <w:tc>
          <w:tcPr>
            <w:tcW w:w="695" w:type="dxa"/>
            <w:gridSpan w:val="2"/>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695" w:type="dxa"/>
            <w:gridSpan w:val="2"/>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of</w:t>
            </w:r>
          </w:p>
        </w:tc>
        <w:tc>
          <w:tcPr>
            <w:tcW w:w="24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c>
          <w:tcPr>
            <w:tcW w:w="566" w:type="dxa"/>
            <w:tcBorders/>
            <w:shd w:fill="auto" w:val="clear"/>
            <w:vAlign w:val="center"/>
          </w:tcPr>
          <w:p>
            <w:pPr>
              <w:pStyle w:val="TableContents"/>
              <w:spacing w:before="0" w:after="283"/>
              <w:jc w:val="center"/>
              <w:rPr/>
            </w:pPr>
            <w:r>
              <w:rPr/>
              <w:t> </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695" w:type="dxa"/>
            <w:gridSpan w:val="2"/>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of</w:t>
            </w:r>
          </w:p>
        </w:tc>
        <w:tc>
          <w:tcPr>
            <w:tcW w:w="24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695" w:type="dxa"/>
            <w:gridSpan w:val="2"/>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4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rPr/>
            </w:pPr>
            <w:r>
              <w:rPr/>
              <w:t> </w:t>
            </w:r>
          </w:p>
        </w:tc>
      </w:tr>
      <w:tr>
        <w:trPr/>
        <w:tc>
          <w:tcPr>
            <w:tcW w:w="2735" w:type="dxa"/>
            <w:tcBorders/>
            <w:shd w:fill="auto" w:val="clear"/>
            <w:vAlign w:val="center"/>
          </w:tcPr>
          <w:p>
            <w:pPr>
              <w:pStyle w:val="TableContents"/>
              <w:spacing w:before="0" w:after="0"/>
              <w:rPr>
                <w:caps w:val="false"/>
                <w:smallCaps w:val="false"/>
              </w:rPr>
            </w:pPr>
            <w:r>
              <w:rPr>
                <w:caps w:val="false"/>
                <w:smallCaps w:val="false"/>
              </w:rPr>
              <w:t>​</w:t>
            </w:r>
          </w:p>
        </w:tc>
        <w:tc>
          <w:tcPr>
            <w:tcW w:w="60" w:type="dxa"/>
            <w:tcBorders/>
            <w:shd w:fill="auto" w:val="clear"/>
            <w:vAlign w:val="center"/>
          </w:tcPr>
          <w:p>
            <w:pPr>
              <w:pStyle w:val="TableContents"/>
              <w:spacing w:before="0" w:after="283"/>
              <w:ind w:left="0" w:right="0" w:hanging="0"/>
              <w:rPr/>
            </w:pPr>
            <w:r>
              <w:rPr/>
              <w:t> </w:t>
            </w:r>
          </w:p>
        </w:tc>
        <w:tc>
          <w:tcPr>
            <w:tcW w:w="69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69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revenue</w:t>
            </w:r>
          </w:p>
        </w:tc>
        <w:tc>
          <w:tcPr>
            <w:tcW w:w="24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69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69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revenue</w:t>
            </w:r>
          </w:p>
        </w:tc>
        <w:tc>
          <w:tcPr>
            <w:tcW w:w="24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69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50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c>
          <w:tcPr>
            <w:tcW w:w="245" w:type="dxa"/>
            <w:tcBorders/>
            <w:shd w:fill="auto" w:val="clear"/>
            <w:vAlign w:val="center"/>
          </w:tcPr>
          <w:p>
            <w:pPr>
              <w:pStyle w:val="TableContents"/>
              <w:spacing w:before="0" w:after="283"/>
              <w:rPr/>
            </w:pPr>
            <w:r>
              <w:rPr/>
              <w:t> </w:t>
            </w:r>
          </w:p>
        </w:tc>
      </w:tr>
      <w:tr>
        <w:trPr/>
        <w:tc>
          <w:tcPr>
            <w:tcW w:w="2735" w:type="dxa"/>
            <w:tcBorders/>
            <w:shd w:fill="auto" w:val="clear"/>
            <w:vAlign w:val="center"/>
          </w:tcPr>
          <w:p>
            <w:pPr>
              <w:pStyle w:val="TableContents"/>
              <w:spacing w:before="0" w:after="0"/>
              <w:rPr>
                <w:caps w:val="false"/>
                <w:smallCaps w:val="false"/>
              </w:rPr>
            </w:pPr>
            <w:r>
              <w:rPr>
                <w:caps w:val="false"/>
                <w:smallCaps w:val="false"/>
              </w:rPr>
              <w:t>​</w:t>
            </w:r>
          </w:p>
        </w:tc>
        <w:tc>
          <w:tcPr>
            <w:tcW w:w="60" w:type="dxa"/>
            <w:tcBorders/>
            <w:shd w:fill="auto" w:val="clear"/>
            <w:vAlign w:val="center"/>
          </w:tcPr>
          <w:p>
            <w:pPr>
              <w:pStyle w:val="TableContents"/>
              <w:spacing w:before="0" w:after="283"/>
              <w:ind w:left="0" w:right="0" w:hanging="0"/>
              <w:rPr/>
            </w:pPr>
            <w:r>
              <w:rPr/>
              <w:t> </w:t>
            </w:r>
          </w:p>
        </w:tc>
        <w:tc>
          <w:tcPr>
            <w:tcW w:w="5005" w:type="dxa"/>
            <w:gridSpan w:val="22"/>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percentages)</w:t>
            </w:r>
          </w:p>
        </w:tc>
        <w:tc>
          <w:tcPr>
            <w:tcW w:w="245" w:type="dxa"/>
            <w:tcBorders/>
            <w:shd w:fill="auto" w:val="clear"/>
            <w:vAlign w:val="center"/>
          </w:tcPr>
          <w:p>
            <w:pPr>
              <w:pStyle w:val="TableContents"/>
              <w:spacing w:before="0" w:after="283"/>
              <w:rPr/>
            </w:pPr>
            <w:r>
              <w:rPr/>
              <w:t> </w:t>
            </w:r>
          </w:p>
        </w:tc>
      </w:tr>
      <w:tr>
        <w:trPr/>
        <w:tc>
          <w:tcPr>
            <w:tcW w:w="273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Interest income</w:t>
            </w:r>
          </w:p>
        </w:tc>
        <w:tc>
          <w:tcPr>
            <w:tcW w:w="60" w:type="dxa"/>
            <w:tcBorders/>
            <w:shd w:fill="CCEEFF" w:val="clear"/>
            <w:vAlign w:val="center"/>
          </w:tcPr>
          <w:p>
            <w:pPr>
              <w:pStyle w:val="TableContents"/>
              <w:spacing w:before="0" w:after="283"/>
              <w:ind w:left="0" w:right="0" w:hanging="0"/>
              <w:rPr/>
            </w:pPr>
            <w:r>
              <w:rPr/>
              <w:t> </w:t>
            </w:r>
          </w:p>
        </w:tc>
        <w:tc>
          <w:tcPr>
            <w:tcW w:w="129"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6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33</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4" w:type="dxa"/>
            <w:tcBorders/>
            <w:shd w:fill="CCEEFF" w:val="clear"/>
            <w:vAlign w:val="center"/>
          </w:tcPr>
          <w:p>
            <w:pPr>
              <w:pStyle w:val="TableContents"/>
              <w:spacing w:before="0" w:after="283"/>
              <w:ind w:left="0" w:right="0" w:hanging="0"/>
              <w:rPr/>
            </w:pPr>
            <w:r>
              <w:rPr/>
              <w:t> </w:t>
            </w:r>
          </w:p>
        </w:tc>
        <w:tc>
          <w:tcPr>
            <w:tcW w:w="591"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0.1</w:t>
            </w:r>
          </w:p>
        </w:tc>
        <w:tc>
          <w:tcPr>
            <w:tcW w:w="24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spacing w:before="0" w:after="283"/>
              <w:ind w:left="0" w:right="0" w:hanging="0"/>
              <w:rPr/>
            </w:pPr>
            <w:r>
              <w:rPr/>
              <w:t> </w:t>
            </w:r>
          </w:p>
        </w:tc>
        <w:tc>
          <w:tcPr>
            <w:tcW w:w="129"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6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28</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4" w:type="dxa"/>
            <w:tcBorders/>
            <w:shd w:fill="CCEEFF" w:val="clear"/>
            <w:vAlign w:val="center"/>
          </w:tcPr>
          <w:p>
            <w:pPr>
              <w:pStyle w:val="TableContents"/>
              <w:spacing w:before="0" w:after="283"/>
              <w:ind w:left="0" w:right="0" w:hanging="0"/>
              <w:rPr/>
            </w:pPr>
            <w:r>
              <w:rPr/>
              <w:t> </w:t>
            </w:r>
          </w:p>
        </w:tc>
        <w:tc>
          <w:tcPr>
            <w:tcW w:w="591"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0.1</w:t>
            </w:r>
          </w:p>
        </w:tc>
        <w:tc>
          <w:tcPr>
            <w:tcW w:w="24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ind w:left="0" w:right="0" w:hanging="0"/>
              <w:rPr/>
            </w:pPr>
            <w:r>
              <w:rPr/>
              <w:t> </w:t>
            </w:r>
          </w:p>
        </w:tc>
        <w:tc>
          <w:tcPr>
            <w:tcW w:w="167"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28"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44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17.9</w:t>
            </w:r>
          </w:p>
        </w:tc>
        <w:tc>
          <w:tcPr>
            <w:tcW w:w="24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t>
            </w:r>
          </w:p>
        </w:tc>
      </w:tr>
      <w:tr>
        <w:trPr/>
        <w:tc>
          <w:tcPr>
            <w:tcW w:w="2735"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Interest expense</w:t>
            </w:r>
          </w:p>
        </w:tc>
        <w:tc>
          <w:tcPr>
            <w:tcW w:w="60" w:type="dxa"/>
            <w:tcBorders/>
            <w:shd w:fill="FFFFFF" w:val="clear"/>
            <w:vAlign w:val="center"/>
          </w:tcPr>
          <w:p>
            <w:pPr>
              <w:pStyle w:val="TableContents"/>
              <w:spacing w:before="0" w:after="283"/>
              <w:rPr/>
            </w:pPr>
            <w:r>
              <w:rPr/>
              <w:t> </w:t>
            </w:r>
          </w:p>
        </w:tc>
        <w:tc>
          <w:tcPr>
            <w:tcW w:w="129" w:type="dxa"/>
            <w:tcBorders/>
            <w:shd w:fill="FFFFFF" w:val="clear"/>
            <w:vAlign w:val="center"/>
          </w:tcPr>
          <w:p>
            <w:pPr>
              <w:pStyle w:val="TableContents"/>
              <w:spacing w:before="0" w:after="283"/>
              <w:ind w:left="0" w:right="0" w:hanging="0"/>
              <w:rPr/>
            </w:pPr>
            <w:r>
              <w:rPr/>
              <w:t> </w:t>
            </w:r>
          </w:p>
        </w:tc>
        <w:tc>
          <w:tcPr>
            <w:tcW w:w="56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(2,137</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04" w:type="dxa"/>
            <w:tcBorders/>
            <w:shd w:fill="FFFFFF" w:val="clear"/>
            <w:vAlign w:val="center"/>
          </w:tcPr>
          <w:p>
            <w:pPr>
              <w:pStyle w:val="TableContents"/>
              <w:spacing w:before="0" w:after="283"/>
              <w:ind w:left="0" w:right="0" w:hanging="0"/>
              <w:rPr/>
            </w:pPr>
            <w:r>
              <w:rPr/>
              <w:t> </w:t>
            </w:r>
          </w:p>
        </w:tc>
        <w:tc>
          <w:tcPr>
            <w:tcW w:w="591"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(4.0</w:t>
            </w:r>
          </w:p>
        </w:tc>
        <w:tc>
          <w:tcPr>
            <w:tcW w:w="24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29" w:type="dxa"/>
            <w:tcBorders/>
            <w:shd w:fill="FFFFFF" w:val="clear"/>
            <w:vAlign w:val="center"/>
          </w:tcPr>
          <w:p>
            <w:pPr>
              <w:pStyle w:val="TableContents"/>
              <w:spacing w:before="0" w:after="283"/>
              <w:ind w:left="0" w:right="0" w:hanging="0"/>
              <w:rPr/>
            </w:pPr>
            <w:r>
              <w:rPr/>
              <w:t> </w:t>
            </w:r>
          </w:p>
        </w:tc>
        <w:tc>
          <w:tcPr>
            <w:tcW w:w="56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(1,401</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04" w:type="dxa"/>
            <w:tcBorders/>
            <w:shd w:fill="FFFFFF" w:val="clear"/>
            <w:vAlign w:val="center"/>
          </w:tcPr>
          <w:p>
            <w:pPr>
              <w:pStyle w:val="TableContents"/>
              <w:spacing w:before="0" w:after="283"/>
              <w:ind w:left="0" w:right="0" w:hanging="0"/>
              <w:rPr/>
            </w:pPr>
            <w:r>
              <w:rPr/>
              <w:t> </w:t>
            </w:r>
          </w:p>
        </w:tc>
        <w:tc>
          <w:tcPr>
            <w:tcW w:w="591"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(2.7</w:t>
            </w:r>
          </w:p>
        </w:tc>
        <w:tc>
          <w:tcPr>
            <w:tcW w:w="24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67" w:type="dxa"/>
            <w:tcBorders/>
            <w:shd w:fill="FFFFFF" w:val="clear"/>
            <w:vAlign w:val="center"/>
          </w:tcPr>
          <w:p>
            <w:pPr>
              <w:pStyle w:val="TableContents"/>
              <w:spacing w:before="0" w:after="283"/>
              <w:ind w:left="0" w:right="0" w:hanging="0"/>
              <w:rPr/>
            </w:pPr>
            <w:r>
              <w:rPr/>
              <w:t> </w:t>
            </w:r>
          </w:p>
        </w:tc>
        <w:tc>
          <w:tcPr>
            <w:tcW w:w="528"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(736</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44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52.5</w:t>
            </w:r>
          </w:p>
        </w:tc>
        <w:tc>
          <w:tcPr>
            <w:tcW w:w="24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t>
            </w:r>
          </w:p>
        </w:tc>
      </w:tr>
      <w:tr>
        <w:trPr/>
        <w:tc>
          <w:tcPr>
            <w:tcW w:w="273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Other income (expense), net</w:t>
            </w:r>
          </w:p>
        </w:tc>
        <w:tc>
          <w:tcPr>
            <w:tcW w:w="60" w:type="dxa"/>
            <w:tcBorders/>
            <w:shd w:fill="CCEEFF" w:val="clear"/>
            <w:vAlign w:val="center"/>
          </w:tcPr>
          <w:p>
            <w:pPr>
              <w:pStyle w:val="TableContents"/>
              <w:spacing w:before="0" w:after="283"/>
              <w:rPr/>
            </w:pPr>
            <w:r>
              <w:rPr/>
              <w:t> </w:t>
            </w:r>
          </w:p>
        </w:tc>
        <w:tc>
          <w:tcPr>
            <w:tcW w:w="129"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566"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(21</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04"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591"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(0.0</w:t>
            </w:r>
          </w:p>
        </w:tc>
        <w:tc>
          <w:tcPr>
            <w:tcW w:w="24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29"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566"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(450</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04"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591"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(0.9</w:t>
            </w:r>
          </w:p>
        </w:tc>
        <w:tc>
          <w:tcPr>
            <w:tcW w:w="24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67"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528"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429</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44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(95.3</w:t>
            </w:r>
          </w:p>
        </w:tc>
        <w:tc>
          <w:tcPr>
            <w:tcW w:w="24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2735"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Total other income (expense), net</w:t>
            </w:r>
          </w:p>
        </w:tc>
        <w:tc>
          <w:tcPr>
            <w:tcW w:w="60" w:type="dxa"/>
            <w:tcBorders/>
            <w:shd w:fill="FFFFFF" w:val="clear"/>
            <w:vAlign w:val="center"/>
          </w:tcPr>
          <w:p>
            <w:pPr>
              <w:pStyle w:val="TableContents"/>
              <w:spacing w:before="0" w:after="283"/>
              <w:ind w:left="0" w:right="0" w:hanging="0"/>
              <w:rPr/>
            </w:pPr>
            <w:r>
              <w:rPr/>
              <w:t> </w:t>
            </w:r>
          </w:p>
        </w:tc>
        <w:tc>
          <w:tcPr>
            <w:tcW w:w="129"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66"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(2,125</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04" w:type="dxa"/>
            <w:tcBorders>
              <w:bottom w:val="double" w:sz="6" w:space="0" w:color="000000"/>
            </w:tcBorders>
            <w:shd w:fill="FFFFFF" w:val="clear"/>
            <w:tcMar>
              <w:bottom w:w="28" w:type="dxa"/>
            </w:tcMar>
            <w:vAlign w:val="center"/>
          </w:tcPr>
          <w:p>
            <w:pPr>
              <w:pStyle w:val="TableContents"/>
              <w:spacing w:before="0" w:after="283"/>
              <w:ind w:left="0" w:right="0" w:hanging="0"/>
              <w:rPr/>
            </w:pPr>
            <w:r>
              <w:rPr/>
              <w:t> </w:t>
            </w:r>
          </w:p>
        </w:tc>
        <w:tc>
          <w:tcPr>
            <w:tcW w:w="591"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(4.0</w:t>
            </w:r>
          </w:p>
        </w:tc>
        <w:tc>
          <w:tcPr>
            <w:tcW w:w="24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ind w:left="0" w:right="0" w:hanging="0"/>
              <w:rPr/>
            </w:pPr>
            <w:r>
              <w:rPr/>
              <w:t> </w:t>
            </w:r>
          </w:p>
        </w:tc>
        <w:tc>
          <w:tcPr>
            <w:tcW w:w="129"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66"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(1,823</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04" w:type="dxa"/>
            <w:tcBorders>
              <w:bottom w:val="double" w:sz="6" w:space="0" w:color="000000"/>
            </w:tcBorders>
            <w:shd w:fill="FFFFFF" w:val="clear"/>
            <w:tcMar>
              <w:bottom w:w="28" w:type="dxa"/>
            </w:tcMar>
            <w:vAlign w:val="center"/>
          </w:tcPr>
          <w:p>
            <w:pPr>
              <w:pStyle w:val="TableContents"/>
              <w:spacing w:before="0" w:after="283"/>
              <w:ind w:left="0" w:right="0" w:hanging="0"/>
              <w:rPr/>
            </w:pPr>
            <w:r>
              <w:rPr/>
              <w:t> </w:t>
            </w:r>
          </w:p>
        </w:tc>
        <w:tc>
          <w:tcPr>
            <w:tcW w:w="591"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(3.5</w:t>
            </w:r>
          </w:p>
        </w:tc>
        <w:tc>
          <w:tcPr>
            <w:tcW w:w="24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ind w:left="0" w:right="0" w:hanging="0"/>
              <w:rPr/>
            </w:pPr>
            <w:r>
              <w:rPr/>
              <w:t> </w:t>
            </w:r>
          </w:p>
        </w:tc>
        <w:tc>
          <w:tcPr>
            <w:tcW w:w="167"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28"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(302</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60" w:type="dxa"/>
            <w:tcBorders>
              <w:bottom w:val="double" w:sz="6" w:space="0" w:color="000000"/>
            </w:tcBorders>
            <w:shd w:fill="FFFFFF" w:val="clear"/>
            <w:tcMar>
              <w:bottom w:w="28" w:type="dxa"/>
            </w:tcMar>
            <w:vAlign w:val="center"/>
          </w:tcPr>
          <w:p>
            <w:pPr>
              <w:pStyle w:val="TableContents"/>
              <w:spacing w:before="0" w:after="283"/>
              <w:ind w:left="0" w:right="0" w:hanging="0"/>
              <w:rPr/>
            </w:pPr>
            <w:r>
              <w:rPr/>
              <w:t> </w:t>
            </w:r>
          </w:p>
        </w:tc>
        <w:tc>
          <w:tcPr>
            <w:tcW w:w="44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16.6</w:t>
            </w:r>
          </w:p>
        </w:tc>
        <w:tc>
          <w:tcPr>
            <w:tcW w:w="24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t>
            </w:r>
          </w:p>
        </w:tc>
      </w:tr>
    </w:tbl>
    <w:p>
      <w:pPr>
        <w:pStyle w:val="TextBody"/>
        <w:spacing w:before="0" w:after="0"/>
        <w:ind w:left="0" w:right="0" w:hanging="0"/>
        <w:jc w:val="left"/>
        <w:rPr/>
      </w:pPr>
      <w:r>
        <w:rPr/>
        <w:t>​</w:t>
      </w:r>
    </w:p>
    <w:p>
      <w:pPr>
        <w:pStyle w:val="TextBody"/>
        <w:spacing w:before="0" w:after="0"/>
        <w:ind w:left="0" w:right="0" w:firstLine="720"/>
        <w:jc w:val="left"/>
        <w:rPr>
          <w:rFonts w:ascii="Times New Roman;Times;serif" w:hAnsi="Times New Roman;Times;serif"/>
          <w:sz w:val="20"/>
        </w:rPr>
      </w:pPr>
      <w:r>
        <w:rPr>
          <w:rFonts w:ascii="Times New Roman;Times;serif" w:hAnsi="Times New Roman;Times;serif"/>
          <w:sz w:val="20"/>
        </w:rPr>
        <w:t>Interest income increased for the three months ended March 31, 2023 compared to the three months ended March 31, 2022. The changes are similar to expected rates of fluctuation with the interest rates and cash balances. </w:t>
      </w:r>
    </w:p>
    <w:p>
      <w:pPr>
        <w:pStyle w:val="TextBody"/>
        <w:spacing w:before="0" w:after="0"/>
        <w:ind w:left="0" w:right="0" w:firstLine="720"/>
        <w:jc w:val="left"/>
        <w:rPr/>
      </w:pPr>
      <w:r>
        <w:rPr/>
        <w:t>​</w:t>
      </w:r>
    </w:p>
    <w:p>
      <w:pPr>
        <w:pStyle w:val="TextBody"/>
        <w:spacing w:before="0" w:after="0"/>
        <w:ind w:left="0" w:right="0" w:firstLine="720"/>
        <w:jc w:val="left"/>
        <w:rPr>
          <w:rFonts w:ascii="Times New Roman;Times;serif" w:hAnsi="Times New Roman;Times;serif"/>
          <w:sz w:val="20"/>
        </w:rPr>
      </w:pPr>
      <w:r>
        <w:rPr>
          <w:rFonts w:ascii="Times New Roman;Times;serif" w:hAnsi="Times New Roman;Times;serif"/>
          <w:sz w:val="20"/>
        </w:rPr>
        <w:t>Interest expense increased by $0.7 million, or 52.5% for the three months ended March 31, 2023 compared to the three months ended March 31, 2022. This increase was due to higher average debt interest rate during the period.</w:t>
      </w:r>
    </w:p>
    <w:p>
      <w:pPr>
        <w:pStyle w:val="TextBody"/>
        <w:spacing w:before="0" w:after="0"/>
        <w:ind w:left="0" w:right="0" w:firstLine="720"/>
        <w:jc w:val="left"/>
        <w:rPr/>
      </w:pPr>
      <w:r>
        <w:rPr/>
        <w:t> </w:t>
      </w:r>
    </w:p>
    <w:p>
      <w:pPr>
        <w:pStyle w:val="TextBody"/>
        <w:spacing w:before="0" w:after="0"/>
        <w:ind w:left="0" w:right="0" w:firstLine="720"/>
        <w:jc w:val="left"/>
        <w:rPr>
          <w:rFonts w:ascii="Times New Roman;Times;serif" w:hAnsi="Times New Roman;Times;serif"/>
          <w:sz w:val="20"/>
        </w:rPr>
      </w:pPr>
      <w:r>
        <w:rPr>
          <w:rFonts w:ascii="Times New Roman;Times;serif" w:hAnsi="Times New Roman;Times;serif"/>
          <w:sz w:val="20"/>
          <w:highlight w:val="white"/>
        </w:rPr>
        <w:t xml:space="preserve">Other expense decreased by $0.4 million, or 95.3%, for the three months ended </w:t>
      </w:r>
      <w:r>
        <w:rPr>
          <w:rFonts w:ascii="Times New Roman;Times;serif" w:hAnsi="Times New Roman;Times;serif"/>
          <w:sz w:val="20"/>
        </w:rPr>
        <w:t>March 31, 2023</w:t>
      </w:r>
      <w:r>
        <w:rPr>
          <w:rFonts w:ascii="Times New Roman;Times;serif" w:hAnsi="Times New Roman;Times;serif"/>
          <w:sz w:val="20"/>
          <w:highlight w:val="white"/>
        </w:rPr>
        <w:t xml:space="preserve"> as compared to the three months ended </w:t>
      </w:r>
      <w:r>
        <w:rPr>
          <w:rFonts w:ascii="Times New Roman;Times;serif" w:hAnsi="Times New Roman;Times;serif"/>
          <w:sz w:val="20"/>
        </w:rPr>
        <w:t>March 31, 2022</w:t>
      </w:r>
      <w:r>
        <w:rPr>
          <w:rFonts w:ascii="Times New Roman;Times;serif" w:hAnsi="Times New Roman;Times;serif"/>
          <w:sz w:val="20"/>
          <w:highlight w:val="white"/>
        </w:rPr>
        <w:t>.</w:t>
      </w:r>
      <w:r>
        <w:rPr>
          <w:rFonts w:ascii="Times New Roman;Times;serif" w:hAnsi="Times New Roman;Times;serif"/>
          <w:sz w:val="20"/>
        </w:rPr>
        <w:t xml:space="preserve"> This decrease was mainly due to the other income received in the first quarter of 2023 from the China plant for a local government subsidized income in local city development plan and foreign currency gain arising from favorable exchange rate change.</w:t>
      </w:r>
    </w:p>
    <w:p>
      <w:pPr>
        <w:pStyle w:val="TextBody"/>
        <w:spacing w:before="0" w:after="0"/>
        <w:ind w:left="0" w:right="0" w:firstLine="720"/>
        <w:jc w:val="left"/>
        <w:rPr/>
      </w:pPr>
      <w:r>
        <w:rPr/>
        <w:t> </w:t>
      </w:r>
    </w:p>
    <w:p>
      <w:pPr>
        <w:pStyle w:val="TextBody"/>
        <w:spacing w:before="0" w:after="0"/>
        <w:ind w:left="0" w:right="0" w:hanging="0"/>
        <w:jc w:val="left"/>
        <w:rPr>
          <w:rFonts w:ascii="Times New Roman;Times;serif" w:hAnsi="Times New Roman;Times;serif"/>
          <w:i/>
          <w:sz w:val="20"/>
          <w:highlight w:val="white"/>
        </w:rPr>
      </w:pPr>
      <w:r>
        <w:rPr>
          <w:rFonts w:ascii="Times New Roman;Times;serif" w:hAnsi="Times New Roman;Times;serif"/>
          <w:i/>
          <w:sz w:val="20"/>
          <w:highlight w:val="white"/>
        </w:rPr>
        <w:t>Benefit (provision) for income taxes</w:t>
      </w:r>
    </w:p>
    <w:p>
      <w:pPr>
        <w:pStyle w:val="TextBody"/>
        <w:spacing w:before="0" w:after="0"/>
        <w:ind w:left="0" w:right="0" w:hanging="0"/>
        <w:jc w:val="left"/>
        <w:rPr/>
      </w:pPr>
      <w:r>
        <w:rPr/>
        <w:t>​</w:t>
      </w:r>
    </w:p>
    <w:tbl>
      <w:tblPr>
        <w:tblW w:w="5868" w:type="dxa"/>
        <w:jc w:val="left"/>
        <w:tblInd w:w="0" w:type="dxa"/>
        <w:tblCellMar>
          <w:top w:w="0" w:type="dxa"/>
          <w:left w:w="0" w:type="dxa"/>
          <w:bottom w:w="0" w:type="dxa"/>
          <w:right w:w="0" w:type="dxa"/>
        </w:tblCellMar>
      </w:tblPr>
      <w:tblGrid>
        <w:gridCol w:w="2945"/>
        <w:gridCol w:w="60"/>
        <w:gridCol w:w="361"/>
        <w:gridCol w:w="230"/>
        <w:gridCol w:w="172"/>
        <w:gridCol w:w="172"/>
        <w:gridCol w:w="361"/>
        <w:gridCol w:w="230"/>
        <w:gridCol w:w="172"/>
        <w:gridCol w:w="172"/>
        <w:gridCol w:w="361"/>
        <w:gridCol w:w="230"/>
        <w:gridCol w:w="172"/>
        <w:gridCol w:w="230"/>
      </w:tblGrid>
      <w:tr>
        <w:trPr/>
        <w:tc>
          <w:tcPr>
            <w:tcW w:w="294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863" w:type="dxa"/>
            <w:gridSpan w:val="1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March 31,</w:t>
            </w:r>
          </w:p>
        </w:tc>
      </w:tr>
      <w:tr>
        <w:trPr/>
        <w:tc>
          <w:tcPr>
            <w:tcW w:w="294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591"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72" w:type="dxa"/>
            <w:tcBorders/>
            <w:shd w:fill="FFFFFF" w:val="clear"/>
            <w:vAlign w:val="center"/>
          </w:tcPr>
          <w:p>
            <w:pPr>
              <w:pStyle w:val="TableContents"/>
              <w:spacing w:before="0" w:after="283"/>
              <w:rPr/>
            </w:pPr>
            <w:r>
              <w:rPr/>
              <w:t> </w:t>
            </w:r>
          </w:p>
        </w:tc>
        <w:tc>
          <w:tcPr>
            <w:tcW w:w="172" w:type="dxa"/>
            <w:tcBorders/>
            <w:shd w:fill="FFFFFF" w:val="clear"/>
            <w:vAlign w:val="center"/>
          </w:tcPr>
          <w:p>
            <w:pPr>
              <w:pStyle w:val="TableContents"/>
              <w:spacing w:before="0" w:after="283"/>
              <w:ind w:left="0" w:right="0" w:hanging="0"/>
              <w:rPr/>
            </w:pPr>
            <w:r>
              <w:rPr/>
              <w:t> </w:t>
            </w:r>
          </w:p>
        </w:tc>
        <w:tc>
          <w:tcPr>
            <w:tcW w:w="591"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172" w:type="dxa"/>
            <w:tcBorders/>
            <w:shd w:fill="FFFFFF" w:val="clear"/>
            <w:vAlign w:val="center"/>
          </w:tcPr>
          <w:p>
            <w:pPr>
              <w:pStyle w:val="TableContents"/>
              <w:spacing w:before="0" w:after="283"/>
              <w:rPr/>
            </w:pPr>
            <w:r>
              <w:rPr/>
              <w:t> </w:t>
            </w:r>
          </w:p>
        </w:tc>
        <w:tc>
          <w:tcPr>
            <w:tcW w:w="172" w:type="dxa"/>
            <w:tcBorders/>
            <w:shd w:fill="FFFFFF" w:val="clear"/>
            <w:vAlign w:val="center"/>
          </w:tcPr>
          <w:p>
            <w:pPr>
              <w:pStyle w:val="TableContents"/>
              <w:spacing w:before="0" w:after="283"/>
              <w:ind w:left="0" w:right="0" w:hanging="0"/>
              <w:rPr/>
            </w:pPr>
            <w:r>
              <w:rPr/>
              <w:t> </w:t>
            </w:r>
          </w:p>
        </w:tc>
        <w:tc>
          <w:tcPr>
            <w:tcW w:w="993" w:type="dxa"/>
            <w:gridSpan w:val="4"/>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r>
      <w:tr>
        <w:trPr/>
        <w:tc>
          <w:tcPr>
            <w:tcW w:w="2945" w:type="dxa"/>
            <w:tcBorders/>
            <w:shd w:fill="FFFFFF" w:val="clear"/>
            <w:vAlign w:val="center"/>
          </w:tcPr>
          <w:p>
            <w:pPr>
              <w:pStyle w:val="TableContents"/>
              <w:spacing w:before="0" w:after="0"/>
              <w:rPr>
                <w:caps w:val="false"/>
                <w:smallCaps w:val="false"/>
              </w:rPr>
            </w:pPr>
            <w:r>
              <w:rPr>
                <w:caps w:val="false"/>
                <w:smallCaps w:val="false"/>
              </w:rPr>
              <w:t>​</w:t>
            </w:r>
          </w:p>
        </w:tc>
        <w:tc>
          <w:tcPr>
            <w:tcW w:w="60" w:type="dxa"/>
            <w:tcBorders/>
            <w:shd w:fill="FFFFFF" w:val="clear"/>
            <w:vAlign w:val="center"/>
          </w:tcPr>
          <w:p>
            <w:pPr>
              <w:pStyle w:val="TableContents"/>
              <w:spacing w:before="0" w:after="283"/>
              <w:ind w:left="0" w:right="0" w:hanging="0"/>
              <w:rPr/>
            </w:pPr>
            <w:r>
              <w:rPr/>
              <w:t> </w:t>
            </w:r>
          </w:p>
        </w:tc>
        <w:tc>
          <w:tcPr>
            <w:tcW w:w="2863" w:type="dxa"/>
            <w:gridSpan w:val="12"/>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percentages)</w:t>
            </w:r>
          </w:p>
        </w:tc>
      </w:tr>
      <w:tr>
        <w:trPr/>
        <w:tc>
          <w:tcPr>
            <w:tcW w:w="294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Benefit (provision) for income taxes</w:t>
            </w:r>
          </w:p>
        </w:tc>
        <w:tc>
          <w:tcPr>
            <w:tcW w:w="60" w:type="dxa"/>
            <w:tcBorders/>
            <w:shd w:fill="CCEEFF" w:val="clear"/>
            <w:vAlign w:val="center"/>
          </w:tcPr>
          <w:p>
            <w:pPr>
              <w:pStyle w:val="TableContents"/>
              <w:spacing w:before="0" w:after="283"/>
              <w:ind w:left="0" w:right="0" w:hanging="0"/>
              <w:rPr/>
            </w:pPr>
            <w:r>
              <w:rPr/>
              <w:t> </w:t>
            </w:r>
          </w:p>
        </w:tc>
        <w:tc>
          <w:tcPr>
            <w:tcW w:w="361"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23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172" w:type="dxa"/>
            <w:tcBorders/>
            <w:shd w:fill="CCEEFF" w:val="clear"/>
            <w:vAlign w:val="center"/>
          </w:tcPr>
          <w:p>
            <w:pPr>
              <w:pStyle w:val="TableContents"/>
              <w:spacing w:before="0" w:after="283"/>
              <w:rPr/>
            </w:pPr>
            <w:r>
              <w:rPr/>
              <w:t> </w:t>
            </w:r>
          </w:p>
        </w:tc>
        <w:tc>
          <w:tcPr>
            <w:tcW w:w="172" w:type="dxa"/>
            <w:tcBorders/>
            <w:shd w:fill="CCEEFF" w:val="clear"/>
            <w:vAlign w:val="center"/>
          </w:tcPr>
          <w:p>
            <w:pPr>
              <w:pStyle w:val="TableContents"/>
              <w:spacing w:before="0" w:after="283"/>
              <w:ind w:left="0" w:right="0" w:hanging="0"/>
              <w:rPr/>
            </w:pPr>
            <w:r>
              <w:rPr/>
              <w:t> </w:t>
            </w:r>
          </w:p>
        </w:tc>
        <w:tc>
          <w:tcPr>
            <w:tcW w:w="361"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23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172" w:type="dxa"/>
            <w:tcBorders/>
            <w:shd w:fill="CCEEFF" w:val="clear"/>
            <w:vAlign w:val="center"/>
          </w:tcPr>
          <w:p>
            <w:pPr>
              <w:pStyle w:val="TableContents"/>
              <w:spacing w:before="0" w:after="283"/>
              <w:rPr/>
            </w:pPr>
            <w:r>
              <w:rPr/>
              <w:t> </w:t>
            </w:r>
          </w:p>
        </w:tc>
        <w:tc>
          <w:tcPr>
            <w:tcW w:w="172" w:type="dxa"/>
            <w:tcBorders/>
            <w:shd w:fill="CCEEFF" w:val="clear"/>
            <w:vAlign w:val="center"/>
          </w:tcPr>
          <w:p>
            <w:pPr>
              <w:pStyle w:val="TableContents"/>
              <w:spacing w:before="0" w:after="283"/>
              <w:rPr/>
            </w:pPr>
            <w:r>
              <w:rPr/>
              <w:t> </w:t>
            </w:r>
          </w:p>
        </w:tc>
        <w:tc>
          <w:tcPr>
            <w:tcW w:w="361"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23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172" w:type="dxa"/>
            <w:tcBorders/>
            <w:shd w:fill="CCEEFF" w:val="clear"/>
            <w:vAlign w:val="center"/>
          </w:tcPr>
          <w:p>
            <w:pPr>
              <w:pStyle w:val="TableContents"/>
              <w:spacing w:before="0" w:after="283"/>
              <w:ind w:left="0" w:right="0" w:hanging="0"/>
              <w:rPr/>
            </w:pPr>
            <w:r>
              <w:rPr/>
              <w:t> </w:t>
            </w:r>
          </w:p>
        </w:tc>
        <w:tc>
          <w:tcPr>
            <w:tcW w:w="230" w:type="dxa"/>
            <w:tcBorders/>
            <w:shd w:fill="CCEEFF"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r>
    </w:tbl>
    <w:p>
      <w:pPr>
        <w:pStyle w:val="TextBody"/>
        <w:spacing w:before="0" w:after="0"/>
        <w:ind w:left="0" w:right="0" w:hanging="0"/>
        <w:rPr/>
      </w:pPr>
      <w:r>
        <w:rPr/>
        <w:t> </w:t>
      </w:r>
    </w:p>
    <w:p>
      <w:pPr>
        <w:pStyle w:val="TextBody"/>
        <w:spacing w:before="0" w:after="0"/>
        <w:ind w:left="0" w:right="0" w:firstLine="720"/>
        <w:jc w:val="left"/>
        <w:rPr>
          <w:rFonts w:ascii="Times New Roman;Times;serif" w:hAnsi="Times New Roman;Times;serif"/>
          <w:sz w:val="20"/>
        </w:rPr>
      </w:pPr>
      <w:r>
        <w:rPr>
          <w:rFonts w:ascii="Times New Roman;Times;serif" w:hAnsi="Times New Roman;Times;serif"/>
          <w:sz w:val="20"/>
          <w:highlight w:val="white"/>
        </w:rPr>
        <w:t xml:space="preserve">The Company’s effective tax rate for the three months </w:t>
      </w:r>
      <w:r>
        <w:rPr>
          <w:rFonts w:ascii="Times New Roman;Times;serif" w:hAnsi="Times New Roman;Times;serif"/>
          <w:sz w:val="20"/>
        </w:rPr>
        <w:t>ended March 31, 2023 and 2022</w:t>
      </w:r>
      <w:r>
        <w:rPr>
          <w:rFonts w:ascii="Times New Roman;Times;serif" w:hAnsi="Times New Roman;Times;serif"/>
          <w:sz w:val="20"/>
          <w:highlight w:val="white"/>
        </w:rPr>
        <w:t xml:space="preserve"> was 0%. For the three months </w:t>
      </w:r>
      <w:r>
        <w:rPr>
          <w:rFonts w:ascii="Times New Roman;Times;serif" w:hAnsi="Times New Roman;Times;serif"/>
          <w:sz w:val="20"/>
        </w:rPr>
        <w:t>ended March 31, 2023 and 2022</w:t>
      </w:r>
      <w:r>
        <w:rPr>
          <w:rFonts w:ascii="Times New Roman;Times;serif" w:hAnsi="Times New Roman;Times;serif"/>
          <w:sz w:val="20"/>
          <w:highlight w:val="white"/>
        </w:rPr>
        <w:t>, the effective tax rate varied from the federal statutory rate of 21% primarily due to the change of the valuation allowance on federal, state, Taiwan, and China deferred tax assets ("DTA"). </w:t>
      </w:r>
    </w:p>
    <w:p>
      <w:pPr>
        <w:pStyle w:val="TextBody"/>
        <w:spacing w:before="0" w:after="0"/>
        <w:ind w:left="0" w:right="0" w:firstLine="720"/>
        <w:jc w:val="left"/>
        <w:rPr/>
      </w:pPr>
      <w:r>
        <w:rPr/>
        <w:t> </w:t>
      </w:r>
    </w:p>
    <w:p>
      <w:pPr>
        <w:pStyle w:val="TextBody"/>
        <w:spacing w:before="0" w:after="0"/>
        <w:ind w:left="0" w:right="0" w:firstLine="720"/>
        <w:jc w:val="left"/>
        <w:rPr>
          <w:rFonts w:ascii="Times New Roman;Times;serif" w:hAnsi="Times New Roman;Times;serif"/>
          <w:sz w:val="20"/>
        </w:rPr>
      </w:pPr>
      <w:r>
        <w:rPr>
          <w:rFonts w:ascii="Times New Roman;Times;serif" w:hAnsi="Times New Roman;Times;serif"/>
          <w:sz w:val="20"/>
        </w:rPr>
        <w:t>On August 9, 2022, the Creating Helpful Incentives to Produce Semiconductors Act ("CHIPS Act") was enacted.  Among its provisions, the bill provides various federal grants, tax credits, and incentives for investment in the United States.  On August 16, 2022, the Inflation Reduction Act (“IRA”) was also signed into law. Among other provisions, the IRA imposes a 15% corporate alternative minimum tax (“Corporate AMT”) for tax years beginning after December 31, 2022, imposes a 1% excise tax on corporate stock repurchases after December 31, 2022, and provides tax incentives to promote various energy efficient initiatives. We are evaluating these laws and their potential impact on our current income tax expense and cash taxes. However, we currently do not believe this will have an impact on our taxes for the 2023 tax year.</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26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Comprehensive Loss</w:t>
      </w:r>
    </w:p>
    <w:p>
      <w:pPr>
        <w:pStyle w:val="TextBody"/>
        <w:spacing w:before="0" w:after="0"/>
        <w:ind w:left="0" w:right="0" w:hanging="0"/>
        <w:rPr/>
      </w:pPr>
      <w:r>
        <w:rPr/>
        <w:t> </w:t>
      </w:r>
    </w:p>
    <w:tbl>
      <w:tblPr>
        <w:tblW w:w="10020" w:type="dxa"/>
        <w:jc w:val="left"/>
        <w:tblInd w:w="0" w:type="dxa"/>
        <w:tblCellMar>
          <w:top w:w="0" w:type="dxa"/>
          <w:left w:w="0" w:type="dxa"/>
          <w:bottom w:w="0" w:type="dxa"/>
          <w:right w:w="0" w:type="dxa"/>
        </w:tblCellMar>
      </w:tblPr>
      <w:tblGrid>
        <w:gridCol w:w="4445"/>
        <w:gridCol w:w="60"/>
        <w:gridCol w:w="125"/>
        <w:gridCol w:w="650"/>
        <w:gridCol w:w="80"/>
        <w:gridCol w:w="60"/>
        <w:gridCol w:w="83"/>
        <w:gridCol w:w="612"/>
        <w:gridCol w:w="245"/>
        <w:gridCol w:w="60"/>
        <w:gridCol w:w="125"/>
        <w:gridCol w:w="650"/>
        <w:gridCol w:w="80"/>
        <w:gridCol w:w="60"/>
        <w:gridCol w:w="83"/>
        <w:gridCol w:w="612"/>
        <w:gridCol w:w="245"/>
        <w:gridCol w:w="60"/>
        <w:gridCol w:w="142"/>
        <w:gridCol w:w="553"/>
        <w:gridCol w:w="80"/>
        <w:gridCol w:w="60"/>
        <w:gridCol w:w="60"/>
        <w:gridCol w:w="545"/>
        <w:gridCol w:w="245"/>
      </w:tblGrid>
      <w:tr>
        <w:trPr/>
        <w:tc>
          <w:tcPr>
            <w:tcW w:w="444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3525" w:type="dxa"/>
            <w:gridSpan w:val="1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March 31,</w:t>
            </w:r>
          </w:p>
        </w:tc>
        <w:tc>
          <w:tcPr>
            <w:tcW w:w="24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695" w:type="dxa"/>
            <w:gridSpan w:val="2"/>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605" w:type="dxa"/>
            <w:gridSpan w:val="2"/>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245" w:type="dxa"/>
            <w:tcBorders/>
            <w:shd w:fill="auto" w:val="clear"/>
            <w:vAlign w:val="center"/>
          </w:tcPr>
          <w:p>
            <w:pPr>
              <w:pStyle w:val="TableContents"/>
              <w:spacing w:before="0" w:after="283"/>
              <w:rPr/>
            </w:pPr>
            <w:r>
              <w:rPr/>
              <w:t> </w:t>
            </w:r>
          </w:p>
        </w:tc>
      </w:tr>
      <w:tr>
        <w:trPr/>
        <w:tc>
          <w:tcPr>
            <w:tcW w:w="4445" w:type="dxa"/>
            <w:tcBorders/>
            <w:shd w:fill="auto" w:val="clear"/>
            <w:vAlign w:val="center"/>
          </w:tcPr>
          <w:p>
            <w:pPr>
              <w:pStyle w:val="TableContents"/>
              <w:spacing w:before="0" w:after="0"/>
              <w:rPr>
                <w:caps w:val="false"/>
                <w:smallCaps w:val="false"/>
              </w:rPr>
            </w:pPr>
            <w:r>
              <w:rPr>
                <w:caps w:val="false"/>
                <w:smallCaps w:val="false"/>
              </w:rPr>
              <w:t>​</w:t>
            </w:r>
          </w:p>
        </w:tc>
        <w:tc>
          <w:tcPr>
            <w:tcW w:w="60" w:type="dxa"/>
            <w:tcBorders/>
            <w:shd w:fill="auto" w:val="clear"/>
            <w:vAlign w:val="center"/>
          </w:tcPr>
          <w:p>
            <w:pPr>
              <w:pStyle w:val="TableContents"/>
              <w:spacing w:before="0" w:after="283"/>
              <w:ind w:left="0" w:right="0" w:hanging="0"/>
              <w:rPr/>
            </w:pPr>
            <w:r>
              <w:rPr/>
              <w:t> </w:t>
            </w:r>
          </w:p>
        </w:tc>
        <w:tc>
          <w:tcPr>
            <w:tcW w:w="1610" w:type="dxa"/>
            <w:gridSpan w:val="6"/>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24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610" w:type="dxa"/>
            <w:gridSpan w:val="6"/>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24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440" w:type="dxa"/>
            <w:gridSpan w:val="6"/>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245" w:type="dxa"/>
            <w:tcBorders/>
            <w:shd w:fill="auto" w:val="clear"/>
            <w:vAlign w:val="center"/>
          </w:tcPr>
          <w:p>
            <w:pPr>
              <w:pStyle w:val="TableContents"/>
              <w:spacing w:before="0" w:after="283"/>
              <w:rPr/>
            </w:pPr>
            <w:r>
              <w:rPr/>
              <w:t> </w:t>
            </w:r>
          </w:p>
        </w:tc>
      </w:tr>
      <w:tr>
        <w:trPr/>
        <w:tc>
          <w:tcPr>
            <w:tcW w:w="4445" w:type="dxa"/>
            <w:tcBorders/>
            <w:shd w:fill="auto" w:val="clear"/>
            <w:vAlign w:val="center"/>
          </w:tcPr>
          <w:p>
            <w:pPr>
              <w:pStyle w:val="TableContents"/>
              <w:spacing w:before="0" w:after="0"/>
              <w:rPr>
                <w:caps w:val="false"/>
                <w:smallCaps w:val="false"/>
              </w:rPr>
            </w:pPr>
            <w:r>
              <w:rPr>
                <w:caps w:val="false"/>
                <w:smallCaps w:val="false"/>
              </w:rPr>
              <w:t>​</w:t>
            </w:r>
          </w:p>
        </w:tc>
        <w:tc>
          <w:tcPr>
            <w:tcW w:w="60" w:type="dxa"/>
            <w:tcBorders/>
            <w:shd w:fill="auto" w:val="clear"/>
            <w:vAlign w:val="center"/>
          </w:tcPr>
          <w:p>
            <w:pPr>
              <w:pStyle w:val="TableContents"/>
              <w:spacing w:before="0" w:after="283"/>
              <w:ind w:left="0" w:right="0" w:hanging="0"/>
              <w:rPr/>
            </w:pPr>
            <w:r>
              <w:rPr/>
              <w:t> </w:t>
            </w:r>
          </w:p>
        </w:tc>
        <w:tc>
          <w:tcPr>
            <w:tcW w:w="775" w:type="dxa"/>
            <w:gridSpan w:val="2"/>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695" w:type="dxa"/>
            <w:gridSpan w:val="2"/>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of</w:t>
            </w:r>
          </w:p>
        </w:tc>
        <w:tc>
          <w:tcPr>
            <w:tcW w:w="24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50" w:type="dxa"/>
            <w:tcBorders/>
            <w:shd w:fill="auto" w:val="clear"/>
            <w:vAlign w:val="center"/>
          </w:tcPr>
          <w:p>
            <w:pPr>
              <w:pStyle w:val="TableContents"/>
              <w:spacing w:before="0" w:after="283"/>
              <w:jc w:val="center"/>
              <w:rPr/>
            </w:pPr>
            <w:r>
              <w:rPr/>
              <w:t> </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695" w:type="dxa"/>
            <w:gridSpan w:val="2"/>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of</w:t>
            </w:r>
          </w:p>
        </w:tc>
        <w:tc>
          <w:tcPr>
            <w:tcW w:w="24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695" w:type="dxa"/>
            <w:gridSpan w:val="2"/>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rPr/>
            </w:pPr>
            <w:r>
              <w:rPr/>
              <w:t> </w:t>
            </w:r>
          </w:p>
        </w:tc>
      </w:tr>
      <w:tr>
        <w:trPr/>
        <w:tc>
          <w:tcPr>
            <w:tcW w:w="4445" w:type="dxa"/>
            <w:tcBorders/>
            <w:shd w:fill="auto" w:val="clear"/>
            <w:vAlign w:val="center"/>
          </w:tcPr>
          <w:p>
            <w:pPr>
              <w:pStyle w:val="TableContents"/>
              <w:spacing w:before="0" w:after="0"/>
              <w:rPr>
                <w:caps w:val="false"/>
                <w:smallCaps w:val="false"/>
              </w:rPr>
            </w:pPr>
            <w:r>
              <w:rPr>
                <w:caps w:val="false"/>
                <w:smallCaps w:val="false"/>
              </w:rPr>
              <w:t>​</w:t>
            </w:r>
          </w:p>
        </w:tc>
        <w:tc>
          <w:tcPr>
            <w:tcW w:w="60" w:type="dxa"/>
            <w:tcBorders/>
            <w:shd w:fill="auto" w:val="clear"/>
            <w:vAlign w:val="center"/>
          </w:tcPr>
          <w:p>
            <w:pPr>
              <w:pStyle w:val="TableContents"/>
              <w:spacing w:before="0" w:after="283"/>
              <w:ind w:left="0" w:right="0" w:hanging="0"/>
              <w:rPr/>
            </w:pPr>
            <w:r>
              <w:rPr/>
              <w:t> </w:t>
            </w:r>
          </w:p>
        </w:tc>
        <w:tc>
          <w:tcPr>
            <w:tcW w:w="77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69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revenue</w:t>
            </w:r>
          </w:p>
        </w:tc>
        <w:tc>
          <w:tcPr>
            <w:tcW w:w="24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77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69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revenue</w:t>
            </w:r>
          </w:p>
        </w:tc>
        <w:tc>
          <w:tcPr>
            <w:tcW w:w="24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69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60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c>
          <w:tcPr>
            <w:tcW w:w="245" w:type="dxa"/>
            <w:tcBorders/>
            <w:shd w:fill="auto" w:val="clear"/>
            <w:vAlign w:val="center"/>
          </w:tcPr>
          <w:p>
            <w:pPr>
              <w:pStyle w:val="TableContents"/>
              <w:spacing w:before="0" w:after="283"/>
              <w:rPr/>
            </w:pPr>
            <w:r>
              <w:rPr/>
              <w:t> </w:t>
            </w:r>
          </w:p>
        </w:tc>
      </w:tr>
      <w:tr>
        <w:trPr/>
        <w:tc>
          <w:tcPr>
            <w:tcW w:w="4445" w:type="dxa"/>
            <w:tcBorders/>
            <w:shd w:fill="auto" w:val="clear"/>
            <w:vAlign w:val="center"/>
          </w:tcPr>
          <w:p>
            <w:pPr>
              <w:pStyle w:val="TableContents"/>
              <w:spacing w:before="0" w:after="0"/>
              <w:rPr>
                <w:caps w:val="false"/>
                <w:smallCaps w:val="false"/>
              </w:rPr>
            </w:pPr>
            <w:r>
              <w:rPr>
                <w:caps w:val="false"/>
                <w:smallCaps w:val="false"/>
              </w:rPr>
              <w:t>​</w:t>
            </w:r>
          </w:p>
        </w:tc>
        <w:tc>
          <w:tcPr>
            <w:tcW w:w="60" w:type="dxa"/>
            <w:tcBorders/>
            <w:shd w:fill="auto" w:val="clear"/>
            <w:vAlign w:val="center"/>
          </w:tcPr>
          <w:p>
            <w:pPr>
              <w:pStyle w:val="TableContents"/>
              <w:spacing w:before="0" w:after="283"/>
              <w:ind w:left="0" w:right="0" w:hanging="0"/>
              <w:rPr/>
            </w:pPr>
            <w:r>
              <w:rPr/>
              <w:t> </w:t>
            </w:r>
          </w:p>
        </w:tc>
        <w:tc>
          <w:tcPr>
            <w:tcW w:w="5270" w:type="dxa"/>
            <w:gridSpan w:val="22"/>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percentages)</w:t>
            </w:r>
          </w:p>
        </w:tc>
        <w:tc>
          <w:tcPr>
            <w:tcW w:w="245" w:type="dxa"/>
            <w:tcBorders/>
            <w:shd w:fill="auto" w:val="clear"/>
            <w:vAlign w:val="center"/>
          </w:tcPr>
          <w:p>
            <w:pPr>
              <w:pStyle w:val="TableContents"/>
              <w:spacing w:before="0" w:after="283"/>
              <w:rPr/>
            </w:pPr>
            <w:r>
              <w:rPr/>
              <w:t> </w:t>
            </w:r>
          </w:p>
        </w:tc>
      </w:tr>
      <w:tr>
        <w:trPr/>
        <w:tc>
          <w:tcPr>
            <w:tcW w:w="444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(16,292</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83" w:type="dxa"/>
            <w:tcBorders/>
            <w:shd w:fill="CCEEFF" w:val="clear"/>
            <w:vAlign w:val="center"/>
          </w:tcPr>
          <w:p>
            <w:pPr>
              <w:pStyle w:val="TableContents"/>
              <w:spacing w:before="0" w:after="283"/>
              <w:ind w:left="0" w:right="0" w:hanging="0"/>
              <w:rPr/>
            </w:pPr>
            <w:r>
              <w:rPr/>
              <w:t> </w:t>
            </w:r>
          </w:p>
        </w:tc>
        <w:tc>
          <w:tcPr>
            <w:tcW w:w="612"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(30.7</w:t>
            </w:r>
          </w:p>
        </w:tc>
        <w:tc>
          <w:tcPr>
            <w:tcW w:w="24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(16,062</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83" w:type="dxa"/>
            <w:tcBorders/>
            <w:shd w:fill="CCEEFF" w:val="clear"/>
            <w:vAlign w:val="center"/>
          </w:tcPr>
          <w:p>
            <w:pPr>
              <w:pStyle w:val="TableContents"/>
              <w:spacing w:before="0" w:after="283"/>
              <w:ind w:left="0" w:right="0" w:hanging="0"/>
              <w:rPr/>
            </w:pPr>
            <w:r>
              <w:rPr/>
              <w:t> </w:t>
            </w:r>
          </w:p>
        </w:tc>
        <w:tc>
          <w:tcPr>
            <w:tcW w:w="612"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(30.2</w:t>
            </w:r>
          </w:p>
        </w:tc>
        <w:tc>
          <w:tcPr>
            <w:tcW w:w="24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ind w:left="0" w:right="0" w:hanging="0"/>
              <w:rPr/>
            </w:pPr>
            <w:r>
              <w:rPr/>
              <w:t> </w:t>
            </w:r>
          </w:p>
        </w:tc>
        <w:tc>
          <w:tcPr>
            <w:tcW w:w="142"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53"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(230</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54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w:t>
            </w:r>
          </w:p>
        </w:tc>
        <w:tc>
          <w:tcPr>
            <w:tcW w:w="24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4445"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Gain (Loss) on foreign currency translation adjustment</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5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1,640</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83"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12"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3.1</w:t>
            </w:r>
          </w:p>
        </w:tc>
        <w:tc>
          <w:tcPr>
            <w:tcW w:w="24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5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(1,262</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83"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12"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(2.4</w:t>
            </w:r>
          </w:p>
        </w:tc>
        <w:tc>
          <w:tcPr>
            <w:tcW w:w="24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42"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53"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2,902</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4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(230.0</w:t>
            </w:r>
          </w:p>
        </w:tc>
        <w:tc>
          <w:tcPr>
            <w:tcW w:w="24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444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Comprehensive (loss)</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5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(14,652</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83" w:type="dxa"/>
            <w:tcBorders>
              <w:bottom w:val="double" w:sz="6" w:space="0" w:color="000000"/>
            </w:tcBorders>
            <w:shd w:fill="CCEEFF" w:val="clear"/>
            <w:tcMar>
              <w:bottom w:w="28" w:type="dxa"/>
            </w:tcMar>
            <w:vAlign w:val="center"/>
          </w:tcPr>
          <w:p>
            <w:pPr>
              <w:pStyle w:val="TableContents"/>
              <w:spacing w:before="0" w:after="283"/>
              <w:ind w:left="0" w:right="0" w:hanging="0"/>
              <w:rPr/>
            </w:pPr>
            <w:r>
              <w:rPr/>
              <w:t> </w:t>
            </w:r>
          </w:p>
        </w:tc>
        <w:tc>
          <w:tcPr>
            <w:tcW w:w="612"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(27.6</w:t>
            </w:r>
          </w:p>
        </w:tc>
        <w:tc>
          <w:tcPr>
            <w:tcW w:w="24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5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(17,324</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83" w:type="dxa"/>
            <w:tcBorders>
              <w:bottom w:val="double" w:sz="6" w:space="0" w:color="000000"/>
            </w:tcBorders>
            <w:shd w:fill="CCEEFF" w:val="clear"/>
            <w:tcMar>
              <w:bottom w:w="28" w:type="dxa"/>
            </w:tcMar>
            <w:vAlign w:val="center"/>
          </w:tcPr>
          <w:p>
            <w:pPr>
              <w:pStyle w:val="TableContents"/>
              <w:spacing w:before="0" w:after="283"/>
              <w:ind w:left="0" w:right="0" w:hanging="0"/>
              <w:rPr/>
            </w:pPr>
            <w:r>
              <w:rPr/>
              <w:t> </w:t>
            </w:r>
          </w:p>
        </w:tc>
        <w:tc>
          <w:tcPr>
            <w:tcW w:w="612"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(30.5</w:t>
            </w:r>
          </w:p>
        </w:tc>
        <w:tc>
          <w:tcPr>
            <w:tcW w:w="24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ind w:left="0" w:right="0" w:hanging="0"/>
              <w:rPr/>
            </w:pPr>
            <w:r>
              <w:rPr/>
              <w:t> </w:t>
            </w:r>
          </w:p>
        </w:tc>
        <w:tc>
          <w:tcPr>
            <w:tcW w:w="142"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53"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2,672</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bottom w:val="double" w:sz="6" w:space="0" w:color="000000"/>
            </w:tcBorders>
            <w:shd w:fill="CCEEFF" w:val="clear"/>
            <w:tcMar>
              <w:bottom w:w="28" w:type="dxa"/>
            </w:tcMar>
            <w:vAlign w:val="center"/>
          </w:tcPr>
          <w:p>
            <w:pPr>
              <w:pStyle w:val="TableContents"/>
              <w:spacing w:before="0" w:after="283"/>
              <w:ind w:left="0" w:right="0" w:hanging="0"/>
              <w:rPr/>
            </w:pPr>
            <w:r>
              <w:rPr/>
              <w:t> </w:t>
            </w:r>
          </w:p>
        </w:tc>
        <w:tc>
          <w:tcPr>
            <w:tcW w:w="545"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(15.4</w:t>
            </w:r>
          </w:p>
        </w:tc>
        <w:tc>
          <w:tcPr>
            <w:tcW w:w="24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bl>
    <w:p>
      <w:pPr>
        <w:pStyle w:val="TextBody"/>
        <w:spacing w:before="0" w:after="0"/>
        <w:ind w:left="0" w:right="0" w:hanging="0"/>
        <w:rPr/>
      </w:pPr>
      <w:r>
        <w:rPr/>
        <w:t> </w:t>
      </w:r>
    </w:p>
    <w:p>
      <w:pPr>
        <w:pStyle w:val="TextBody"/>
        <w:spacing w:before="0" w:after="0"/>
        <w:ind w:left="0" w:right="0" w:firstLine="720"/>
        <w:jc w:val="left"/>
        <w:rPr>
          <w:rFonts w:ascii="Times New Roman;Times;serif" w:hAnsi="Times New Roman;Times;serif"/>
          <w:sz w:val="20"/>
        </w:rPr>
      </w:pPr>
      <w:r>
        <w:rPr>
          <w:rFonts w:ascii="Times New Roman;Times;serif" w:hAnsi="Times New Roman;Times;serif"/>
          <w:sz w:val="20"/>
          <w:highlight w:val="white"/>
        </w:rPr>
        <w:t xml:space="preserve">Comprehensive loss decreased by $2.7 million, or 15.4%, for the three months ended </w:t>
      </w:r>
      <w:r>
        <w:rPr>
          <w:rFonts w:ascii="Times New Roman;Times;serif" w:hAnsi="Times New Roman;Times;serif"/>
          <w:sz w:val="20"/>
        </w:rPr>
        <w:t>March 31, 2023</w:t>
      </w:r>
      <w:r>
        <w:rPr>
          <w:rFonts w:ascii="Times New Roman;Times;serif" w:hAnsi="Times New Roman;Times;serif"/>
          <w:sz w:val="20"/>
          <w:highlight w:val="white"/>
        </w:rPr>
        <w:t xml:space="preserve"> as compared to the three months ended </w:t>
      </w:r>
      <w:r>
        <w:rPr>
          <w:rFonts w:ascii="Times New Roman;Times;serif" w:hAnsi="Times New Roman;Times;serif"/>
          <w:sz w:val="20"/>
        </w:rPr>
        <w:t>March 31, 2022</w:t>
      </w:r>
      <w:r>
        <w:rPr>
          <w:rFonts w:ascii="Times New Roman;Times;serif" w:hAnsi="Times New Roman;Times;serif"/>
          <w:sz w:val="20"/>
          <w:highlight w:val="white"/>
        </w:rPr>
        <w:t>, primarily due to decrease of $2.9 million in loss on foreign currency translation adjustments for non-U.S. dollar functional currency operations. </w:t>
      </w:r>
    </w:p>
    <w:p>
      <w:pPr>
        <w:pStyle w:val="TextBody"/>
        <w:spacing w:before="0" w:after="0"/>
        <w:ind w:left="0" w:right="0" w:firstLine="720"/>
        <w:jc w:val="left"/>
        <w:rPr/>
      </w:pPr>
      <w:r>
        <w:rPr/>
        <w:t> </w:t>
      </w:r>
    </w:p>
    <w:p>
      <w:pPr>
        <w:pStyle w:val="TextBody"/>
        <w:spacing w:before="0" w:after="0"/>
        <w:ind w:left="0" w:right="0" w:firstLine="720"/>
        <w:jc w:val="left"/>
        <w:rPr>
          <w:rFonts w:ascii="Times New Roman;Times;serif" w:hAnsi="Times New Roman;Times;serif"/>
          <w:sz w:val="20"/>
          <w:highlight w:val="white"/>
        </w:rPr>
      </w:pPr>
      <w:r>
        <w:rPr>
          <w:rFonts w:ascii="Times New Roman;Times;serif" w:hAnsi="Times New Roman;Times;serif"/>
          <w:sz w:val="20"/>
          <w:highlight w:val="white"/>
        </w:rPr>
        <w:t>The functional currency for the Company’s operations is generally the applicable local currency. Accordingly, the assets and liabilities of companies whose functional currency is other than the U.S. dollar are included in the consolidated financial statements by translating the assets and liabilities into the U.S. dollar at the exchange rates applicable at the end of the reporting period. Translation gains or losses are accumulated in other comprehensive income (loss) in the consolidated statements of shareholders’ equity and are also included in comprehensive loss.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Liquidity and Capital Resources</w:t>
      </w:r>
    </w:p>
    <w:p>
      <w:pPr>
        <w:pStyle w:val="TextBody"/>
        <w:spacing w:before="0" w:after="0"/>
        <w:ind w:left="0" w:right="0" w:hanging="0"/>
        <w:rPr/>
      </w:pPr>
      <w:r>
        <w:rPr/>
        <w:t> </w:t>
      </w:r>
    </w:p>
    <w:p>
      <w:pPr>
        <w:pStyle w:val="TextBody"/>
        <w:spacing w:before="0" w:after="0"/>
        <w:ind w:left="0" w:right="0" w:firstLine="720"/>
        <w:jc w:val="left"/>
        <w:rPr>
          <w:rFonts w:ascii="Times New Roman;Times;serif" w:hAnsi="Times New Roman;Times;serif"/>
          <w:sz w:val="20"/>
        </w:rPr>
      </w:pPr>
      <w:r>
        <w:rPr>
          <w:rFonts w:ascii="Times New Roman;Times;serif" w:hAnsi="Times New Roman;Times;serif"/>
          <w:sz w:val="20"/>
        </w:rPr>
        <w:t>As of March 31, 2023, we ha</w:t>
      </w:r>
      <w:r>
        <w:rPr>
          <w:rFonts w:ascii="Times New Roman;Times;serif" w:hAnsi="Times New Roman;Times;serif"/>
          <w:sz w:val="20"/>
          <w:highlight w:val="white"/>
        </w:rPr>
        <w:t xml:space="preserve">d $19.4 million </w:t>
      </w:r>
      <w:r>
        <w:rPr>
          <w:rFonts w:ascii="Times New Roman;Times;serif" w:hAnsi="Times New Roman;Times;serif"/>
          <w:sz w:val="20"/>
        </w:rPr>
        <w:t>of unused borrowing capacity from all of our loan agreements. As of March 31, 2023, our cash, cash equivalents and restricted cash totale</w:t>
      </w:r>
      <w:r>
        <w:rPr>
          <w:rFonts w:ascii="Times New Roman;Times;serif" w:hAnsi="Times New Roman;Times;serif"/>
          <w:sz w:val="20"/>
          <w:highlight w:val="white"/>
        </w:rPr>
        <w:t xml:space="preserve">d $26.9 million. </w:t>
      </w:r>
      <w:r>
        <w:rPr>
          <w:rFonts w:ascii="Times New Roman;Times;serif" w:hAnsi="Times New Roman;Times;serif"/>
          <w:sz w:val="20"/>
        </w:rPr>
        <w:t>Cash and cash equivalents are held for working capital purposes and are invested primarily in money market or time deposit funds. We do not enter into investments for trading or speculative purposes.</w:t>
      </w:r>
    </w:p>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i/>
          <w:sz w:val="20"/>
        </w:rPr>
      </w:pPr>
      <w:r>
        <w:rPr>
          <w:rFonts w:ascii="Times New Roman;Times;serif" w:hAnsi="Times New Roman;Times;serif"/>
          <w:i/>
          <w:sz w:val="20"/>
        </w:rPr>
        <w:t>ATM Offerings</w:t>
      </w:r>
    </w:p>
    <w:p>
      <w:pPr>
        <w:pStyle w:val="TextBody"/>
        <w:spacing w:before="0" w:after="0"/>
        <w:ind w:left="0" w:right="0" w:hanging="0"/>
        <w:jc w:val="left"/>
        <w:rPr/>
      </w:pPr>
      <w:r>
        <w:rPr/>
        <w:t> </w:t>
      </w:r>
    </w:p>
    <w:p>
      <w:pPr>
        <w:pStyle w:val="TextBody"/>
        <w:spacing w:before="0" w:after="0"/>
        <w:ind w:left="0" w:right="0" w:firstLine="720"/>
        <w:jc w:val="left"/>
        <w:rPr/>
      </w:pPr>
      <w:r>
        <w:rPr/>
        <w:t> </w:t>
      </w:r>
      <w:r>
        <w:rPr>
          <w:rFonts w:ascii="Times New Roman;Times;serif" w:hAnsi="Times New Roman;Times;serif"/>
          <w:sz w:val="20"/>
        </w:rPr>
        <w:t>On October 24, 2019, we filed a Registration Statement on Form S-3 with the Securities and Exchange Commission, which was declared effective on January 9, 2020, providing for the public offer and sale of certain securities of the Company from time to time, at our discretion, up to an aggregate amount of $250 million. The unsold securities under this registration were carried forward to the S-3 declared effective in March 2023.</w:t>
      </w:r>
    </w:p>
    <w:p>
      <w:pPr>
        <w:pStyle w:val="TextBody"/>
        <w:spacing w:before="0" w:after="0"/>
        <w:ind w:left="0" w:right="0" w:firstLine="720"/>
        <w:jc w:val="left"/>
        <w:rPr/>
      </w:pPr>
      <w:r>
        <w:rPr/>
        <w:t> </w:t>
      </w:r>
    </w:p>
    <w:p>
      <w:pPr>
        <w:pStyle w:val="TextBody"/>
        <w:spacing w:before="0" w:after="0"/>
        <w:ind w:left="0" w:right="0" w:firstLine="720"/>
        <w:jc w:val="left"/>
        <w:rPr>
          <w:rFonts w:ascii="Times New Roman;Times;serif" w:hAnsi="Times New Roman;Times;serif"/>
          <w:sz w:val="20"/>
        </w:rPr>
      </w:pPr>
      <w:r>
        <w:rPr>
          <w:rFonts w:ascii="Times New Roman;Times;serif" w:hAnsi="Times New Roman;Times;serif"/>
          <w:sz w:val="20"/>
        </w:rPr>
        <w:t>On February 28, 2020, we entered into an Equity Distribution Agreement with Raymond James &amp; Associates, Inc. (the “Sales Agent”) pursuant to which the Company may issue and sell shares of the Company’s common stock having an aggregate offering price of up to $55 million (the “Initial ATM Offering”), from time to time through the Sales Agent. In January 2021, the Company completed its Initial ATM Offering and sold 5.9 million shares at a weighted average price of $9.12 per share, providing proceeds of $53.9 million, net of expenses and underwriting discounts and commissions. There are no more securities remaining that can be sold under this ATM offering.</w:t>
      </w:r>
    </w:p>
    <w:p>
      <w:pPr>
        <w:pStyle w:val="TextBody"/>
        <w:spacing w:before="0" w:after="0"/>
        <w:ind w:left="0" w:right="0" w:firstLine="720"/>
        <w:jc w:val="left"/>
        <w:rPr/>
      </w:pPr>
      <w:r>
        <w:rPr/>
        <w:t> </w:t>
      </w:r>
    </w:p>
    <w:p>
      <w:pPr>
        <w:pStyle w:val="TextBody"/>
        <w:spacing w:before="0" w:after="0"/>
        <w:ind w:left="0" w:right="0" w:firstLine="720"/>
        <w:jc w:val="left"/>
        <w:rPr>
          <w:rFonts w:ascii="Times New Roman;Times;serif" w:hAnsi="Times New Roman;Times;serif"/>
          <w:sz w:val="20"/>
        </w:rPr>
      </w:pPr>
      <w:r>
        <w:rPr>
          <w:rFonts w:ascii="Times New Roman;Times;serif" w:hAnsi="Times New Roman;Times;serif"/>
          <w:sz w:val="20"/>
        </w:rPr>
        <w:t>On February 26, 2021, we entered into another Equity Distribution Agreement with the Sales Agent pursuant to which the Company may issue and sell shares of the Company’s common stock, par value $0.001 per share having an aggregate offering price of up to $35 million (the “Second ATM Offering”), from time to time through the Sales Agent. In February 2023, the Company completed its Second ATM Offering and sold 0.7 million shares at a weighted average price of $3.81 per share, providing proceeds of $2.6 million, net of expenses and underwriting discounts and commissions. There are no more securities remaining that can be sold under this ATM offering.</w:t>
      </w:r>
    </w:p>
    <w:p>
      <w:pPr>
        <w:pStyle w:val="TextBody"/>
        <w:spacing w:before="0" w:after="0"/>
        <w:ind w:left="0" w:right="0" w:firstLine="720"/>
        <w:jc w:val="left"/>
        <w:rPr/>
      </w:pPr>
      <w:r>
        <w:rPr/>
        <w:t> </w:t>
      </w:r>
    </w:p>
    <w:p>
      <w:pPr>
        <w:pStyle w:val="TextBody"/>
        <w:spacing w:before="0" w:after="0"/>
        <w:ind w:left="0" w:right="0" w:firstLine="720"/>
        <w:jc w:val="left"/>
        <w:rPr>
          <w:rFonts w:ascii="Times New Roman;Times;serif" w:hAnsi="Times New Roman;Times;serif"/>
          <w:sz w:val="20"/>
          <w:highlight w:val="white"/>
        </w:rPr>
      </w:pPr>
      <w:r>
        <w:rPr>
          <w:rFonts w:ascii="Times New Roman;Times;serif" w:hAnsi="Times New Roman;Times;serif"/>
          <w:sz w:val="20"/>
          <w:highlight w:val="white"/>
        </w:rPr>
        <w:t>The details of the shares of common stock sold through the Second ATM Offering are as follows (in thousands, except shares and weighted average per share price):</w:t>
      </w:r>
    </w:p>
    <w:p>
      <w:pPr>
        <w:pStyle w:val="TextBody"/>
        <w:spacing w:before="0" w:after="0"/>
        <w:ind w:left="0" w:right="0" w:hanging="0"/>
        <w:rPr/>
      </w:pPr>
      <w:r>
        <w:rPr/>
        <w:t> </w:t>
      </w:r>
    </w:p>
    <w:tbl>
      <w:tblPr>
        <w:tblW w:w="10205" w:type="dxa"/>
        <w:jc w:val="left"/>
        <w:tblInd w:w="0" w:type="dxa"/>
        <w:tblCellMar>
          <w:top w:w="0" w:type="dxa"/>
          <w:left w:w="0" w:type="dxa"/>
          <w:bottom w:w="28" w:type="dxa"/>
          <w:right w:w="0" w:type="dxa"/>
        </w:tblCellMar>
      </w:tblPr>
      <w:tblGrid>
        <w:gridCol w:w="1783"/>
        <w:gridCol w:w="60"/>
        <w:gridCol w:w="1052"/>
        <w:gridCol w:w="60"/>
        <w:gridCol w:w="96"/>
        <w:gridCol w:w="1117"/>
        <w:gridCol w:w="60"/>
        <w:gridCol w:w="60"/>
        <w:gridCol w:w="150"/>
        <w:gridCol w:w="1498"/>
        <w:gridCol w:w="60"/>
        <w:gridCol w:w="60"/>
        <w:gridCol w:w="202"/>
        <w:gridCol w:w="789"/>
        <w:gridCol w:w="60"/>
        <w:gridCol w:w="60"/>
        <w:gridCol w:w="397"/>
        <w:gridCol w:w="1530"/>
        <w:gridCol w:w="60"/>
        <w:gridCol w:w="60"/>
        <w:gridCol w:w="185"/>
        <w:gridCol w:w="725"/>
        <w:gridCol w:w="81"/>
      </w:tblGrid>
      <w:tr>
        <w:trPr/>
        <w:tc>
          <w:tcPr>
            <w:tcW w:w="1783" w:type="dxa"/>
            <w:tcBorders>
              <w:bottom w:val="single" w:sz="2" w:space="0" w:color="000000"/>
            </w:tcBorders>
            <w:shd w:fill="FFFFFF" w:val="clear"/>
            <w:vAlign w:val="center"/>
          </w:tcPr>
          <w:p>
            <w:pPr>
              <w:pStyle w:val="TableContents"/>
              <w:spacing w:before="0" w:after="0"/>
              <w:rPr>
                <w:rFonts w:ascii="Times New Roman;Times;serif" w:hAnsi="Times New Roman;Times;serif"/>
                <w:b/>
                <w:caps w:val="false"/>
                <w:smallCaps w:val="false"/>
                <w:sz w:val="20"/>
              </w:rPr>
            </w:pPr>
            <w:r>
              <w:rPr>
                <w:rFonts w:ascii="Times New Roman;Times;serif" w:hAnsi="Times New Roman;Times;serif"/>
                <w:b/>
                <w:caps w:val="false"/>
                <w:smallCaps w:val="false"/>
                <w:sz w:val="20"/>
              </w:rPr>
              <w:t>Distribution Agent</w:t>
            </w:r>
          </w:p>
        </w:tc>
        <w:tc>
          <w:tcPr>
            <w:tcW w:w="60" w:type="dxa"/>
            <w:tcBorders/>
            <w:shd w:fill="FFFFFF" w:val="clear"/>
            <w:tcMar>
              <w:bottom w:w="0" w:type="dxa"/>
            </w:tcMar>
            <w:vAlign w:val="center"/>
          </w:tcPr>
          <w:p>
            <w:pPr>
              <w:pStyle w:val="TableContents"/>
              <w:spacing w:before="0" w:after="283"/>
              <w:ind w:left="0" w:right="0" w:hanging="0"/>
              <w:rPr/>
            </w:pPr>
            <w:r>
              <w:rPr/>
              <w:t> </w:t>
            </w:r>
          </w:p>
        </w:tc>
        <w:tc>
          <w:tcPr>
            <w:tcW w:w="1052" w:type="dxa"/>
            <w:tcBorders>
              <w:bottom w:val="single" w:sz="2" w:space="0" w:color="000000"/>
            </w:tcBorders>
            <w:shd w:fill="FFFFFF" w:val="clear"/>
            <w:vAlign w:val="center"/>
          </w:tcPr>
          <w:p>
            <w:pPr>
              <w:pStyle w:val="TableContents"/>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Month</w:t>
            </w:r>
          </w:p>
        </w:tc>
        <w:tc>
          <w:tcPr>
            <w:tcW w:w="60" w:type="dxa"/>
            <w:tcBorders/>
            <w:shd w:fill="FFFFFF" w:val="clear"/>
            <w:tcMar>
              <w:bottom w:w="0" w:type="dxa"/>
            </w:tcMar>
            <w:vAlign w:val="center"/>
          </w:tcPr>
          <w:p>
            <w:pPr>
              <w:pStyle w:val="TableContents"/>
              <w:spacing w:before="0" w:after="283"/>
              <w:ind w:left="0" w:right="0" w:hanging="0"/>
              <w:rPr/>
            </w:pPr>
            <w:r>
              <w:rPr/>
              <w:t> </w:t>
            </w:r>
          </w:p>
        </w:tc>
        <w:tc>
          <w:tcPr>
            <w:tcW w:w="1213" w:type="dxa"/>
            <w:gridSpan w:val="2"/>
            <w:tcBorders>
              <w:bottom w:val="single" w:sz="2" w:space="0" w:color="000000"/>
            </w:tcBorders>
            <w:shd w:fill="FFFFFF" w:val="clear"/>
            <w:vAlign w:val="center"/>
          </w:tcPr>
          <w:p>
            <w:pPr>
              <w:pStyle w:val="TableContents"/>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 Shares Sold</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ind w:left="0" w:right="0" w:hanging="0"/>
              <w:rPr/>
            </w:pPr>
            <w:r>
              <w:rPr/>
              <w:t> </w:t>
            </w:r>
          </w:p>
        </w:tc>
        <w:tc>
          <w:tcPr>
            <w:tcW w:w="1648" w:type="dxa"/>
            <w:gridSpan w:val="2"/>
            <w:tcBorders>
              <w:bottom w:val="single" w:sz="2" w:space="0" w:color="000000"/>
            </w:tcBorders>
            <w:shd w:fill="FFFFFF" w:val="clear"/>
            <w:vAlign w:val="center"/>
          </w:tcPr>
          <w:p>
            <w:pPr>
              <w:pStyle w:val="TableContents"/>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 Average Per Share Price</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ind w:left="0" w:right="0" w:hanging="0"/>
              <w:rPr/>
            </w:pPr>
            <w:r>
              <w:rPr/>
              <w:t> </w:t>
            </w:r>
          </w:p>
        </w:tc>
        <w:tc>
          <w:tcPr>
            <w:tcW w:w="991" w:type="dxa"/>
            <w:gridSpan w:val="2"/>
            <w:tcBorders>
              <w:bottom w:val="single" w:sz="2" w:space="0" w:color="000000"/>
            </w:tcBorders>
            <w:shd w:fill="FFFFFF" w:val="clear"/>
            <w:vAlign w:val="center"/>
          </w:tcPr>
          <w:p>
            <w:pPr>
              <w:pStyle w:val="TableContents"/>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Gross Proceeds</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ind w:left="0" w:right="0" w:hanging="0"/>
              <w:rPr/>
            </w:pPr>
            <w:r>
              <w:rPr/>
              <w:t> </w:t>
            </w:r>
          </w:p>
        </w:tc>
        <w:tc>
          <w:tcPr>
            <w:tcW w:w="1927" w:type="dxa"/>
            <w:gridSpan w:val="2"/>
            <w:tcBorders>
              <w:bottom w:val="single" w:sz="2" w:space="0" w:color="000000"/>
            </w:tcBorders>
            <w:shd w:fill="FFFFFF" w:val="clear"/>
            <w:vAlign w:val="center"/>
          </w:tcPr>
          <w:p>
            <w:pPr>
              <w:pStyle w:val="TableContents"/>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Compensation to Distribution Agent</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ind w:left="0" w:right="0" w:hanging="0"/>
              <w:rPr/>
            </w:pPr>
            <w:r>
              <w:rPr/>
              <w:t> </w:t>
            </w:r>
          </w:p>
        </w:tc>
        <w:tc>
          <w:tcPr>
            <w:tcW w:w="910" w:type="dxa"/>
            <w:gridSpan w:val="2"/>
            <w:tcBorders>
              <w:bottom w:val="single" w:sz="2" w:space="0" w:color="000000"/>
            </w:tcBorders>
            <w:shd w:fill="FFFFFF" w:val="clear"/>
            <w:vAlign w:val="center"/>
          </w:tcPr>
          <w:p>
            <w:pPr>
              <w:pStyle w:val="TableContents"/>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Proceeds</w:t>
            </w:r>
          </w:p>
        </w:tc>
        <w:tc>
          <w:tcPr>
            <w:tcW w:w="81" w:type="dxa"/>
            <w:tcBorders/>
            <w:shd w:fill="FFFFFF" w:val="clear"/>
            <w:tcMar>
              <w:bottom w:w="0" w:type="dxa"/>
            </w:tcMar>
            <w:vAlign w:val="center"/>
          </w:tcPr>
          <w:p>
            <w:pPr>
              <w:pStyle w:val="TableContents"/>
              <w:spacing w:before="0" w:after="283"/>
              <w:rPr/>
            </w:pPr>
            <w:r>
              <w:rPr/>
              <w:t> </w:t>
            </w:r>
          </w:p>
        </w:tc>
      </w:tr>
      <w:tr>
        <w:trPr/>
        <w:tc>
          <w:tcPr>
            <w:tcW w:w="1783" w:type="dxa"/>
            <w:tcBorders/>
            <w:shd w:fill="CCEEFF" w:val="clear"/>
            <w:tcMar>
              <w:bottom w:w="0" w:type="dxa"/>
            </w:tcMar>
            <w:vAlign w:val="center"/>
          </w:tcPr>
          <w:p>
            <w:pPr>
              <w:pStyle w:val="TableContents"/>
              <w:spacing w:before="0" w:after="0"/>
              <w:rPr>
                <w:rFonts w:ascii="Times New Roman;Times;serif" w:hAnsi="Times New Roman;Times;serif"/>
                <w:caps w:val="false"/>
                <w:smallCaps w:val="false"/>
                <w:sz w:val="20"/>
              </w:rPr>
            </w:pPr>
            <w:r>
              <w:rPr>
                <w:rFonts w:ascii="Times New Roman;Times;serif" w:hAnsi="Times New Roman;Times;serif"/>
                <w:caps w:val="false"/>
                <w:smallCaps w:val="false"/>
                <w:sz w:val="20"/>
              </w:rPr>
              <w:t>Raymond James &amp; Associates, Inc.</w:t>
            </w:r>
          </w:p>
        </w:tc>
        <w:tc>
          <w:tcPr>
            <w:tcW w:w="60" w:type="dxa"/>
            <w:tcBorders/>
            <w:shd w:fill="CCEEFF" w:val="clear"/>
            <w:tcMar>
              <w:bottom w:w="0" w:type="dxa"/>
            </w:tcMar>
            <w:vAlign w:val="center"/>
          </w:tcPr>
          <w:p>
            <w:pPr>
              <w:pStyle w:val="TableContents"/>
              <w:spacing w:before="0" w:after="283"/>
              <w:ind w:left="0" w:right="0" w:hanging="0"/>
              <w:rPr/>
            </w:pPr>
            <w:r>
              <w:rPr/>
              <w:t> </w:t>
            </w:r>
          </w:p>
        </w:tc>
        <w:tc>
          <w:tcPr>
            <w:tcW w:w="1052" w:type="dxa"/>
            <w:tcBorders/>
            <w:shd w:fill="CCEEFF" w:val="clear"/>
            <w:tcMar>
              <w:bottom w:w="0" w:type="dxa"/>
            </w:tcMar>
            <w:vAlign w:val="center"/>
          </w:tcPr>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March 2021</w:t>
            </w:r>
          </w:p>
        </w:tc>
        <w:tc>
          <w:tcPr>
            <w:tcW w:w="60" w:type="dxa"/>
            <w:tcBorders/>
            <w:shd w:fill="CCEEFF" w:val="clear"/>
            <w:tcMar>
              <w:bottom w:w="0" w:type="dxa"/>
            </w:tcMar>
            <w:vAlign w:val="center"/>
          </w:tcPr>
          <w:p>
            <w:pPr>
              <w:pStyle w:val="TableContents"/>
              <w:spacing w:before="0" w:after="283"/>
              <w:rPr/>
            </w:pPr>
            <w:r>
              <w:rPr/>
              <w:t> </w:t>
            </w:r>
          </w:p>
        </w:tc>
        <w:tc>
          <w:tcPr>
            <w:tcW w:w="96" w:type="dxa"/>
            <w:tcBorders/>
            <w:shd w:fill="CCEEFF" w:val="clear"/>
            <w:tcMar>
              <w:bottom w:w="0" w:type="dxa"/>
            </w:tcMar>
            <w:vAlign w:val="center"/>
          </w:tcPr>
          <w:p>
            <w:pPr>
              <w:pStyle w:val="TableContents"/>
              <w:spacing w:before="0" w:after="283"/>
              <w:ind w:left="0" w:right="0" w:hanging="0"/>
              <w:rPr/>
            </w:pPr>
            <w:r>
              <w:rPr/>
              <w:t> </w:t>
            </w:r>
          </w:p>
        </w:tc>
        <w:tc>
          <w:tcPr>
            <w:tcW w:w="1117" w:type="dxa"/>
            <w:tcBorders/>
            <w:shd w:fill="CCEEFF" w:val="clear"/>
            <w:tcMar>
              <w:bottom w:w="0"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65,748</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50" w:type="dxa"/>
            <w:tcBorders/>
            <w:shd w:fill="CCEEFF" w:val="clear"/>
            <w:tcMar>
              <w:bottom w:w="0" w:type="dxa"/>
            </w:tcMar>
            <w:vAlign w:val="center"/>
          </w:tcPr>
          <w:p>
            <w:pPr>
              <w:pStyle w:val="TableContents"/>
              <w:spacing w:before="0" w:after="283"/>
              <w:ind w:left="0" w:right="0" w:hanging="0"/>
              <w:rPr/>
            </w:pPr>
            <w:r>
              <w:rPr/>
              <w:t> </w:t>
            </w:r>
          </w:p>
        </w:tc>
        <w:tc>
          <w:tcPr>
            <w:tcW w:w="1498" w:type="dxa"/>
            <w:tcBorders/>
            <w:shd w:fill="CCEEFF" w:val="clear"/>
            <w:tcMar>
              <w:bottom w:w="0"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9.0622</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ind w:left="0" w:right="0" w:hanging="0"/>
              <w:rPr/>
            </w:pPr>
            <w:r>
              <w:rPr/>
              <w:t> </w:t>
            </w:r>
          </w:p>
        </w:tc>
        <w:tc>
          <w:tcPr>
            <w:tcW w:w="202" w:type="dxa"/>
            <w:tcBorders/>
            <w:shd w:fill="CCEEFF" w:val="clear"/>
            <w:tcMar>
              <w:bottom w:w="0" w:type="dxa"/>
            </w:tcM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789" w:type="dxa"/>
            <w:tcBorders/>
            <w:shd w:fill="CCEEFF" w:val="clear"/>
            <w:tcMar>
              <w:bottom w:w="0"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596</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397" w:type="dxa"/>
            <w:tcBorders/>
            <w:shd w:fill="CCEEFF" w:val="clear"/>
            <w:tcMar>
              <w:bottom w:w="0" w:type="dxa"/>
            </w:tcMar>
            <w:vAlign w:val="center"/>
          </w:tcPr>
          <w:p>
            <w:pPr>
              <w:pStyle w:val="TableContents"/>
              <w:spacing w:before="0" w:after="283"/>
              <w:ind w:left="0" w:right="0" w:hanging="0"/>
              <w:rPr/>
            </w:pPr>
            <w:r>
              <w:rPr/>
              <w:t> </w:t>
            </w:r>
          </w:p>
        </w:tc>
        <w:tc>
          <w:tcPr>
            <w:tcW w:w="1530" w:type="dxa"/>
            <w:tcBorders/>
            <w:shd w:fill="CCEEFF" w:val="clear"/>
            <w:tcMar>
              <w:bottom w:w="0"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ind w:left="0" w:right="0" w:hanging="0"/>
              <w:rPr/>
            </w:pPr>
            <w:r>
              <w:rPr/>
              <w:t> </w:t>
            </w:r>
          </w:p>
        </w:tc>
        <w:tc>
          <w:tcPr>
            <w:tcW w:w="185" w:type="dxa"/>
            <w:tcBorders/>
            <w:shd w:fill="CCEEFF" w:val="clear"/>
            <w:tcMar>
              <w:bottom w:w="0" w:type="dxa"/>
            </w:tcM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725" w:type="dxa"/>
            <w:tcBorders/>
            <w:shd w:fill="CCEEFF" w:val="clear"/>
            <w:tcMar>
              <w:bottom w:w="0"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584</w:t>
            </w:r>
          </w:p>
        </w:tc>
        <w:tc>
          <w:tcPr>
            <w:tcW w:w="81" w:type="dxa"/>
            <w:tcBorders/>
            <w:shd w:fill="CCEEFF" w:val="clear"/>
            <w:tcMar>
              <w:bottom w:w="0" w:type="dxa"/>
            </w:tcMar>
            <w:vAlign w:val="center"/>
          </w:tcPr>
          <w:p>
            <w:pPr>
              <w:pStyle w:val="TableContents"/>
              <w:spacing w:before="0" w:after="283"/>
              <w:rPr/>
            </w:pPr>
            <w:r>
              <w:rPr/>
              <w:t> </w:t>
            </w:r>
          </w:p>
        </w:tc>
      </w:tr>
      <w:tr>
        <w:trPr/>
        <w:tc>
          <w:tcPr>
            <w:tcW w:w="1783" w:type="dxa"/>
            <w:tcBorders/>
            <w:shd w:fill="FFFFFF" w:val="clear"/>
            <w:tcMar>
              <w:bottom w:w="0" w:type="dxa"/>
            </w:tcM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Raymond James &amp; Associates, Inc.</w:t>
            </w:r>
          </w:p>
        </w:tc>
        <w:tc>
          <w:tcPr>
            <w:tcW w:w="60" w:type="dxa"/>
            <w:tcBorders/>
            <w:shd w:fill="FFFFFF" w:val="clear"/>
            <w:tcMar>
              <w:bottom w:w="0" w:type="dxa"/>
            </w:tcMar>
            <w:vAlign w:val="center"/>
          </w:tcPr>
          <w:p>
            <w:pPr>
              <w:pStyle w:val="TableContents"/>
              <w:spacing w:before="0" w:after="283"/>
              <w:rPr/>
            </w:pPr>
            <w:r>
              <w:rPr/>
              <w:t> </w:t>
            </w:r>
          </w:p>
        </w:tc>
        <w:tc>
          <w:tcPr>
            <w:tcW w:w="1052" w:type="dxa"/>
            <w:tcBorders/>
            <w:shd w:fill="FFFFFF" w:val="clear"/>
            <w:tcMar>
              <w:bottom w:w="0"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June 2021</w:t>
            </w:r>
          </w:p>
        </w:tc>
        <w:tc>
          <w:tcPr>
            <w:tcW w:w="60" w:type="dxa"/>
            <w:tcBorders/>
            <w:shd w:fill="FFFFFF" w:val="clear"/>
            <w:tcMar>
              <w:bottom w:w="0" w:type="dxa"/>
            </w:tcMar>
            <w:vAlign w:val="center"/>
          </w:tcPr>
          <w:p>
            <w:pPr>
              <w:pStyle w:val="TableContents"/>
              <w:spacing w:before="0" w:after="283"/>
              <w:rPr/>
            </w:pPr>
            <w:r>
              <w:rPr/>
              <w:t> </w:t>
            </w:r>
          </w:p>
        </w:tc>
        <w:tc>
          <w:tcPr>
            <w:tcW w:w="96" w:type="dxa"/>
            <w:tcBorders/>
            <w:shd w:fill="FFFFFF" w:val="clear"/>
            <w:tcMar>
              <w:bottom w:w="0" w:type="dxa"/>
            </w:tcMar>
            <w:vAlign w:val="center"/>
          </w:tcPr>
          <w:p>
            <w:pPr>
              <w:pStyle w:val="TableContents"/>
              <w:spacing w:before="0" w:after="283"/>
              <w:rPr/>
            </w:pPr>
            <w:r>
              <w:rPr/>
              <w:t> </w:t>
            </w:r>
          </w:p>
        </w:tc>
        <w:tc>
          <w:tcPr>
            <w:tcW w:w="1117" w:type="dxa"/>
            <w:tcBorders/>
            <w:shd w:fill="FFFFFF"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34,686</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50" w:type="dxa"/>
            <w:tcBorders/>
            <w:shd w:fill="FFFFFF" w:val="clear"/>
            <w:tcMar>
              <w:bottom w:w="0" w:type="dxa"/>
            </w:tcMar>
            <w:vAlign w:val="center"/>
          </w:tcPr>
          <w:p>
            <w:pPr>
              <w:pStyle w:val="TableContents"/>
              <w:spacing w:before="0" w:after="283"/>
              <w:rPr/>
            </w:pPr>
            <w:r>
              <w:rPr/>
              <w:t> </w:t>
            </w:r>
          </w:p>
        </w:tc>
        <w:tc>
          <w:tcPr>
            <w:tcW w:w="1498" w:type="dxa"/>
            <w:tcBorders/>
            <w:shd w:fill="FFFFFF"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9.1115</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202" w:type="dxa"/>
            <w:tcBorders/>
            <w:shd w:fill="FFFFFF" w:val="clear"/>
            <w:tcMar>
              <w:bottom w:w="0" w:type="dxa"/>
            </w:tcMar>
            <w:vAlign w:val="center"/>
          </w:tcPr>
          <w:p>
            <w:pPr>
              <w:pStyle w:val="TableContents"/>
              <w:spacing w:before="0" w:after="283"/>
              <w:rPr/>
            </w:pPr>
            <w:r>
              <w:rPr/>
              <w:t> </w:t>
            </w:r>
          </w:p>
        </w:tc>
        <w:tc>
          <w:tcPr>
            <w:tcW w:w="789" w:type="dxa"/>
            <w:tcBorders/>
            <w:shd w:fill="FFFFFF"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316</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397" w:type="dxa"/>
            <w:tcBorders/>
            <w:shd w:fill="FFFFFF" w:val="clear"/>
            <w:tcMar>
              <w:bottom w:w="0" w:type="dxa"/>
            </w:tcMar>
            <w:vAlign w:val="center"/>
          </w:tcPr>
          <w:p>
            <w:pPr>
              <w:pStyle w:val="TableContents"/>
              <w:spacing w:before="0" w:after="283"/>
              <w:rPr/>
            </w:pPr>
            <w:r>
              <w:rPr/>
              <w:t> </w:t>
            </w:r>
          </w:p>
        </w:tc>
        <w:tc>
          <w:tcPr>
            <w:tcW w:w="1530" w:type="dxa"/>
            <w:tcBorders/>
            <w:shd w:fill="FFFFFF"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6</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85" w:type="dxa"/>
            <w:tcBorders/>
            <w:shd w:fill="FFFF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725" w:type="dxa"/>
            <w:tcBorders/>
            <w:shd w:fill="FFFFFF"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310</w:t>
            </w:r>
          </w:p>
        </w:tc>
        <w:tc>
          <w:tcPr>
            <w:tcW w:w="81" w:type="dxa"/>
            <w:tcBorders/>
            <w:shd w:fill="FFFFFF" w:val="clear"/>
            <w:tcMar>
              <w:bottom w:w="0" w:type="dxa"/>
            </w:tcMar>
            <w:vAlign w:val="center"/>
          </w:tcPr>
          <w:p>
            <w:pPr>
              <w:pStyle w:val="TableContents"/>
              <w:spacing w:before="0" w:after="283"/>
              <w:rPr/>
            </w:pPr>
            <w:r>
              <w:rPr/>
              <w:t> </w:t>
            </w:r>
          </w:p>
        </w:tc>
      </w:tr>
      <w:tr>
        <w:trPr/>
        <w:tc>
          <w:tcPr>
            <w:tcW w:w="1783" w:type="dxa"/>
            <w:tcBorders/>
            <w:shd w:fill="CCEEFF" w:val="clear"/>
            <w:tcMar>
              <w:bottom w:w="0" w:type="dxa"/>
            </w:tcM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Raymond James &amp; Associates, Inc.</w:t>
            </w:r>
          </w:p>
        </w:tc>
        <w:tc>
          <w:tcPr>
            <w:tcW w:w="60" w:type="dxa"/>
            <w:tcBorders/>
            <w:shd w:fill="CCEEFF" w:val="clear"/>
            <w:tcMar>
              <w:bottom w:w="0" w:type="dxa"/>
            </w:tcMar>
            <w:vAlign w:val="center"/>
          </w:tcPr>
          <w:p>
            <w:pPr>
              <w:pStyle w:val="TableContents"/>
              <w:spacing w:before="0" w:after="283"/>
              <w:rPr/>
            </w:pPr>
            <w:r>
              <w:rPr/>
              <w:t> </w:t>
            </w:r>
          </w:p>
        </w:tc>
        <w:tc>
          <w:tcPr>
            <w:tcW w:w="1052" w:type="dxa"/>
            <w:tcBorders/>
            <w:shd w:fill="CCEEFF" w:val="clear"/>
            <w:tcMar>
              <w:bottom w:w="0"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July 2021</w:t>
            </w:r>
          </w:p>
        </w:tc>
        <w:tc>
          <w:tcPr>
            <w:tcW w:w="60" w:type="dxa"/>
            <w:tcBorders/>
            <w:shd w:fill="CCEEFF" w:val="clear"/>
            <w:tcMar>
              <w:bottom w:w="0" w:type="dxa"/>
            </w:tcMar>
            <w:vAlign w:val="center"/>
          </w:tcPr>
          <w:p>
            <w:pPr>
              <w:pStyle w:val="TableContents"/>
              <w:spacing w:before="0" w:after="283"/>
              <w:rPr/>
            </w:pPr>
            <w:r>
              <w:rPr/>
              <w:t> </w:t>
            </w:r>
          </w:p>
        </w:tc>
        <w:tc>
          <w:tcPr>
            <w:tcW w:w="96" w:type="dxa"/>
            <w:tcBorders/>
            <w:shd w:fill="CCEEFF" w:val="clear"/>
            <w:tcMar>
              <w:bottom w:w="0" w:type="dxa"/>
            </w:tcMar>
            <w:vAlign w:val="center"/>
          </w:tcPr>
          <w:p>
            <w:pPr>
              <w:pStyle w:val="TableContents"/>
              <w:spacing w:before="0" w:after="283"/>
              <w:rPr/>
            </w:pPr>
            <w:r>
              <w:rPr/>
              <w:t> </w:t>
            </w:r>
          </w:p>
        </w:tc>
        <w:tc>
          <w:tcPr>
            <w:tcW w:w="1117" w:type="dxa"/>
            <w:tcBorders/>
            <w:shd w:fill="CCEEFF"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6,740</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50" w:type="dxa"/>
            <w:tcBorders/>
            <w:shd w:fill="CCEEFF" w:val="clear"/>
            <w:tcMar>
              <w:bottom w:w="0" w:type="dxa"/>
            </w:tcMar>
            <w:vAlign w:val="center"/>
          </w:tcPr>
          <w:p>
            <w:pPr>
              <w:pStyle w:val="TableContents"/>
              <w:spacing w:before="0" w:after="283"/>
              <w:rPr/>
            </w:pPr>
            <w:r>
              <w:rPr/>
              <w:t> </w:t>
            </w:r>
          </w:p>
        </w:tc>
        <w:tc>
          <w:tcPr>
            <w:tcW w:w="1498" w:type="dxa"/>
            <w:tcBorders/>
            <w:shd w:fill="CCEEFF"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9.1061</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202" w:type="dxa"/>
            <w:tcBorders/>
            <w:shd w:fill="CCEEFF" w:val="clear"/>
            <w:tcMar>
              <w:bottom w:w="0" w:type="dxa"/>
            </w:tcMar>
            <w:vAlign w:val="center"/>
          </w:tcPr>
          <w:p>
            <w:pPr>
              <w:pStyle w:val="TableContents"/>
              <w:spacing w:before="0" w:after="283"/>
              <w:rPr/>
            </w:pPr>
            <w:r>
              <w:rPr/>
              <w:t> </w:t>
            </w:r>
          </w:p>
        </w:tc>
        <w:tc>
          <w:tcPr>
            <w:tcW w:w="789" w:type="dxa"/>
            <w:tcBorders/>
            <w:shd w:fill="CCEEFF"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60</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397" w:type="dxa"/>
            <w:tcBorders/>
            <w:shd w:fill="CCEEFF" w:val="clear"/>
            <w:tcMar>
              <w:bottom w:w="0" w:type="dxa"/>
            </w:tcMar>
            <w:vAlign w:val="center"/>
          </w:tcPr>
          <w:p>
            <w:pPr>
              <w:pStyle w:val="TableContents"/>
              <w:spacing w:before="0" w:after="283"/>
              <w:rPr/>
            </w:pPr>
            <w:r>
              <w:rPr/>
              <w:t> </w:t>
            </w:r>
          </w:p>
        </w:tc>
        <w:tc>
          <w:tcPr>
            <w:tcW w:w="1530" w:type="dxa"/>
            <w:tcBorders/>
            <w:shd w:fill="CCEEFF"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85"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725" w:type="dxa"/>
            <w:tcBorders/>
            <w:shd w:fill="CCEEFF"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59</w:t>
            </w:r>
          </w:p>
        </w:tc>
        <w:tc>
          <w:tcPr>
            <w:tcW w:w="81" w:type="dxa"/>
            <w:tcBorders/>
            <w:shd w:fill="CCEEFF" w:val="clear"/>
            <w:tcMar>
              <w:bottom w:w="0" w:type="dxa"/>
            </w:tcMar>
            <w:vAlign w:val="center"/>
          </w:tcPr>
          <w:p>
            <w:pPr>
              <w:pStyle w:val="TableContents"/>
              <w:spacing w:before="0" w:after="283"/>
              <w:rPr/>
            </w:pPr>
            <w:r>
              <w:rPr/>
              <w:t> </w:t>
            </w:r>
          </w:p>
        </w:tc>
      </w:tr>
      <w:tr>
        <w:trPr/>
        <w:tc>
          <w:tcPr>
            <w:tcW w:w="1783" w:type="dxa"/>
            <w:tcBorders/>
            <w:shd w:fill="FFFFFF" w:val="clear"/>
            <w:tcMar>
              <w:bottom w:w="0" w:type="dxa"/>
            </w:tcM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Raymond James &amp; Associates, Inc.</w:t>
            </w:r>
          </w:p>
        </w:tc>
        <w:tc>
          <w:tcPr>
            <w:tcW w:w="60" w:type="dxa"/>
            <w:tcBorders/>
            <w:shd w:fill="FFFFFF" w:val="clear"/>
            <w:tcMar>
              <w:bottom w:w="0" w:type="dxa"/>
            </w:tcMar>
            <w:vAlign w:val="center"/>
          </w:tcPr>
          <w:p>
            <w:pPr>
              <w:pStyle w:val="TableContents"/>
              <w:spacing w:before="0" w:after="283"/>
              <w:rPr/>
            </w:pPr>
            <w:r>
              <w:rPr/>
              <w:t> </w:t>
            </w:r>
          </w:p>
        </w:tc>
        <w:tc>
          <w:tcPr>
            <w:tcW w:w="1052" w:type="dxa"/>
            <w:tcBorders/>
            <w:shd w:fill="FFFFFF" w:val="clear"/>
            <w:tcMar>
              <w:bottom w:w="0"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September 2022</w:t>
            </w:r>
          </w:p>
        </w:tc>
        <w:tc>
          <w:tcPr>
            <w:tcW w:w="60" w:type="dxa"/>
            <w:tcBorders/>
            <w:shd w:fill="FFFFFF" w:val="clear"/>
            <w:tcMar>
              <w:bottom w:w="0" w:type="dxa"/>
            </w:tcMar>
            <w:vAlign w:val="center"/>
          </w:tcPr>
          <w:p>
            <w:pPr>
              <w:pStyle w:val="TableContents"/>
              <w:spacing w:before="0" w:after="283"/>
              <w:rPr/>
            </w:pPr>
            <w:r>
              <w:rPr/>
              <w:t> </w:t>
            </w:r>
          </w:p>
        </w:tc>
        <w:tc>
          <w:tcPr>
            <w:tcW w:w="96" w:type="dxa"/>
            <w:tcBorders/>
            <w:shd w:fill="FFFFFF" w:val="clear"/>
            <w:tcMar>
              <w:bottom w:w="0" w:type="dxa"/>
            </w:tcMar>
            <w:vAlign w:val="center"/>
          </w:tcPr>
          <w:p>
            <w:pPr>
              <w:pStyle w:val="TableContents"/>
              <w:spacing w:before="0" w:after="283"/>
              <w:rPr/>
            </w:pPr>
            <w:r>
              <w:rPr/>
              <w:t> </w:t>
            </w:r>
          </w:p>
        </w:tc>
        <w:tc>
          <w:tcPr>
            <w:tcW w:w="1117" w:type="dxa"/>
            <w:tcBorders/>
            <w:shd w:fill="FFFFFF"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94,491</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50" w:type="dxa"/>
            <w:tcBorders/>
            <w:shd w:fill="FFFFFF" w:val="clear"/>
            <w:tcMar>
              <w:bottom w:w="0" w:type="dxa"/>
            </w:tcMar>
            <w:vAlign w:val="center"/>
          </w:tcPr>
          <w:p>
            <w:pPr>
              <w:pStyle w:val="TableContents"/>
              <w:spacing w:before="0" w:after="283"/>
              <w:rPr/>
            </w:pPr>
            <w:r>
              <w:rPr/>
              <w:t> </w:t>
            </w:r>
          </w:p>
        </w:tc>
        <w:tc>
          <w:tcPr>
            <w:tcW w:w="1498" w:type="dxa"/>
            <w:tcBorders/>
            <w:shd w:fill="FFFFFF"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2.9045</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202" w:type="dxa"/>
            <w:tcBorders/>
            <w:shd w:fill="FFFFFF" w:val="clear"/>
            <w:tcMar>
              <w:bottom w:w="0" w:type="dxa"/>
            </w:tcMar>
            <w:vAlign w:val="center"/>
          </w:tcPr>
          <w:p>
            <w:pPr>
              <w:pStyle w:val="TableContents"/>
              <w:spacing w:before="0" w:after="283"/>
              <w:rPr/>
            </w:pPr>
            <w:r>
              <w:rPr/>
              <w:t> </w:t>
            </w:r>
          </w:p>
        </w:tc>
        <w:tc>
          <w:tcPr>
            <w:tcW w:w="789" w:type="dxa"/>
            <w:tcBorders/>
            <w:shd w:fill="FFFFFF"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274</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397" w:type="dxa"/>
            <w:tcBorders/>
            <w:shd w:fill="FFFFFF" w:val="clear"/>
            <w:tcMar>
              <w:bottom w:w="0" w:type="dxa"/>
            </w:tcMar>
            <w:vAlign w:val="center"/>
          </w:tcPr>
          <w:p>
            <w:pPr>
              <w:pStyle w:val="TableContents"/>
              <w:spacing w:before="0" w:after="283"/>
              <w:rPr/>
            </w:pPr>
            <w:r>
              <w:rPr/>
              <w:t> </w:t>
            </w:r>
          </w:p>
        </w:tc>
        <w:tc>
          <w:tcPr>
            <w:tcW w:w="1530" w:type="dxa"/>
            <w:tcBorders/>
            <w:shd w:fill="FFFFFF"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5</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85" w:type="dxa"/>
            <w:tcBorders/>
            <w:shd w:fill="FFFF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725" w:type="dxa"/>
            <w:tcBorders/>
            <w:shd w:fill="FFFFFF"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269</w:t>
            </w:r>
          </w:p>
        </w:tc>
        <w:tc>
          <w:tcPr>
            <w:tcW w:w="81" w:type="dxa"/>
            <w:tcBorders/>
            <w:shd w:fill="FFFFFF" w:val="clear"/>
            <w:tcMar>
              <w:bottom w:w="0" w:type="dxa"/>
            </w:tcMar>
            <w:vAlign w:val="center"/>
          </w:tcPr>
          <w:p>
            <w:pPr>
              <w:pStyle w:val="TableContents"/>
              <w:spacing w:before="0" w:after="283"/>
              <w:rPr/>
            </w:pPr>
            <w:r>
              <w:rPr/>
              <w:t> </w:t>
            </w:r>
          </w:p>
        </w:tc>
      </w:tr>
      <w:tr>
        <w:trPr/>
        <w:tc>
          <w:tcPr>
            <w:tcW w:w="1783" w:type="dxa"/>
            <w:tcBorders/>
            <w:shd w:fill="CCEEFF" w:val="clear"/>
            <w:tcMar>
              <w:bottom w:w="0" w:type="dxa"/>
            </w:tcM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Raymond James &amp; Associates, Inc.</w:t>
            </w:r>
          </w:p>
        </w:tc>
        <w:tc>
          <w:tcPr>
            <w:tcW w:w="60" w:type="dxa"/>
            <w:tcBorders/>
            <w:shd w:fill="CCEEFF" w:val="clear"/>
            <w:tcMar>
              <w:bottom w:w="0" w:type="dxa"/>
            </w:tcMar>
            <w:vAlign w:val="center"/>
          </w:tcPr>
          <w:p>
            <w:pPr>
              <w:pStyle w:val="TableContents"/>
              <w:spacing w:before="0" w:after="283"/>
              <w:rPr/>
            </w:pPr>
            <w:r>
              <w:rPr/>
              <w:t> </w:t>
            </w:r>
          </w:p>
        </w:tc>
        <w:tc>
          <w:tcPr>
            <w:tcW w:w="1052" w:type="dxa"/>
            <w:tcBorders/>
            <w:shd w:fill="CCEEFF" w:val="clear"/>
            <w:tcMar>
              <w:bottom w:w="0"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October 2022</w:t>
            </w:r>
          </w:p>
        </w:tc>
        <w:tc>
          <w:tcPr>
            <w:tcW w:w="60" w:type="dxa"/>
            <w:tcBorders/>
            <w:shd w:fill="CCEEFF" w:val="clear"/>
            <w:tcMar>
              <w:bottom w:w="0" w:type="dxa"/>
            </w:tcMar>
            <w:vAlign w:val="center"/>
          </w:tcPr>
          <w:p>
            <w:pPr>
              <w:pStyle w:val="TableContents"/>
              <w:spacing w:before="0" w:after="283"/>
              <w:rPr/>
            </w:pPr>
            <w:r>
              <w:rPr/>
              <w:t> </w:t>
            </w:r>
          </w:p>
        </w:tc>
        <w:tc>
          <w:tcPr>
            <w:tcW w:w="96" w:type="dxa"/>
            <w:tcBorders/>
            <w:shd w:fill="CCEEFF" w:val="clear"/>
            <w:tcMar>
              <w:bottom w:w="0" w:type="dxa"/>
            </w:tcMar>
            <w:vAlign w:val="center"/>
          </w:tcPr>
          <w:p>
            <w:pPr>
              <w:pStyle w:val="TableContents"/>
              <w:spacing w:before="0" w:after="283"/>
              <w:rPr/>
            </w:pPr>
            <w:r>
              <w:rPr/>
              <w:t> </w:t>
            </w:r>
          </w:p>
        </w:tc>
        <w:tc>
          <w:tcPr>
            <w:tcW w:w="1117" w:type="dxa"/>
            <w:tcBorders/>
            <w:shd w:fill="CCEEFF"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313,333</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50" w:type="dxa"/>
            <w:tcBorders/>
            <w:shd w:fill="CCEEFF" w:val="clear"/>
            <w:tcMar>
              <w:bottom w:w="0" w:type="dxa"/>
            </w:tcMar>
            <w:vAlign w:val="center"/>
          </w:tcPr>
          <w:p>
            <w:pPr>
              <w:pStyle w:val="TableContents"/>
              <w:spacing w:before="0" w:after="283"/>
              <w:rPr/>
            </w:pPr>
            <w:r>
              <w:rPr/>
              <w:t> </w:t>
            </w:r>
          </w:p>
        </w:tc>
        <w:tc>
          <w:tcPr>
            <w:tcW w:w="1498" w:type="dxa"/>
            <w:tcBorders/>
            <w:shd w:fill="CCEEFF"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2.8947</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202" w:type="dxa"/>
            <w:tcBorders/>
            <w:shd w:fill="CCEEFF" w:val="clear"/>
            <w:tcMar>
              <w:bottom w:w="0" w:type="dxa"/>
            </w:tcMar>
            <w:vAlign w:val="center"/>
          </w:tcPr>
          <w:p>
            <w:pPr>
              <w:pStyle w:val="TableContents"/>
              <w:spacing w:before="0" w:after="283"/>
              <w:rPr/>
            </w:pPr>
            <w:r>
              <w:rPr/>
              <w:t> </w:t>
            </w:r>
          </w:p>
        </w:tc>
        <w:tc>
          <w:tcPr>
            <w:tcW w:w="789" w:type="dxa"/>
            <w:tcBorders/>
            <w:shd w:fill="CCEEFF"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907</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397" w:type="dxa"/>
            <w:tcBorders/>
            <w:shd w:fill="CCEEFF" w:val="clear"/>
            <w:tcMar>
              <w:bottom w:w="0" w:type="dxa"/>
            </w:tcMar>
            <w:vAlign w:val="center"/>
          </w:tcPr>
          <w:p>
            <w:pPr>
              <w:pStyle w:val="TableContents"/>
              <w:spacing w:before="0" w:after="283"/>
              <w:rPr/>
            </w:pPr>
            <w:r>
              <w:rPr/>
              <w:t> </w:t>
            </w:r>
          </w:p>
        </w:tc>
        <w:tc>
          <w:tcPr>
            <w:tcW w:w="1530" w:type="dxa"/>
            <w:tcBorders/>
            <w:shd w:fill="CCEEFF"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18</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85"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725" w:type="dxa"/>
            <w:tcBorders/>
            <w:shd w:fill="CCEEFF"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889</w:t>
            </w:r>
          </w:p>
        </w:tc>
        <w:tc>
          <w:tcPr>
            <w:tcW w:w="81" w:type="dxa"/>
            <w:tcBorders/>
            <w:shd w:fill="CCEEFF" w:val="clear"/>
            <w:tcMar>
              <w:bottom w:w="0" w:type="dxa"/>
            </w:tcMar>
            <w:vAlign w:val="center"/>
          </w:tcPr>
          <w:p>
            <w:pPr>
              <w:pStyle w:val="TableContents"/>
              <w:spacing w:before="0" w:after="283"/>
              <w:rPr/>
            </w:pPr>
            <w:r>
              <w:rPr/>
              <w:t> </w:t>
            </w:r>
          </w:p>
        </w:tc>
      </w:tr>
      <w:tr>
        <w:trPr/>
        <w:tc>
          <w:tcPr>
            <w:tcW w:w="1783" w:type="dxa"/>
            <w:tcBorders/>
            <w:shd w:fill="FFFFFF" w:val="clear"/>
            <w:tcMar>
              <w:bottom w:w="0" w:type="dxa"/>
            </w:tcM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Raymond James &amp; Associates, Inc.</w:t>
            </w:r>
          </w:p>
        </w:tc>
        <w:tc>
          <w:tcPr>
            <w:tcW w:w="60" w:type="dxa"/>
            <w:tcBorders/>
            <w:shd w:fill="FFFFFF" w:val="clear"/>
            <w:tcMar>
              <w:bottom w:w="0" w:type="dxa"/>
            </w:tcMar>
            <w:vAlign w:val="center"/>
          </w:tcPr>
          <w:p>
            <w:pPr>
              <w:pStyle w:val="TableContents"/>
              <w:spacing w:before="0" w:after="283"/>
              <w:rPr/>
            </w:pPr>
            <w:r>
              <w:rPr/>
              <w:t> </w:t>
            </w:r>
          </w:p>
        </w:tc>
        <w:tc>
          <w:tcPr>
            <w:tcW w:w="1052" w:type="dxa"/>
            <w:tcBorders/>
            <w:shd w:fill="FFFFFF" w:val="clear"/>
            <w:tcMar>
              <w:bottom w:w="0"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November 2022</w:t>
            </w:r>
          </w:p>
        </w:tc>
        <w:tc>
          <w:tcPr>
            <w:tcW w:w="60" w:type="dxa"/>
            <w:tcBorders/>
            <w:shd w:fill="FFFFFF" w:val="clear"/>
            <w:tcMar>
              <w:bottom w:w="0" w:type="dxa"/>
            </w:tcMar>
            <w:vAlign w:val="center"/>
          </w:tcPr>
          <w:p>
            <w:pPr>
              <w:pStyle w:val="TableContents"/>
              <w:spacing w:before="0" w:after="283"/>
              <w:rPr/>
            </w:pPr>
            <w:r>
              <w:rPr/>
              <w:t> </w:t>
            </w:r>
          </w:p>
        </w:tc>
        <w:tc>
          <w:tcPr>
            <w:tcW w:w="96" w:type="dxa"/>
            <w:tcBorders/>
            <w:shd w:fill="FFFFFF" w:val="clear"/>
            <w:tcMar>
              <w:bottom w:w="0" w:type="dxa"/>
            </w:tcMar>
            <w:vAlign w:val="center"/>
          </w:tcPr>
          <w:p>
            <w:pPr>
              <w:pStyle w:val="TableContents"/>
              <w:spacing w:before="0" w:after="283"/>
              <w:rPr/>
            </w:pPr>
            <w:r>
              <w:rPr/>
              <w:t> </w:t>
            </w:r>
          </w:p>
        </w:tc>
        <w:tc>
          <w:tcPr>
            <w:tcW w:w="1117" w:type="dxa"/>
            <w:tcBorders/>
            <w:shd w:fill="FFFFFF"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29,426</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50" w:type="dxa"/>
            <w:tcBorders/>
            <w:shd w:fill="FFFFFF" w:val="clear"/>
            <w:tcMar>
              <w:bottom w:w="0" w:type="dxa"/>
            </w:tcMar>
            <w:vAlign w:val="center"/>
          </w:tcPr>
          <w:p>
            <w:pPr>
              <w:pStyle w:val="TableContents"/>
              <w:spacing w:before="0" w:after="283"/>
              <w:rPr/>
            </w:pPr>
            <w:r>
              <w:rPr/>
              <w:t> </w:t>
            </w:r>
          </w:p>
        </w:tc>
        <w:tc>
          <w:tcPr>
            <w:tcW w:w="1498" w:type="dxa"/>
            <w:tcBorders/>
            <w:shd w:fill="FFFFFF"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2.7830</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202" w:type="dxa"/>
            <w:tcBorders/>
            <w:shd w:fill="FFFFFF" w:val="clear"/>
            <w:tcMar>
              <w:bottom w:w="0" w:type="dxa"/>
            </w:tcMar>
            <w:vAlign w:val="center"/>
          </w:tcPr>
          <w:p>
            <w:pPr>
              <w:pStyle w:val="TableContents"/>
              <w:spacing w:before="0" w:after="283"/>
              <w:rPr/>
            </w:pPr>
            <w:r>
              <w:rPr/>
              <w:t> </w:t>
            </w:r>
          </w:p>
        </w:tc>
        <w:tc>
          <w:tcPr>
            <w:tcW w:w="789" w:type="dxa"/>
            <w:tcBorders/>
            <w:shd w:fill="FFFFFF"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82</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397" w:type="dxa"/>
            <w:tcBorders/>
            <w:shd w:fill="FFFFFF" w:val="clear"/>
            <w:tcMar>
              <w:bottom w:w="0" w:type="dxa"/>
            </w:tcMar>
            <w:vAlign w:val="center"/>
          </w:tcPr>
          <w:p>
            <w:pPr>
              <w:pStyle w:val="TableContents"/>
              <w:spacing w:before="0" w:after="283"/>
              <w:rPr/>
            </w:pPr>
            <w:r>
              <w:rPr/>
              <w:t> </w:t>
            </w:r>
          </w:p>
        </w:tc>
        <w:tc>
          <w:tcPr>
            <w:tcW w:w="1530" w:type="dxa"/>
            <w:tcBorders/>
            <w:shd w:fill="FFFFFF"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85" w:type="dxa"/>
            <w:tcBorders/>
            <w:shd w:fill="FFFF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725" w:type="dxa"/>
            <w:tcBorders/>
            <w:shd w:fill="FFFFFF"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80</w:t>
            </w:r>
          </w:p>
        </w:tc>
        <w:tc>
          <w:tcPr>
            <w:tcW w:w="81" w:type="dxa"/>
            <w:tcBorders/>
            <w:shd w:fill="FFFFFF" w:val="clear"/>
            <w:tcMar>
              <w:bottom w:w="0" w:type="dxa"/>
            </w:tcMar>
            <w:vAlign w:val="center"/>
          </w:tcPr>
          <w:p>
            <w:pPr>
              <w:pStyle w:val="TableContents"/>
              <w:spacing w:before="0" w:after="283"/>
              <w:rPr/>
            </w:pPr>
            <w:r>
              <w:rPr/>
              <w:t> </w:t>
            </w:r>
          </w:p>
        </w:tc>
      </w:tr>
      <w:tr>
        <w:trPr/>
        <w:tc>
          <w:tcPr>
            <w:tcW w:w="1783" w:type="dxa"/>
            <w:tcBorders/>
            <w:shd w:fill="CCEEFF" w:val="clear"/>
            <w:tcMar>
              <w:bottom w:w="0" w:type="dxa"/>
            </w:tcM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Raymond James &amp; Associates, Inc.</w:t>
            </w:r>
          </w:p>
        </w:tc>
        <w:tc>
          <w:tcPr>
            <w:tcW w:w="60" w:type="dxa"/>
            <w:tcBorders/>
            <w:shd w:fill="CCEEFF" w:val="clear"/>
            <w:tcMar>
              <w:bottom w:w="0" w:type="dxa"/>
            </w:tcMar>
            <w:vAlign w:val="center"/>
          </w:tcPr>
          <w:p>
            <w:pPr>
              <w:pStyle w:val="TableContents"/>
              <w:spacing w:before="0" w:after="283"/>
              <w:rPr/>
            </w:pPr>
            <w:r>
              <w:rPr/>
              <w:t> </w:t>
            </w:r>
          </w:p>
        </w:tc>
        <w:tc>
          <w:tcPr>
            <w:tcW w:w="1052" w:type="dxa"/>
            <w:tcBorders/>
            <w:shd w:fill="CCEEFF" w:val="clear"/>
            <w:tcMar>
              <w:bottom w:w="0"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February 2023</w:t>
            </w:r>
          </w:p>
        </w:tc>
        <w:tc>
          <w:tcPr>
            <w:tcW w:w="60" w:type="dxa"/>
            <w:tcBorders/>
            <w:shd w:fill="CCEEFF" w:val="clear"/>
            <w:tcMar>
              <w:bottom w:w="0" w:type="dxa"/>
            </w:tcMar>
            <w:vAlign w:val="center"/>
          </w:tcPr>
          <w:p>
            <w:pPr>
              <w:pStyle w:val="TableContents"/>
              <w:spacing w:before="0" w:after="283"/>
              <w:rPr/>
            </w:pPr>
            <w:r>
              <w:rPr/>
              <w:t> </w:t>
            </w:r>
          </w:p>
        </w:tc>
        <w:tc>
          <w:tcPr>
            <w:tcW w:w="96" w:type="dxa"/>
            <w:tcBorders/>
            <w:shd w:fill="CCEEFF" w:val="clear"/>
            <w:tcMar>
              <w:bottom w:w="0" w:type="dxa"/>
            </w:tcMar>
            <w:vAlign w:val="center"/>
          </w:tcPr>
          <w:p>
            <w:pPr>
              <w:pStyle w:val="TableContents"/>
              <w:spacing w:before="0" w:after="283"/>
              <w:rPr/>
            </w:pPr>
            <w:r>
              <w:rPr/>
              <w:t> </w:t>
            </w:r>
          </w:p>
        </w:tc>
        <w:tc>
          <w:tcPr>
            <w:tcW w:w="1117" w:type="dxa"/>
            <w:tcBorders/>
            <w:shd w:fill="CCEEFF"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158,149</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50" w:type="dxa"/>
            <w:tcBorders/>
            <w:shd w:fill="CCEEFF" w:val="clear"/>
            <w:tcMar>
              <w:bottom w:w="0" w:type="dxa"/>
            </w:tcMar>
            <w:vAlign w:val="center"/>
          </w:tcPr>
          <w:p>
            <w:pPr>
              <w:pStyle w:val="TableContents"/>
              <w:spacing w:before="0" w:after="283"/>
              <w:rPr/>
            </w:pPr>
            <w:r>
              <w:rPr/>
              <w:t> </w:t>
            </w:r>
          </w:p>
        </w:tc>
        <w:tc>
          <w:tcPr>
            <w:tcW w:w="1498" w:type="dxa"/>
            <w:tcBorders/>
            <w:shd w:fill="CCEEFF"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2.8111</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202" w:type="dxa"/>
            <w:tcBorders/>
            <w:shd w:fill="CCEEFF" w:val="clear"/>
            <w:tcMar>
              <w:bottom w:w="0" w:type="dxa"/>
            </w:tcMar>
            <w:vAlign w:val="center"/>
          </w:tcPr>
          <w:p>
            <w:pPr>
              <w:pStyle w:val="TableContents"/>
              <w:spacing w:before="0" w:after="283"/>
              <w:rPr/>
            </w:pPr>
            <w:r>
              <w:rPr/>
              <w:t> </w:t>
            </w:r>
          </w:p>
        </w:tc>
        <w:tc>
          <w:tcPr>
            <w:tcW w:w="789" w:type="dxa"/>
            <w:tcBorders/>
            <w:shd w:fill="CCEEFF"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445</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397" w:type="dxa"/>
            <w:tcBorders/>
            <w:shd w:fill="CCEEFF" w:val="clear"/>
            <w:tcMar>
              <w:bottom w:w="0" w:type="dxa"/>
            </w:tcMar>
            <w:vAlign w:val="center"/>
          </w:tcPr>
          <w:p>
            <w:pPr>
              <w:pStyle w:val="TableContents"/>
              <w:spacing w:before="0" w:after="283"/>
              <w:rPr/>
            </w:pPr>
            <w:r>
              <w:rPr/>
              <w:t> </w:t>
            </w:r>
          </w:p>
        </w:tc>
        <w:tc>
          <w:tcPr>
            <w:tcW w:w="1530" w:type="dxa"/>
            <w:tcBorders/>
            <w:shd w:fill="CCEEFF"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9</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85"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725" w:type="dxa"/>
            <w:tcBorders/>
            <w:shd w:fill="CCEEFF"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436</w:t>
            </w:r>
          </w:p>
        </w:tc>
        <w:tc>
          <w:tcPr>
            <w:tcW w:w="81" w:type="dxa"/>
            <w:tcBorders/>
            <w:shd w:fill="CCEEFF" w:val="clear"/>
            <w:tcMar>
              <w:bottom w:w="0" w:type="dxa"/>
            </w:tcMar>
            <w:vAlign w:val="center"/>
          </w:tcPr>
          <w:p>
            <w:pPr>
              <w:pStyle w:val="TableContents"/>
              <w:spacing w:before="0" w:after="283"/>
              <w:rPr/>
            </w:pPr>
            <w:r>
              <w:rPr/>
              <w:t> </w:t>
            </w:r>
          </w:p>
        </w:tc>
      </w:tr>
      <w:tr>
        <w:trPr/>
        <w:tc>
          <w:tcPr>
            <w:tcW w:w="1783" w:type="dxa"/>
            <w:tcBorders/>
            <w:shd w:fill="FFFFFF" w:val="clear"/>
            <w:tcMar>
              <w:bottom w:w="0" w:type="dxa"/>
            </w:tcMar>
            <w:vAlign w:val="center"/>
          </w:tcPr>
          <w:p>
            <w:pPr>
              <w:pStyle w:val="TableContents"/>
              <w:spacing w:before="0" w:after="0"/>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tcMar>
              <w:bottom w:w="0" w:type="dxa"/>
            </w:tcMar>
            <w:vAlign w:val="center"/>
          </w:tcPr>
          <w:p>
            <w:pPr>
              <w:pStyle w:val="TableContents"/>
              <w:spacing w:before="0" w:after="283"/>
              <w:rPr/>
            </w:pPr>
            <w:r>
              <w:rPr/>
              <w:t> </w:t>
            </w:r>
          </w:p>
        </w:tc>
        <w:tc>
          <w:tcPr>
            <w:tcW w:w="1052"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96" w:type="dxa"/>
            <w:tcBorders/>
            <w:shd w:fill="FFFFFF" w:val="clear"/>
            <w:tcMar>
              <w:bottom w:w="0" w:type="dxa"/>
            </w:tcMar>
            <w:vAlign w:val="center"/>
          </w:tcPr>
          <w:p>
            <w:pPr>
              <w:pStyle w:val="TableContents"/>
              <w:spacing w:before="0" w:after="283"/>
              <w:ind w:left="0" w:right="0" w:hanging="0"/>
              <w:rPr/>
            </w:pPr>
            <w:r>
              <w:rPr/>
              <w:t> </w:t>
            </w:r>
          </w:p>
        </w:tc>
        <w:tc>
          <w:tcPr>
            <w:tcW w:w="1117" w:type="dxa"/>
            <w:tcBorders/>
            <w:shd w:fill="FFFFFF" w:val="clear"/>
            <w:tcMar>
              <w:bottom w:w="0"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702,573</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50" w:type="dxa"/>
            <w:tcBorders/>
            <w:shd w:fill="FFFFFF" w:val="clear"/>
            <w:tcMar>
              <w:bottom w:w="0" w:type="dxa"/>
            </w:tcMar>
            <w:vAlign w:val="center"/>
          </w:tcPr>
          <w:p>
            <w:pPr>
              <w:pStyle w:val="TableContents"/>
              <w:spacing w:before="0" w:after="283"/>
              <w:rPr/>
            </w:pPr>
            <w:r>
              <w:rPr/>
              <w:t> </w:t>
            </w:r>
          </w:p>
        </w:tc>
        <w:tc>
          <w:tcPr>
            <w:tcW w:w="1498"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ind w:left="0" w:right="0" w:hanging="0"/>
              <w:rPr/>
            </w:pPr>
            <w:r>
              <w:rPr/>
              <w:t> </w:t>
            </w:r>
          </w:p>
        </w:tc>
        <w:tc>
          <w:tcPr>
            <w:tcW w:w="202" w:type="dxa"/>
            <w:tcBorders/>
            <w:shd w:fill="FFFFFF" w:val="clear"/>
            <w:tcMar>
              <w:bottom w:w="0" w:type="dxa"/>
            </w:tcM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789" w:type="dxa"/>
            <w:tcBorders/>
            <w:shd w:fill="FFFFFF" w:val="clear"/>
            <w:tcMar>
              <w:bottom w:w="0"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2,680</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397" w:type="dxa"/>
            <w:tcBorders/>
            <w:shd w:fill="FFFFFF" w:val="clear"/>
            <w:tcMar>
              <w:bottom w:w="0" w:type="dxa"/>
            </w:tcMar>
            <w:vAlign w:val="center"/>
          </w:tcPr>
          <w:p>
            <w:pPr>
              <w:pStyle w:val="TableContents"/>
              <w:spacing w:before="0" w:after="283"/>
              <w:ind w:left="0" w:right="0" w:hanging="0"/>
              <w:rPr/>
            </w:pPr>
            <w:r>
              <w:rPr/>
              <w:t> </w:t>
            </w:r>
          </w:p>
        </w:tc>
        <w:tc>
          <w:tcPr>
            <w:tcW w:w="1530" w:type="dxa"/>
            <w:tcBorders/>
            <w:shd w:fill="FFFFFF" w:val="clear"/>
            <w:tcMar>
              <w:bottom w:w="0"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53</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ind w:left="0" w:right="0" w:hanging="0"/>
              <w:rPr/>
            </w:pPr>
            <w:r>
              <w:rPr/>
              <w:t> </w:t>
            </w:r>
          </w:p>
        </w:tc>
        <w:tc>
          <w:tcPr>
            <w:tcW w:w="185" w:type="dxa"/>
            <w:tcBorders/>
            <w:shd w:fill="FFFFFF" w:val="clear"/>
            <w:tcMar>
              <w:bottom w:w="0" w:type="dxa"/>
            </w:tcM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725" w:type="dxa"/>
            <w:tcBorders/>
            <w:shd w:fill="FFFFFF" w:val="clear"/>
            <w:tcMar>
              <w:bottom w:w="0"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2,627</w:t>
            </w:r>
          </w:p>
        </w:tc>
        <w:tc>
          <w:tcPr>
            <w:tcW w:w="81" w:type="dxa"/>
            <w:tcBorders/>
            <w:shd w:fill="FFFFFF" w:val="clear"/>
            <w:tcMar>
              <w:bottom w:w="0" w:type="dxa"/>
            </w:tcMar>
            <w:vAlign w:val="center"/>
          </w:tcPr>
          <w:p>
            <w:pPr>
              <w:pStyle w:val="TableContents"/>
              <w:spacing w:before="0" w:after="283"/>
              <w:rPr/>
            </w:pPr>
            <w:r>
              <w:rPr/>
              <w:t> </w:t>
            </w:r>
          </w:p>
        </w:tc>
      </w:tr>
    </w:tbl>
    <w:p>
      <w:pPr>
        <w:pStyle w:val="TextBody"/>
        <w:spacing w:before="0" w:after="0"/>
        <w:ind w:left="0" w:right="0" w:firstLine="720"/>
        <w:jc w:val="left"/>
        <w:rPr/>
      </w:pPr>
      <w:r>
        <w:rPr/>
        <w:t> </w:t>
      </w:r>
    </w:p>
    <w:p>
      <w:pPr>
        <w:pStyle w:val="TextBody"/>
        <w:spacing w:before="0" w:after="0"/>
        <w:ind w:left="0" w:right="0" w:firstLine="720"/>
        <w:jc w:val="left"/>
        <w:rPr>
          <w:rFonts w:ascii="Times New Roman;Times;serif" w:hAnsi="Times New Roman;Times;serif"/>
          <w:sz w:val="20"/>
        </w:rPr>
      </w:pPr>
      <w:r>
        <w:rPr>
          <w:rFonts w:ascii="Times New Roman;Times;serif" w:hAnsi="Times New Roman;Times;serif"/>
          <w:sz w:val="20"/>
        </w:rPr>
        <w:t>On January 5, 2023, the Company filed a Registration statement on Form S-3 with the Securities and Exchange Commission, which was declared effective on March 21, 2023, providing for the public offer and sale of certain securities of the Company from time to time, at our discretion, up to an aggregate amount of $185 million. Pursuant to Rule 415(a)(6) under the Securities Act, the securities registered pursuant to this registration statement include unsold securities previously registered for sale pursuant to our previously filed Registration Statement on Form S-3, which became effective on January 9, 2020.</w:t>
      </w:r>
    </w:p>
    <w:p>
      <w:pPr>
        <w:pStyle w:val="TextBody"/>
        <w:spacing w:before="0" w:after="0"/>
        <w:ind w:left="0" w:right="0" w:firstLine="720"/>
        <w:jc w:val="left"/>
        <w:rPr/>
      </w:pPr>
      <w:r>
        <w:rPr/>
        <w:t> </w:t>
      </w:r>
    </w:p>
    <w:p>
      <w:pPr>
        <w:pStyle w:val="TextBody"/>
        <w:spacing w:before="0" w:after="0"/>
        <w:ind w:left="0" w:right="0" w:firstLine="720"/>
        <w:jc w:val="left"/>
        <w:rPr>
          <w:rFonts w:ascii="Times New Roman;Times;serif" w:hAnsi="Times New Roman;Times;serif"/>
          <w:sz w:val="20"/>
        </w:rPr>
      </w:pPr>
      <w:r>
        <w:rPr>
          <w:rFonts w:ascii="Times New Roman;Times;serif" w:hAnsi="Times New Roman;Times;serif"/>
          <w:sz w:val="20"/>
        </w:rPr>
        <w:t>On March 24, 2023, we entered into another Equity Distribution Agreement (the “Agreement”) with the Sales Agent pursuant to which the Company may issue and sell shares of the Company’s common stock, par value $0.001 per share (the “Shares”) having an aggregate offering price of up to $35 million (the “Third ATM Offering”), from time to time through the Sales Agent. Upon delivery of a placement notice and subject to the terms and conditions of the Agreement, sales, if any, of the Shares will be made through the Sales Agent in transactions that are deemed to be “at the market” offerings as defined in Rule 415 of the Securities Act of 1933, as amended (the “Securities Act”), including sales made through the facilities of the Nasdaq Global Market, the principal trading market for the Company’s common stock, on any other existing trading market for the Company’s common stock, to or through a market maker or as otherwise agreed by the Company and the Sales Agent. In the placement notice, the Company will designate the maximum number of Shares to be sold through the Sales Agent, the time period during which sales are requested to be made, the minimum price for the Shares to be sold, and any limitation on the number of Shares that may be sold in any one day. Subject to the terms and conditions of the Agreement, the Sales Agent will use its commercially reasonable efforts to sell Shares on the Company’s behalf up to the designated amount specified in the placement notice. The Company has no obligation to sell any Shares under the Agreement and may at any time suspend offers and sales of the Shares under the Agreement.</w:t>
      </w:r>
    </w:p>
    <w:p>
      <w:pPr>
        <w:pStyle w:val="TextBody"/>
        <w:spacing w:before="0" w:after="0"/>
        <w:ind w:left="0" w:right="0" w:firstLine="720"/>
        <w:jc w:val="left"/>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27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firstLine="720"/>
        <w:jc w:val="left"/>
        <w:rPr>
          <w:rFonts w:ascii="Times New Roman;Times;serif" w:hAnsi="Times New Roman;Times;serif"/>
          <w:sz w:val="20"/>
        </w:rPr>
      </w:pPr>
      <w:r>
        <w:rPr>
          <w:rFonts w:ascii="Times New Roman;Times;serif" w:hAnsi="Times New Roman;Times;serif"/>
          <w:sz w:val="20"/>
        </w:rPr>
        <w:t>The Agreement provides that the Sales Agent will be entitled to compensation of up to 2% of the gross sales price of the Shares sold through the Sales Agent from time to time. The Company has also agreed to reimburse the Sales Agent for certain specified expenses in connection with the registration of Shares under state blue sky laws and any filing with, and clearance of the offering by, the Financial Industry Regulatory Authority Inc., not to exceed $10,000 in the aggregate, and any associated application fees incurred. Additionally, if the Agreement is terminated under certain circumstances, and the Company fails to sell a minimum amount of the Shares as set forth in the Agreement, then the Company has agreed to reimburse the Sales Agent for reasonable out-of-pocket expenses, including the reasonable fees and disbursements of counsel incurred by the Sales Agent, up to a maximum of $30,000 in the aggregate. The Company agreed to indemnify the Sales Agent against certain liabilities, including liabilities under the Securities Act, or to contribute to payments that the Sales Agent may be required to make because of any of those liabilities.</w:t>
      </w:r>
    </w:p>
    <w:p>
      <w:pPr>
        <w:pStyle w:val="TextBody"/>
        <w:spacing w:before="0" w:after="0"/>
        <w:ind w:left="0" w:right="0" w:firstLine="720"/>
        <w:jc w:val="left"/>
        <w:rPr/>
      </w:pPr>
      <w:r>
        <w:rPr/>
        <w:t> </w:t>
      </w:r>
    </w:p>
    <w:p>
      <w:pPr>
        <w:pStyle w:val="TextBody"/>
        <w:spacing w:before="0" w:after="0"/>
        <w:ind w:left="0" w:right="0" w:firstLine="720"/>
        <w:jc w:val="left"/>
        <w:rPr>
          <w:rFonts w:ascii="Times New Roman;Times;serif" w:hAnsi="Times New Roman;Times;serif"/>
          <w:sz w:val="20"/>
        </w:rPr>
      </w:pPr>
      <w:r>
        <w:rPr>
          <w:rFonts w:ascii="Times New Roman;Times;serif" w:hAnsi="Times New Roman;Times;serif"/>
          <w:sz w:val="20"/>
          <w:highlight w:val="white"/>
        </w:rPr>
        <w:t xml:space="preserve">As of </w:t>
      </w:r>
      <w:r>
        <w:rPr>
          <w:rFonts w:ascii="Times New Roman;Times;serif" w:hAnsi="Times New Roman;Times;serif"/>
          <w:sz w:val="20"/>
        </w:rPr>
        <w:t>March 31, 2023</w:t>
      </w:r>
      <w:r>
        <w:rPr>
          <w:rFonts w:ascii="Times New Roman;Times;serif" w:hAnsi="Times New Roman;Times;serif"/>
          <w:sz w:val="20"/>
          <w:highlight w:val="white"/>
        </w:rPr>
        <w:t>, no gross sale has been made through the Third ATM Offering, thus the amount of common stock we have available to sell under the Third ATM Offering is $35 million. </w:t>
      </w:r>
    </w:p>
    <w:p>
      <w:pPr>
        <w:pStyle w:val="TextBody"/>
        <w:spacing w:before="0" w:after="0"/>
        <w:ind w:left="0" w:right="0" w:firstLine="720"/>
        <w:jc w:val="left"/>
        <w:rPr/>
      </w:pPr>
      <w:r>
        <w:rPr/>
        <w:t> </w:t>
      </w:r>
    </w:p>
    <w:p>
      <w:pPr>
        <w:pStyle w:val="TextBody"/>
        <w:spacing w:before="0" w:after="0"/>
        <w:ind w:left="0" w:right="0" w:hanging="0"/>
        <w:jc w:val="left"/>
        <w:rPr>
          <w:rFonts w:ascii="Times New Roman;Times;serif" w:hAnsi="Times New Roman;Times;serif"/>
          <w:i/>
          <w:sz w:val="20"/>
        </w:rPr>
      </w:pPr>
      <w:r>
        <w:rPr>
          <w:rFonts w:ascii="Times New Roman;Times;serif" w:hAnsi="Times New Roman;Times;serif"/>
          <w:i/>
          <w:sz w:val="20"/>
        </w:rPr>
        <w:t xml:space="preserve">Note Offering </w:t>
      </w:r>
    </w:p>
    <w:p>
      <w:pPr>
        <w:pStyle w:val="TextBody"/>
        <w:spacing w:before="0" w:after="0"/>
        <w:ind w:left="0" w:right="0" w:firstLine="720"/>
        <w:jc w:val="left"/>
        <w:rPr/>
      </w:pPr>
      <w:r>
        <w:rPr/>
        <w:t> </w:t>
      </w:r>
    </w:p>
    <w:p>
      <w:pPr>
        <w:pStyle w:val="TextBody"/>
        <w:spacing w:before="0" w:after="0"/>
        <w:ind w:left="0" w:right="0" w:firstLine="720"/>
        <w:jc w:val="left"/>
        <w:rPr>
          <w:rFonts w:ascii="Times New Roman;Times;serif" w:hAnsi="Times New Roman;Times;serif"/>
          <w:sz w:val="20"/>
        </w:rPr>
      </w:pPr>
      <w:r>
        <w:rPr>
          <w:rFonts w:ascii="Times New Roman;Times;serif" w:hAnsi="Times New Roman;Times;serif"/>
          <w:sz w:val="20"/>
        </w:rPr>
        <w:t>On March 5, 2019, the Company issued $80.5 million of 5% convertible senior notes due 2024 (the "Notes"), bearing interest at a rate of 5% per year maturing on March 15, 2024, unless earlier repurchased, redeemed or converted in accordance with their terms. The sale of the Notes generated net proceeds of $76.4 million, after expenses. Also, refer to Note 12 “Convertible Senior Notes” to the consolidated financial statements for further discussion of the Notes.</w:t>
      </w:r>
    </w:p>
    <w:p>
      <w:pPr>
        <w:pStyle w:val="TextBody"/>
        <w:spacing w:before="0" w:after="0"/>
        <w:ind w:left="0" w:right="0" w:firstLine="720"/>
        <w:jc w:val="left"/>
        <w:rPr/>
      </w:pPr>
      <w:r>
        <w:rPr/>
        <w:t> </w:t>
      </w:r>
    </w:p>
    <w:p>
      <w:pPr>
        <w:pStyle w:val="TextBody"/>
        <w:spacing w:before="0" w:after="0"/>
        <w:ind w:left="0" w:right="0" w:hanging="0"/>
        <w:jc w:val="left"/>
        <w:rPr>
          <w:rFonts w:ascii="Times New Roman;Times;serif" w:hAnsi="Times New Roman;Times;serif"/>
          <w:i/>
          <w:sz w:val="20"/>
        </w:rPr>
      </w:pPr>
      <w:r>
        <w:rPr>
          <w:rFonts w:ascii="Times New Roman;Times;serif" w:hAnsi="Times New Roman;Times;serif"/>
          <w:i/>
          <w:sz w:val="20"/>
        </w:rPr>
        <w:t>Operating activities</w:t>
      </w:r>
    </w:p>
    <w:p>
      <w:pPr>
        <w:pStyle w:val="TextBody"/>
        <w:spacing w:before="0" w:after="0"/>
        <w:ind w:left="0" w:right="0" w:firstLine="180"/>
        <w:jc w:val="left"/>
        <w:rPr/>
      </w:pPr>
      <w:r>
        <w:rPr/>
        <w:t> </w:t>
      </w:r>
    </w:p>
    <w:p>
      <w:pPr>
        <w:pStyle w:val="TextBody"/>
        <w:spacing w:before="0" w:after="0"/>
        <w:ind w:left="0" w:right="0" w:firstLine="720"/>
        <w:jc w:val="left"/>
        <w:rPr>
          <w:rFonts w:ascii="Times New Roman;Times;serif" w:hAnsi="Times New Roman;Times;serif"/>
          <w:sz w:val="20"/>
        </w:rPr>
      </w:pPr>
      <w:r>
        <w:rPr>
          <w:rFonts w:ascii="Times New Roman;Times;serif" w:hAnsi="Times New Roman;Times;serif"/>
          <w:sz w:val="20"/>
        </w:rPr>
        <w:t>The table below sets forth selected cash flow data for the periods presented (in thousands):</w:t>
      </w:r>
    </w:p>
    <w:p>
      <w:pPr>
        <w:pStyle w:val="TextBody"/>
        <w:spacing w:before="0" w:after="0"/>
        <w:ind w:left="0" w:right="0" w:firstLine="720"/>
        <w:jc w:val="left"/>
        <w:rPr/>
      </w:pPr>
      <w:r>
        <w:rPr/>
        <w:t>​</w:t>
      </w:r>
    </w:p>
    <w:tbl>
      <w:tblPr>
        <w:tblW w:w="7138" w:type="dxa"/>
        <w:jc w:val="left"/>
        <w:tblInd w:w="0" w:type="dxa"/>
        <w:tblCellMar>
          <w:top w:w="0" w:type="dxa"/>
          <w:left w:w="0" w:type="dxa"/>
          <w:bottom w:w="0" w:type="dxa"/>
          <w:right w:w="0" w:type="dxa"/>
        </w:tblCellMar>
      </w:tblPr>
      <w:tblGrid>
        <w:gridCol w:w="4355"/>
        <w:gridCol w:w="60"/>
        <w:gridCol w:w="223"/>
        <w:gridCol w:w="974"/>
        <w:gridCol w:w="142"/>
        <w:gridCol w:w="107"/>
        <w:gridCol w:w="223"/>
        <w:gridCol w:w="974"/>
        <w:gridCol w:w="80"/>
      </w:tblGrid>
      <w:tr>
        <w:trPr/>
        <w:tc>
          <w:tcPr>
            <w:tcW w:w="43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643"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 March 31,</w:t>
            </w:r>
          </w:p>
        </w:tc>
        <w:tc>
          <w:tcPr>
            <w:tcW w:w="80" w:type="dxa"/>
            <w:tcBorders/>
            <w:shd w:fill="FFFFFF" w:val="clear"/>
            <w:vAlign w:val="center"/>
          </w:tcPr>
          <w:p>
            <w:pPr>
              <w:pStyle w:val="TableContents"/>
              <w:spacing w:before="0" w:after="283"/>
              <w:rPr/>
            </w:pPr>
            <w:r>
              <w:rPr/>
              <w:t> </w:t>
            </w:r>
          </w:p>
        </w:tc>
      </w:tr>
      <w:tr>
        <w:trPr/>
        <w:tc>
          <w:tcPr>
            <w:tcW w:w="4355" w:type="dxa"/>
            <w:tcBorders/>
            <w:shd w:fill="FFFFFF" w:val="clear"/>
            <w:vAlign w:val="center"/>
          </w:tcPr>
          <w:p>
            <w:pPr>
              <w:pStyle w:val="TableContents"/>
              <w:spacing w:before="0" w:after="0"/>
              <w:rPr/>
            </w:pPr>
            <w:r>
              <w:rPr/>
              <w:t>​</w:t>
            </w:r>
          </w:p>
        </w:tc>
        <w:tc>
          <w:tcPr>
            <w:tcW w:w="60" w:type="dxa"/>
            <w:tcBorders/>
            <w:shd w:fill="FFFFFF" w:val="clear"/>
            <w:vAlign w:val="center"/>
          </w:tcPr>
          <w:p>
            <w:pPr>
              <w:pStyle w:val="TableContents"/>
              <w:spacing w:before="0" w:after="283"/>
              <w:ind w:left="0" w:right="0" w:hanging="0"/>
              <w:rPr/>
            </w:pPr>
            <w:r>
              <w:rPr/>
              <w:t> </w:t>
            </w:r>
          </w:p>
        </w:tc>
        <w:tc>
          <w:tcPr>
            <w:tcW w:w="1197"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142" w:type="dxa"/>
            <w:tcBorders/>
            <w:shd w:fill="FFFFFF" w:val="clear"/>
            <w:vAlign w:val="center"/>
          </w:tcPr>
          <w:p>
            <w:pPr>
              <w:pStyle w:val="TableContents"/>
              <w:spacing w:before="0" w:after="283"/>
              <w:rPr/>
            </w:pPr>
            <w:r>
              <w:rPr/>
              <w:t> </w:t>
            </w:r>
          </w:p>
        </w:tc>
        <w:tc>
          <w:tcPr>
            <w:tcW w:w="107" w:type="dxa"/>
            <w:tcBorders/>
            <w:shd w:fill="FFFFFF" w:val="clear"/>
            <w:vAlign w:val="center"/>
          </w:tcPr>
          <w:p>
            <w:pPr>
              <w:pStyle w:val="TableContents"/>
              <w:spacing w:before="0" w:after="283"/>
              <w:ind w:left="0" w:right="0" w:hanging="0"/>
              <w:rPr/>
            </w:pPr>
            <w:r>
              <w:rPr/>
              <w:t> </w:t>
            </w:r>
          </w:p>
        </w:tc>
        <w:tc>
          <w:tcPr>
            <w:tcW w:w="1197"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80" w:type="dxa"/>
            <w:tcBorders/>
            <w:shd w:fill="FFFFFF" w:val="clear"/>
            <w:vAlign w:val="center"/>
          </w:tcPr>
          <w:p>
            <w:pPr>
              <w:pStyle w:val="TableContents"/>
              <w:spacing w:before="0" w:after="283"/>
              <w:rPr/>
            </w:pPr>
            <w:r>
              <w:rPr/>
              <w:t> </w:t>
            </w:r>
          </w:p>
        </w:tc>
      </w:tr>
      <w:tr>
        <w:trPr/>
        <w:tc>
          <w:tcPr>
            <w:tcW w:w="4355" w:type="dxa"/>
            <w:tcBorders/>
            <w:shd w:fill="CCEE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Net cash used in operating activities</w:t>
            </w:r>
          </w:p>
        </w:tc>
        <w:tc>
          <w:tcPr>
            <w:tcW w:w="60" w:type="dxa"/>
            <w:tcBorders/>
            <w:shd w:fill="CCEEFF" w:val="clear"/>
            <w:vAlign w:val="center"/>
          </w:tcPr>
          <w:p>
            <w:pPr>
              <w:pStyle w:val="TableContents"/>
              <w:spacing w:before="0" w:after="283"/>
              <w:ind w:left="0" w:right="0" w:hanging="0"/>
              <w:rPr/>
            </w:pPr>
            <w:r>
              <w:rPr/>
              <w:t> </w:t>
            </w:r>
          </w:p>
        </w:tc>
        <w:tc>
          <w:tcPr>
            <w:tcW w:w="223" w:type="dxa"/>
            <w:tcBorders/>
            <w:shd w:fill="CCEEFF" w:val="cle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974"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(9,390</w:t>
            </w:r>
          </w:p>
        </w:tc>
        <w:tc>
          <w:tcPr>
            <w:tcW w:w="142"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107" w:type="dxa"/>
            <w:tcBorders/>
            <w:shd w:fill="CCEEFF" w:val="clear"/>
            <w:vAlign w:val="center"/>
          </w:tcPr>
          <w:p>
            <w:pPr>
              <w:pStyle w:val="TableContents"/>
              <w:spacing w:before="0" w:after="283"/>
              <w:ind w:left="0" w:right="0" w:hanging="0"/>
              <w:rPr/>
            </w:pPr>
            <w:r>
              <w:rPr/>
              <w:t> </w:t>
            </w:r>
          </w:p>
        </w:tc>
        <w:tc>
          <w:tcPr>
            <w:tcW w:w="223" w:type="dxa"/>
            <w:tcBorders/>
            <w:shd w:fill="CCEEFF" w:val="cle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974"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(3,603</w:t>
            </w:r>
          </w:p>
        </w:tc>
        <w:tc>
          <w:tcPr>
            <w:tcW w:w="80"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r>
      <w:tr>
        <w:trPr/>
        <w:tc>
          <w:tcPr>
            <w:tcW w:w="4355" w:type="dxa"/>
            <w:tcBorders/>
            <w:shd w:fill="FFFF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Net cash used in investing activities</w:t>
            </w:r>
          </w:p>
        </w:tc>
        <w:tc>
          <w:tcPr>
            <w:tcW w:w="60" w:type="dxa"/>
            <w:tcBorders/>
            <w:shd w:fill="FFFFFF" w:val="clear"/>
            <w:vAlign w:val="center"/>
          </w:tcPr>
          <w:p>
            <w:pPr>
              <w:pStyle w:val="TableContents"/>
              <w:spacing w:before="0" w:after="283"/>
              <w:rPr/>
            </w:pPr>
            <w:r>
              <w:rPr/>
              <w:t> </w:t>
            </w:r>
          </w:p>
        </w:tc>
        <w:tc>
          <w:tcPr>
            <w:tcW w:w="223" w:type="dxa"/>
            <w:tcBorders/>
            <w:shd w:fill="FFFFFF" w:val="clear"/>
            <w:vAlign w:val="center"/>
          </w:tcPr>
          <w:p>
            <w:pPr>
              <w:pStyle w:val="TableContents"/>
              <w:spacing w:before="0" w:after="283"/>
              <w:ind w:left="0" w:right="0" w:hanging="0"/>
              <w:rPr/>
            </w:pPr>
            <w:r>
              <w:rPr/>
              <w:t> </w:t>
            </w:r>
          </w:p>
        </w:tc>
        <w:tc>
          <w:tcPr>
            <w:tcW w:w="974"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(783</w:t>
            </w:r>
          </w:p>
        </w:tc>
        <w:tc>
          <w:tcPr>
            <w:tcW w:w="142"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107" w:type="dxa"/>
            <w:tcBorders/>
            <w:shd w:fill="FFFFFF" w:val="clear"/>
            <w:vAlign w:val="center"/>
          </w:tcPr>
          <w:p>
            <w:pPr>
              <w:pStyle w:val="TableContents"/>
              <w:spacing w:before="0" w:after="283"/>
              <w:rPr/>
            </w:pPr>
            <w:r>
              <w:rPr/>
              <w:t> </w:t>
            </w:r>
          </w:p>
        </w:tc>
        <w:tc>
          <w:tcPr>
            <w:tcW w:w="223" w:type="dxa"/>
            <w:tcBorders/>
            <w:shd w:fill="FFFFFF" w:val="clear"/>
            <w:vAlign w:val="center"/>
          </w:tcPr>
          <w:p>
            <w:pPr>
              <w:pStyle w:val="TableContents"/>
              <w:spacing w:before="0" w:after="283"/>
              <w:ind w:left="0" w:right="0" w:hanging="0"/>
              <w:rPr/>
            </w:pPr>
            <w:r>
              <w:rPr/>
              <w:t> </w:t>
            </w:r>
          </w:p>
        </w:tc>
        <w:tc>
          <w:tcPr>
            <w:tcW w:w="974"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(1,051</w:t>
            </w:r>
          </w:p>
        </w:tc>
        <w:tc>
          <w:tcPr>
            <w:tcW w:w="8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r>
      <w:tr>
        <w:trPr/>
        <w:tc>
          <w:tcPr>
            <w:tcW w:w="4355" w:type="dxa"/>
            <w:tcBorders/>
            <w:shd w:fill="CCEE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Net cash provided by financing activities</w:t>
            </w:r>
          </w:p>
        </w:tc>
        <w:tc>
          <w:tcPr>
            <w:tcW w:w="60" w:type="dxa"/>
            <w:tcBorders/>
            <w:shd w:fill="CCEEFF" w:val="clear"/>
            <w:vAlign w:val="center"/>
          </w:tcPr>
          <w:p>
            <w:pPr>
              <w:pStyle w:val="TableContents"/>
              <w:spacing w:before="0" w:after="283"/>
              <w:rPr/>
            </w:pPr>
            <w:r>
              <w:rPr/>
              <w:t> </w:t>
            </w:r>
          </w:p>
        </w:tc>
        <w:tc>
          <w:tcPr>
            <w:tcW w:w="223" w:type="dxa"/>
            <w:tcBorders/>
            <w:shd w:fill="CCEEFF" w:val="clear"/>
            <w:vAlign w:val="center"/>
          </w:tcPr>
          <w:p>
            <w:pPr>
              <w:pStyle w:val="TableContents"/>
              <w:spacing w:before="0" w:after="283"/>
              <w:ind w:left="0" w:right="0" w:hanging="0"/>
              <w:rPr/>
            </w:pPr>
            <w:r>
              <w:rPr/>
              <w:t> </w:t>
            </w:r>
          </w:p>
        </w:tc>
        <w:tc>
          <w:tcPr>
            <w:tcW w:w="974"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1,088</w:t>
            </w:r>
          </w:p>
        </w:tc>
        <w:tc>
          <w:tcPr>
            <w:tcW w:w="142" w:type="dxa"/>
            <w:tcBorders/>
            <w:shd w:fill="CCEEFF" w:val="clear"/>
            <w:vAlign w:val="center"/>
          </w:tcPr>
          <w:p>
            <w:pPr>
              <w:pStyle w:val="TableContents"/>
              <w:spacing w:before="0" w:after="283"/>
              <w:rPr/>
            </w:pPr>
            <w:r>
              <w:rPr/>
              <w:t> </w:t>
            </w:r>
          </w:p>
        </w:tc>
        <w:tc>
          <w:tcPr>
            <w:tcW w:w="107" w:type="dxa"/>
            <w:tcBorders/>
            <w:shd w:fill="CCEEFF" w:val="clear"/>
            <w:vAlign w:val="center"/>
          </w:tcPr>
          <w:p>
            <w:pPr>
              <w:pStyle w:val="TableContents"/>
              <w:spacing w:before="0" w:after="283"/>
              <w:rPr/>
            </w:pPr>
            <w:r>
              <w:rPr/>
              <w:t> </w:t>
            </w:r>
          </w:p>
        </w:tc>
        <w:tc>
          <w:tcPr>
            <w:tcW w:w="223" w:type="dxa"/>
            <w:tcBorders/>
            <w:shd w:fill="CCEEFF" w:val="clear"/>
            <w:vAlign w:val="center"/>
          </w:tcPr>
          <w:p>
            <w:pPr>
              <w:pStyle w:val="TableContents"/>
              <w:spacing w:before="0" w:after="283"/>
              <w:ind w:left="0" w:right="0" w:hanging="0"/>
              <w:rPr/>
            </w:pPr>
            <w:r>
              <w:rPr/>
              <w:t> </w:t>
            </w:r>
          </w:p>
        </w:tc>
        <w:tc>
          <w:tcPr>
            <w:tcW w:w="974"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3,736</w:t>
            </w:r>
          </w:p>
        </w:tc>
        <w:tc>
          <w:tcPr>
            <w:tcW w:w="80" w:type="dxa"/>
            <w:tcBorders/>
            <w:shd w:fill="CCEEFF" w:val="clear"/>
            <w:vAlign w:val="center"/>
          </w:tcPr>
          <w:p>
            <w:pPr>
              <w:pStyle w:val="TableContents"/>
              <w:spacing w:before="0" w:after="283"/>
              <w:rPr/>
            </w:pPr>
            <w:r>
              <w:rPr/>
              <w:t> </w:t>
            </w:r>
          </w:p>
        </w:tc>
      </w:tr>
      <w:tr>
        <w:trPr/>
        <w:tc>
          <w:tcPr>
            <w:tcW w:w="4355" w:type="dxa"/>
            <w:tcBorders/>
            <w:shd w:fill="FFFF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Effect of exchange rates on cash and cash equivalents</w:t>
            </w:r>
          </w:p>
        </w:tc>
        <w:tc>
          <w:tcPr>
            <w:tcW w:w="60" w:type="dxa"/>
            <w:tcBorders/>
            <w:shd w:fill="FFFFFF" w:val="clear"/>
            <w:vAlign w:val="center"/>
          </w:tcPr>
          <w:p>
            <w:pPr>
              <w:pStyle w:val="TableContents"/>
              <w:spacing w:before="0" w:after="283"/>
              <w:rPr/>
            </w:pPr>
            <w:r>
              <w:rPr/>
              <w:t> </w:t>
            </w:r>
          </w:p>
        </w:tc>
        <w:tc>
          <w:tcPr>
            <w:tcW w:w="223"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974"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446</w:t>
            </w:r>
          </w:p>
        </w:tc>
        <w:tc>
          <w:tcPr>
            <w:tcW w:w="142" w:type="dxa"/>
            <w:tcBorders/>
            <w:shd w:fill="FFFFFF" w:val="clear"/>
            <w:vAlign w:val="center"/>
          </w:tcPr>
          <w:p>
            <w:pPr>
              <w:pStyle w:val="TableContents"/>
              <w:spacing w:before="0" w:after="283"/>
              <w:rPr/>
            </w:pPr>
            <w:r>
              <w:rPr/>
              <w:t> </w:t>
            </w:r>
          </w:p>
        </w:tc>
        <w:tc>
          <w:tcPr>
            <w:tcW w:w="107" w:type="dxa"/>
            <w:tcBorders/>
            <w:shd w:fill="FFFFFF" w:val="clear"/>
            <w:vAlign w:val="center"/>
          </w:tcPr>
          <w:p>
            <w:pPr>
              <w:pStyle w:val="TableContents"/>
              <w:spacing w:before="0" w:after="283"/>
              <w:rPr/>
            </w:pPr>
            <w:r>
              <w:rPr/>
              <w:t> </w:t>
            </w:r>
          </w:p>
        </w:tc>
        <w:tc>
          <w:tcPr>
            <w:tcW w:w="223"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974"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(110</w:t>
            </w:r>
          </w:p>
        </w:tc>
        <w:tc>
          <w:tcPr>
            <w:tcW w:w="8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r>
      <w:tr>
        <w:trPr/>
        <w:tc>
          <w:tcPr>
            <w:tcW w:w="4355" w:type="dxa"/>
            <w:tcBorders/>
            <w:shd w:fill="CCEE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Net increase (decrease) in cash and cash equivalents</w:t>
            </w:r>
          </w:p>
        </w:tc>
        <w:tc>
          <w:tcPr>
            <w:tcW w:w="60" w:type="dxa"/>
            <w:tcBorders/>
            <w:shd w:fill="CCEEFF" w:val="clear"/>
            <w:vAlign w:val="center"/>
          </w:tcPr>
          <w:p>
            <w:pPr>
              <w:pStyle w:val="TableContents"/>
              <w:spacing w:before="0" w:after="283"/>
              <w:ind w:left="0" w:right="0" w:hanging="0"/>
              <w:rPr/>
            </w:pPr>
            <w:r>
              <w:rPr/>
              <w:t> </w:t>
            </w:r>
          </w:p>
        </w:tc>
        <w:tc>
          <w:tcPr>
            <w:tcW w:w="223"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974"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(8,639</w:t>
            </w:r>
          </w:p>
        </w:tc>
        <w:tc>
          <w:tcPr>
            <w:tcW w:w="142"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107" w:type="dxa"/>
            <w:tcBorders/>
            <w:shd w:fill="CCEEFF" w:val="clear"/>
            <w:vAlign w:val="center"/>
          </w:tcPr>
          <w:p>
            <w:pPr>
              <w:pStyle w:val="TableContents"/>
              <w:spacing w:before="0" w:after="283"/>
              <w:ind w:left="0" w:right="0" w:hanging="0"/>
              <w:rPr/>
            </w:pPr>
            <w:r>
              <w:rPr/>
              <w:t> </w:t>
            </w:r>
          </w:p>
        </w:tc>
        <w:tc>
          <w:tcPr>
            <w:tcW w:w="223"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974"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(1,028</w:t>
            </w:r>
          </w:p>
        </w:tc>
        <w:tc>
          <w:tcPr>
            <w:tcW w:w="80"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r>
    </w:tbl>
    <w:p>
      <w:pPr>
        <w:pStyle w:val="TextBody"/>
        <w:spacing w:before="0" w:after="0"/>
        <w:ind w:left="0" w:right="0" w:hanging="0"/>
        <w:jc w:val="left"/>
        <w:rPr/>
      </w:pPr>
      <w:r>
        <w:rPr/>
        <w:t>​</w:t>
      </w:r>
    </w:p>
    <w:p>
      <w:pPr>
        <w:pStyle w:val="TextBody"/>
        <w:spacing w:before="0" w:after="0"/>
        <w:ind w:left="0" w:right="0" w:hanging="0"/>
        <w:jc w:val="left"/>
        <w:rPr/>
      </w:pPr>
      <w:r>
        <w:rPr/>
        <w:t> </w:t>
      </w:r>
    </w:p>
    <w:p>
      <w:pPr>
        <w:pStyle w:val="TextBody"/>
        <w:spacing w:before="0" w:after="0"/>
        <w:ind w:left="0" w:right="0" w:hanging="0"/>
        <w:jc w:val="left"/>
        <w:rPr>
          <w:highlight w:val="yellow"/>
        </w:rPr>
      </w:pPr>
      <w:r>
        <w:rPr>
          <w:highlight w:val="yellow"/>
        </w:rPr>
        <w:t>​</w:t>
      </w:r>
    </w:p>
    <w:p>
      <w:pPr>
        <w:pStyle w:val="TextBody"/>
        <w:spacing w:before="0" w:after="0"/>
        <w:ind w:left="0" w:right="0" w:firstLine="720"/>
        <w:jc w:val="left"/>
        <w:rPr>
          <w:rFonts w:ascii="Times New Roman;Times;serif" w:hAnsi="Times New Roman;Times;serif"/>
          <w:sz w:val="20"/>
        </w:rPr>
      </w:pPr>
      <w:r>
        <w:rPr>
          <w:rFonts w:ascii="Times New Roman;Times;serif" w:hAnsi="Times New Roman;Times;serif"/>
          <w:sz w:val="20"/>
        </w:rPr>
        <w:t>For the three months ended March 31, 2023, net cash used in operating activities was $9.4 million. Net cash used in operating activities consisted of our net loss of $16.3 million after exclusion of non-cash items of $9.5 million. Cash decreased due to an increase in accounts receivable of $4.4 million, an increase in trade receivables from our customers of $0.7 million together with decrease in accounts payable of $9.4 million and accrued liabilities of $3.8 million, respectively, offset with a decrease in inventory of $7.4 million. </w:t>
      </w:r>
    </w:p>
    <w:p>
      <w:pPr>
        <w:pStyle w:val="TextBody"/>
        <w:spacing w:before="0" w:after="0"/>
        <w:ind w:left="0" w:right="0" w:firstLine="720"/>
        <w:jc w:val="left"/>
        <w:rPr>
          <w:highlight w:val="yellow"/>
        </w:rPr>
      </w:pPr>
      <w:r>
        <w:rPr>
          <w:highlight w:val="yellow"/>
        </w:rPr>
        <w:t>​</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 xml:space="preserve">For the </w:t>
      </w:r>
      <w:r>
        <w:rPr>
          <w:rFonts w:ascii="Times New Roman" w:hAnsi="Times New Roman"/>
          <w:caps w:val="false"/>
          <w:smallCaps w:val="false"/>
          <w:sz w:val="20"/>
          <w:highlight w:val="white"/>
        </w:rPr>
        <w:t xml:space="preserve">three months ended </w:t>
      </w:r>
      <w:r>
        <w:rPr>
          <w:rFonts w:ascii="Times New Roman" w:hAnsi="Times New Roman"/>
          <w:caps w:val="false"/>
          <w:smallCaps w:val="false"/>
          <w:sz w:val="20"/>
        </w:rPr>
        <w:t>March 31, 2022</w:t>
      </w:r>
      <w:r>
        <w:rPr>
          <w:rFonts w:ascii="Times New Roman" w:hAnsi="Times New Roman"/>
          <w:caps w:val="false"/>
          <w:smallCaps w:val="false"/>
          <w:sz w:val="20"/>
          <w:highlight w:val="white"/>
        </w:rPr>
        <w:t>,</w:t>
      </w:r>
      <w:r>
        <w:rPr>
          <w:rFonts w:ascii="Times New Roman" w:hAnsi="Times New Roman"/>
          <w:caps w:val="false"/>
          <w:smallCaps w:val="false"/>
          <w:sz w:val="20"/>
        </w:rPr>
        <w:t xml:space="preserve"> net cash used in operating activities was $3.6 million. Net cash used in operating activities consisted of our net loss of $16.1 million after exclusion of non-cash items of $11.8 million. Cash decreased due to a decrease in accrued liabilities of $2.3 million and an increase in inventory of $2.0 million, offset by a decrease in trade receivables from our customers of $7.0 million.</w:t>
      </w:r>
    </w:p>
    <w:p>
      <w:pPr>
        <w:pStyle w:val="TextBody"/>
        <w:spacing w:before="0" w:after="0"/>
        <w:ind w:left="0" w:right="0" w:firstLine="720"/>
        <w:jc w:val="left"/>
        <w:rPr/>
      </w:pPr>
      <w:r>
        <w:rPr/>
        <w:t> </w:t>
      </w:r>
    </w:p>
    <w:p>
      <w:pPr>
        <w:pStyle w:val="TextBody"/>
        <w:spacing w:before="0" w:after="0"/>
        <w:ind w:left="0" w:right="0" w:hanging="0"/>
        <w:jc w:val="left"/>
        <w:rPr>
          <w:rFonts w:ascii="Times New Roman;Times;serif" w:hAnsi="Times New Roman;Times;serif"/>
          <w:i/>
          <w:sz w:val="20"/>
          <w:highlight w:val="white"/>
        </w:rPr>
      </w:pPr>
      <w:r>
        <w:rPr>
          <w:rFonts w:ascii="Times New Roman;Times;serif" w:hAnsi="Times New Roman;Times;serif"/>
          <w:i/>
          <w:sz w:val="20"/>
          <w:highlight w:val="white"/>
        </w:rPr>
        <w:t>Investing activities</w:t>
      </w:r>
    </w:p>
    <w:p>
      <w:pPr>
        <w:pStyle w:val="TextBody"/>
        <w:spacing w:before="0" w:after="0"/>
        <w:ind w:left="0" w:right="0" w:hanging="0"/>
        <w:jc w:val="left"/>
        <w:rPr>
          <w:highlight w:val="white"/>
        </w:rPr>
      </w:pPr>
      <w:r>
        <w:rPr>
          <w:highlight w:val="white"/>
        </w:rPr>
        <w:t>​</w:t>
      </w:r>
    </w:p>
    <w:p>
      <w:pPr>
        <w:pStyle w:val="TextBody"/>
        <w:spacing w:before="0" w:after="0"/>
        <w:ind w:left="0" w:right="0" w:firstLine="720"/>
        <w:jc w:val="left"/>
        <w:rPr>
          <w:rFonts w:ascii="Times New Roman;Times;serif" w:hAnsi="Times New Roman;Times;serif"/>
          <w:sz w:val="20"/>
        </w:rPr>
      </w:pPr>
      <w:r>
        <w:rPr>
          <w:rFonts w:ascii="Times New Roman;Times;serif" w:hAnsi="Times New Roman;Times;serif"/>
          <w:sz w:val="20"/>
        </w:rPr>
        <w:t>For the three months ended March 31, 2023, net cash used in investing activities was $0.8 million, mainly from the purchase of additional plant, machinery and equipment.</w:t>
      </w:r>
    </w:p>
    <w:p>
      <w:pPr>
        <w:pStyle w:val="TextBody"/>
        <w:spacing w:before="0" w:after="0"/>
        <w:ind w:left="0" w:right="0" w:firstLine="720"/>
        <w:jc w:val="left"/>
        <w:rPr/>
      </w:pPr>
      <w:r>
        <w:rPr/>
        <w:t> </w:t>
      </w:r>
    </w:p>
    <w:p>
      <w:pPr>
        <w:pStyle w:val="TextBody"/>
        <w:spacing w:before="0" w:after="0"/>
        <w:ind w:left="160" w:right="0" w:firstLine="540"/>
        <w:rPr>
          <w:rFonts w:ascii="Times New Roman" w:hAnsi="Times New Roman"/>
          <w:caps w:val="false"/>
          <w:smallCaps w:val="false"/>
          <w:sz w:val="20"/>
        </w:rPr>
      </w:pPr>
      <w:r>
        <w:rPr>
          <w:rFonts w:ascii="Times New Roman" w:hAnsi="Times New Roman"/>
          <w:caps w:val="false"/>
          <w:smallCaps w:val="false"/>
          <w:sz w:val="20"/>
        </w:rPr>
        <w:t>For the three months ended March 31, 2022, net cash used in investing activities was $1.1 million, mainly from the purchase of additional plant, machinery and equipment.</w:t>
      </w:r>
    </w:p>
    <w:p>
      <w:pPr>
        <w:pStyle w:val="TextBody"/>
        <w:spacing w:before="0" w:after="0"/>
        <w:ind w:left="0" w:right="0" w:firstLine="720"/>
        <w:jc w:val="left"/>
        <w:rPr/>
      </w:pPr>
      <w:r>
        <w:rPr/>
        <w:t> </w:t>
      </w:r>
    </w:p>
    <w:p>
      <w:pPr>
        <w:pStyle w:val="TextBody"/>
        <w:spacing w:before="0" w:after="0"/>
        <w:ind w:left="0" w:right="0" w:hanging="0"/>
        <w:jc w:val="left"/>
        <w:rPr>
          <w:rFonts w:ascii="Times New Roman;Times;serif" w:hAnsi="Times New Roman;Times;serif"/>
          <w:i/>
          <w:sz w:val="20"/>
        </w:rPr>
      </w:pPr>
      <w:r>
        <w:rPr>
          <w:rFonts w:ascii="Times New Roman;Times;serif" w:hAnsi="Times New Roman;Times;serif"/>
          <w:i/>
          <w:sz w:val="20"/>
        </w:rPr>
        <w:t>Financing activities</w:t>
      </w:r>
    </w:p>
    <w:p>
      <w:pPr>
        <w:pStyle w:val="TextBody"/>
        <w:spacing w:before="0" w:after="0"/>
        <w:ind w:left="0" w:right="0" w:hanging="0"/>
        <w:jc w:val="left"/>
        <w:rPr/>
      </w:pPr>
      <w:r>
        <w:rPr/>
        <w:t>​</w:t>
      </w:r>
    </w:p>
    <w:p>
      <w:pPr>
        <w:pStyle w:val="TextBody"/>
        <w:spacing w:before="0" w:after="0"/>
        <w:ind w:left="0" w:right="0" w:firstLine="720"/>
        <w:jc w:val="left"/>
        <w:rPr>
          <w:rFonts w:ascii="Times New Roman;Times;serif" w:hAnsi="Times New Roman;Times;serif"/>
          <w:sz w:val="20"/>
        </w:rPr>
      </w:pPr>
      <w:r>
        <w:rPr>
          <w:rFonts w:ascii="Times New Roman;Times;serif" w:hAnsi="Times New Roman;Times;serif"/>
          <w:sz w:val="20"/>
        </w:rPr>
        <w:t>For the three months ended March 31, 2023, our financing activities provided $1.1 million in cash. This increase in cash was due to $6.7 million of net proceeds from bank acceptances and $0.4 million of net proceeds from our At The Market (ATM) Offering, offset by the repayment of loan of $5.9 million lines of credit.</w:t>
      </w:r>
    </w:p>
    <w:p>
      <w:pPr>
        <w:pStyle w:val="TextBody"/>
        <w:spacing w:before="0" w:after="0"/>
        <w:ind w:left="0" w:right="0" w:firstLine="720"/>
        <w:jc w:val="left"/>
        <w:rPr/>
      </w:pPr>
      <w:r>
        <w:rPr/>
        <w:t> </w:t>
      </w:r>
    </w:p>
    <w:p>
      <w:pPr>
        <w:pStyle w:val="TextBody"/>
        <w:spacing w:before="0" w:after="0"/>
        <w:ind w:left="160" w:right="0" w:firstLine="540"/>
        <w:rPr>
          <w:rFonts w:ascii="Times New Roman" w:hAnsi="Times New Roman"/>
          <w:caps w:val="false"/>
          <w:smallCaps w:val="false"/>
          <w:sz w:val="20"/>
        </w:rPr>
      </w:pPr>
      <w:r>
        <w:rPr>
          <w:rFonts w:ascii="Times New Roman" w:hAnsi="Times New Roman"/>
          <w:caps w:val="false"/>
          <w:smallCaps w:val="false"/>
          <w:sz w:val="20"/>
        </w:rPr>
        <w:t xml:space="preserve">For the </w:t>
      </w:r>
      <w:r>
        <w:rPr>
          <w:rFonts w:ascii="Times New Roman" w:hAnsi="Times New Roman"/>
          <w:caps w:val="false"/>
          <w:smallCaps w:val="false"/>
          <w:sz w:val="20"/>
          <w:highlight w:val="white"/>
        </w:rPr>
        <w:t xml:space="preserve">three months ended </w:t>
      </w:r>
      <w:r>
        <w:rPr>
          <w:rFonts w:ascii="Times New Roman" w:hAnsi="Times New Roman"/>
          <w:caps w:val="false"/>
          <w:smallCaps w:val="false"/>
          <w:sz w:val="20"/>
        </w:rPr>
        <w:t>March 31, 2022</w:t>
      </w:r>
      <w:r>
        <w:rPr>
          <w:rFonts w:ascii="Times New Roman" w:hAnsi="Times New Roman"/>
          <w:caps w:val="false"/>
          <w:smallCaps w:val="false"/>
          <w:sz w:val="20"/>
          <w:highlight w:val="white"/>
        </w:rPr>
        <w:t>,</w:t>
      </w:r>
      <w:r>
        <w:rPr>
          <w:rFonts w:ascii="Times New Roman" w:hAnsi="Times New Roman"/>
          <w:caps w:val="false"/>
          <w:smallCaps w:val="false"/>
          <w:sz w:val="20"/>
        </w:rPr>
        <w:t xml:space="preserve"> our financing activities provided $3.7 million in cash. This increase in cash was due to $2.3 million net proceeds from lines of credit and $1.7 million net proceeds from acceptances payable.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28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i/>
          <w:sz w:val="20"/>
        </w:rPr>
      </w:pPr>
      <w:r>
        <w:rPr>
          <w:rFonts w:ascii="Times New Roman;Times;serif" w:hAnsi="Times New Roman;Times;serif"/>
          <w:i/>
          <w:sz w:val="20"/>
        </w:rPr>
        <w:t>Loans and commitments</w:t>
      </w:r>
    </w:p>
    <w:p>
      <w:pPr>
        <w:pStyle w:val="TextBody"/>
        <w:spacing w:before="0" w:after="0"/>
        <w:ind w:left="0" w:right="0" w:hanging="0"/>
        <w:jc w:val="left"/>
        <w:rPr/>
      </w:pPr>
      <w:r>
        <w:rPr/>
        <w:t>​</w:t>
      </w:r>
    </w:p>
    <w:p>
      <w:pPr>
        <w:pStyle w:val="TextBody"/>
        <w:spacing w:before="0" w:after="0"/>
        <w:ind w:left="0" w:right="0" w:firstLine="720"/>
        <w:jc w:val="left"/>
        <w:rPr>
          <w:rFonts w:ascii="Times New Roman;Times;serif" w:hAnsi="Times New Roman;Times;serif"/>
          <w:sz w:val="20"/>
        </w:rPr>
      </w:pPr>
      <w:r>
        <w:rPr>
          <w:rFonts w:ascii="Times New Roman;Times;serif" w:hAnsi="Times New Roman;Times;serif"/>
          <w:sz w:val="20"/>
        </w:rPr>
        <w:t>We have lending arrangements with several financial institutions. In the US, we have a revolving line of credit with CIT Northbridge Credit, LLC. The line of credit contains financial covenants that may limit the amount and types of debt that we may incur. As of March 31, 2023, we were in compliance with these covenants.</w:t>
      </w:r>
    </w:p>
    <w:p>
      <w:pPr>
        <w:pStyle w:val="TextBody"/>
        <w:spacing w:before="0" w:after="0"/>
        <w:ind w:left="0" w:right="0" w:firstLine="720"/>
        <w:jc w:val="left"/>
        <w:rPr/>
      </w:pPr>
      <w:r>
        <w:rPr/>
        <w:t>​</w:t>
      </w:r>
    </w:p>
    <w:p>
      <w:pPr>
        <w:pStyle w:val="TextBody"/>
        <w:spacing w:before="0" w:after="0"/>
        <w:ind w:left="0" w:right="0" w:firstLine="720"/>
        <w:jc w:val="left"/>
        <w:rPr>
          <w:rFonts w:ascii="Times New Roman;Times;serif" w:hAnsi="Times New Roman;Times;serif"/>
          <w:sz w:val="20"/>
        </w:rPr>
      </w:pPr>
      <w:r>
        <w:rPr>
          <w:rFonts w:ascii="Times New Roman;Times;serif" w:hAnsi="Times New Roman;Times;serif"/>
          <w:sz w:val="20"/>
          <w:highlight w:val="white"/>
        </w:rPr>
        <w:t xml:space="preserve">As of </w:t>
      </w:r>
      <w:r>
        <w:rPr>
          <w:rFonts w:ascii="Times New Roman;Times;serif" w:hAnsi="Times New Roman;Times;serif"/>
          <w:sz w:val="20"/>
        </w:rPr>
        <w:t>March 31, 2023</w:t>
      </w:r>
      <w:r>
        <w:rPr>
          <w:rFonts w:ascii="Times New Roman;Times;serif" w:hAnsi="Times New Roman;Times;serif"/>
          <w:sz w:val="20"/>
          <w:highlight w:val="white"/>
        </w:rPr>
        <w:t>, we had $19.4 million of unused borrowing capacity.</w:t>
      </w:r>
    </w:p>
    <w:p>
      <w:pPr>
        <w:pStyle w:val="TextBody"/>
        <w:spacing w:before="0" w:after="0"/>
        <w:ind w:left="0" w:right="0" w:firstLine="720"/>
        <w:jc w:val="left"/>
        <w:rPr/>
      </w:pPr>
      <w:r>
        <w:rPr/>
        <w:t>​</w:t>
      </w:r>
    </w:p>
    <w:p>
      <w:pPr>
        <w:pStyle w:val="TextBody"/>
        <w:spacing w:before="0" w:after="0"/>
        <w:ind w:left="0" w:right="0" w:firstLine="720"/>
        <w:jc w:val="left"/>
        <w:rPr>
          <w:rFonts w:ascii="Times New Roman;Times;serif" w:hAnsi="Times New Roman;Times;serif"/>
          <w:sz w:val="20"/>
        </w:rPr>
      </w:pPr>
      <w:r>
        <w:rPr>
          <w:rFonts w:ascii="Times New Roman;Times;serif" w:hAnsi="Times New Roman;Times;serif"/>
          <w:sz w:val="20"/>
        </w:rPr>
        <w:t>On March 5, 2019, we issued $80.5 million of 5% convertible senior notes due in 2024. The Notes will mature on March 15, 2024, unless earlier repurchased, redeemed or converted in accordance with their terms. </w:t>
      </w:r>
    </w:p>
    <w:p>
      <w:pPr>
        <w:pStyle w:val="TextBody"/>
        <w:spacing w:before="0" w:after="0"/>
        <w:ind w:left="0" w:right="0" w:firstLine="720"/>
        <w:jc w:val="left"/>
        <w:rPr/>
      </w:pPr>
      <w:r>
        <w:rPr/>
        <w:t>​</w:t>
      </w:r>
    </w:p>
    <w:p>
      <w:pPr>
        <w:pStyle w:val="TextBody"/>
        <w:spacing w:before="0" w:after="0"/>
        <w:ind w:left="0" w:right="0" w:firstLine="720"/>
        <w:jc w:val="left"/>
        <w:rPr>
          <w:rFonts w:ascii="Times New Roman;Times;serif" w:hAnsi="Times New Roman;Times;serif"/>
          <w:sz w:val="20"/>
        </w:rPr>
      </w:pPr>
      <w:r>
        <w:rPr>
          <w:rFonts w:ascii="Times New Roman;Times;serif" w:hAnsi="Times New Roman;Times;serif"/>
          <w:sz w:val="20"/>
        </w:rPr>
        <w:t>See Note 11 “Notes Payable and Long-term Debt” and Note 12 “Convertible Senior Notes” of our Condensed Consolidated Financial Statements for a description of our notes payable and long-term debt and convertible senior notes.</w:t>
      </w:r>
    </w:p>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i/>
          <w:sz w:val="20"/>
          <w:highlight w:val="white"/>
        </w:rPr>
      </w:pPr>
      <w:r>
        <w:rPr>
          <w:rFonts w:ascii="Times New Roman;Times;serif" w:hAnsi="Times New Roman;Times;serif"/>
          <w:i/>
          <w:sz w:val="20"/>
          <w:highlight w:val="white"/>
        </w:rPr>
        <w:t>China factory construction</w:t>
      </w:r>
    </w:p>
    <w:p>
      <w:pPr>
        <w:pStyle w:val="TextBody"/>
        <w:spacing w:before="0" w:after="0"/>
        <w:ind w:left="0" w:right="0" w:hanging="0"/>
        <w:jc w:val="left"/>
        <w:rPr>
          <w:highlight w:val="white"/>
        </w:rPr>
      </w:pPr>
      <w:r>
        <w:rPr>
          <w:highlight w:val="white"/>
        </w:rPr>
        <w:t>​</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On February 8, 2018, we entered into a construction contract with Zhejiang Xinyu Construction Group Co., Ltd. for the construction of a new factory and other facilities at our Ningbo, China location. Construction costs for these facilities under this contract are estimated to total approximately $27.5 million. As of March 31, 2023, construction of the building shell is complete, and approximately $27.4 million of this total cost has been paid and the remaining portion will be paid in yearly installments for three years after final inspection. We anticipate additional expenses for building improvements to the factory and we are in the process of evaluating the timing of these expenditures and obtaining bids for any such work. Based on forecasts, we believe the factory will be placed in service in the year 2024 after the construction is completed for the building interior work. Property will be transferred from construction in progress to building and improvement at that time.</w:t>
      </w:r>
    </w:p>
    <w:p>
      <w:pPr>
        <w:pStyle w:val="TextBody"/>
        <w:spacing w:before="0" w:after="0"/>
        <w:ind w:left="0" w:right="0" w:firstLine="720"/>
        <w:jc w:val="left"/>
        <w:rPr/>
      </w:pPr>
      <w:r>
        <w:rPr/>
        <w:t> </w:t>
      </w:r>
    </w:p>
    <w:p>
      <w:pPr>
        <w:pStyle w:val="TextBody"/>
        <w:spacing w:before="0" w:after="0"/>
        <w:ind w:left="0" w:right="0" w:hanging="0"/>
        <w:jc w:val="left"/>
        <w:rPr>
          <w:rFonts w:ascii="Times New Roman;Times;serif" w:hAnsi="Times New Roman;Times;serif"/>
          <w:i/>
          <w:sz w:val="20"/>
        </w:rPr>
      </w:pPr>
      <w:r>
        <w:rPr>
          <w:rFonts w:ascii="Times New Roman;Times;serif" w:hAnsi="Times New Roman;Times;serif"/>
          <w:i/>
          <w:sz w:val="20"/>
        </w:rPr>
        <w:t>Future liquidity needs</w:t>
      </w:r>
    </w:p>
    <w:p>
      <w:pPr>
        <w:pStyle w:val="TextBody"/>
        <w:spacing w:before="0" w:after="0"/>
        <w:ind w:left="0" w:right="0" w:hanging="0"/>
        <w:jc w:val="left"/>
        <w:rPr/>
      </w:pPr>
      <w:r>
        <w:rPr/>
        <w:t>​</w:t>
      </w:r>
    </w:p>
    <w:p>
      <w:pPr>
        <w:pStyle w:val="TextBody"/>
        <w:spacing w:before="0" w:after="0"/>
        <w:ind w:left="0" w:right="0" w:firstLine="720"/>
        <w:jc w:val="left"/>
        <w:rPr>
          <w:rFonts w:ascii="Times New Roman;Times;serif" w:hAnsi="Times New Roman;Times;serif"/>
          <w:sz w:val="20"/>
        </w:rPr>
      </w:pPr>
      <w:r>
        <w:rPr>
          <w:rFonts w:ascii="Times New Roman;Times;serif" w:hAnsi="Times New Roman;Times;serif"/>
          <w:sz w:val="20"/>
        </w:rPr>
        <w:t>We had cash, cash equivalents and restricted cash of $26.9 million as of March 31, 2023, a decrease of approximately $8.6 million compared to December 31, 2022. This cash reduction included repayment of $5.9 million of our revolving credit facility with CIT, along with changes in current accounts which consumed $2.6 million in cash. Our future capital requirements will depend on many factors including our growth rate, the timing and extent of spending to support our research and development efforts, the expansion of our sales and marketing activities, the introduction of new and enhanced products, the building improvement of a new factory and other facilities at our Ningbo, China location, changes in our manufacturing capacity and the continuing market acceptance of our products. </w:t>
      </w:r>
    </w:p>
    <w:p>
      <w:pPr>
        <w:pStyle w:val="TextBody"/>
        <w:spacing w:before="0" w:after="0"/>
        <w:ind w:left="0" w:right="0" w:firstLine="720"/>
        <w:jc w:val="left"/>
        <w:rPr/>
      </w:pPr>
      <w:r>
        <w:rPr/>
        <w:t> </w:t>
      </w:r>
    </w:p>
    <w:p>
      <w:pPr>
        <w:pStyle w:val="TextBody"/>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As of March 31, 2023, we had a total loan balance (excluding convertible notes) of $52.0 million from various lenders in the US and China, and had $19.4 million available borrowing capacity on existing credit lines. Should additional liquidity be needed, our Board has authorized issuance of equity totaling up to $35 million under our Third ATM Offering (see the discussion of Liquidity and Capital Resources in Item 2, below) to date, no sales have been made under this Third ATM Offering, </w:t>
      </w:r>
      <w:r>
        <w:rPr>
          <w:rFonts w:ascii="Times New Roman;Times;serif" w:hAnsi="Times New Roman;Times;serif"/>
          <w:sz w:val="20"/>
          <w:highlight w:val="white"/>
        </w:rPr>
        <w:t>thus the amount of common stock we have available to sell under this offering is $35 million.</w:t>
      </w:r>
    </w:p>
    <w:p>
      <w:pPr>
        <w:pStyle w:val="TextBody"/>
        <w:spacing w:before="0" w:after="0"/>
        <w:ind w:left="0" w:right="0" w:firstLine="720"/>
        <w:jc w:val="left"/>
        <w:rPr/>
      </w:pPr>
      <w:r>
        <w:rPr/>
        <w:t> </w:t>
      </w:r>
    </w:p>
    <w:p>
      <w:pPr>
        <w:pStyle w:val="TextBody"/>
        <w:spacing w:before="0" w:after="0"/>
        <w:ind w:left="0" w:right="0" w:firstLine="720"/>
        <w:jc w:val="left"/>
        <w:rPr/>
      </w:pPr>
      <w:r>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Also as noted in Item 2, below, on September 15, 2022, the Company entered into a definitive purchase agreement with Yuhan Optoelectronic Technology (Shanghai) Co., Ltd ("Purchaser"), which is a company incorporated in the People's Republic of China ("PRC"), to divest our manufacturing facilities in PRC and certain assets related to our transceiver business and multi-channel optical sub-assembly products (collectively, the "Divestiture"). The purchase price will be an amount equal to the $150 million USD equivalent of Renminbi, less a holdback amount. Prior to the closing of the transaction we anticipate investing an amount equal to between 4% and 10% of the estimated proceeds from the transaction in exchange for a 10% equity interest in the Purchaser.  The remaining funds from this transaction will significantly enhance our liquidity.</w:t>
      </w:r>
    </w:p>
    <w:p>
      <w:pPr>
        <w:pStyle w:val="TextBody"/>
        <w:spacing w:before="0" w:after="0"/>
        <w:ind w:left="0" w:right="0" w:firstLine="720"/>
        <w:jc w:val="left"/>
        <w:rPr/>
      </w:pPr>
      <w:r>
        <w:rPr/>
        <w:t> </w:t>
      </w:r>
    </w:p>
    <w:p>
      <w:pPr>
        <w:pStyle w:val="TextBody"/>
        <w:spacing w:before="0" w:after="0"/>
        <w:ind w:left="0" w:right="0" w:firstLine="720"/>
        <w:jc w:val="left"/>
        <w:rPr>
          <w:rFonts w:ascii="Times New Roman;Times;serif" w:hAnsi="Times New Roman;Times;serif"/>
          <w:sz w:val="20"/>
        </w:rPr>
      </w:pPr>
      <w:r>
        <w:rPr>
          <w:rFonts w:ascii="Times New Roman;Times;serif" w:hAnsi="Times New Roman;Times;serif"/>
          <w:sz w:val="20"/>
        </w:rPr>
        <w:t>In the event we need additional liquidity, we will explore additional sources of liquidity. These additional sources of liquidity could include one, or a combination, of the following: (i) issuing equity or debt securities, (ii) incurring indebtedness secured by our assets and (iii) selling product lines, other assets and/or portions of our business. There can be no guarantee that we will be able to raise additional funds on terms acceptable to us, or at all.</w:t>
      </w:r>
    </w:p>
    <w:p>
      <w:pPr>
        <w:pStyle w:val="TextBody"/>
        <w:spacing w:before="0" w:after="0"/>
        <w:ind w:left="160" w:right="0" w:hanging="180"/>
        <w:rPr>
          <w:rFonts w:ascii="Times New Roman" w:hAnsi="Times New Roman"/>
          <w:b/>
          <w:caps w:val="false"/>
          <w:smallCaps w:val="false"/>
          <w:sz w:val="20"/>
        </w:rPr>
      </w:pPr>
      <w:r>
        <w:rPr>
          <w:rFonts w:ascii="Times New Roman" w:hAnsi="Times New Roman"/>
          <w:b/>
          <w:caps w:val="false"/>
          <w:smallCaps w:val="false"/>
          <w:sz w:val="20"/>
        </w:rPr>
        <w:t>Contractual Obligations and Commitments</w:t>
      </w:r>
    </w:p>
    <w:p>
      <w:pPr>
        <w:pStyle w:val="TextBody"/>
        <w:spacing w:before="0" w:after="0"/>
        <w:ind w:left="160" w:right="0" w:hanging="180"/>
        <w:rPr>
          <w:caps w:val="false"/>
          <w:smallCaps w:val="false"/>
        </w:rPr>
      </w:pPr>
      <w:r>
        <w:rPr>
          <w:caps w:val="false"/>
          <w:smallCaps w:val="false"/>
        </w:rPr>
        <w:t> </w:t>
      </w:r>
    </w:p>
    <w:p>
      <w:pPr>
        <w:pStyle w:val="TextBody"/>
        <w:spacing w:before="0" w:after="0"/>
        <w:ind w:left="0" w:right="0" w:hanging="0"/>
        <w:jc w:val="left"/>
        <w:rPr>
          <w:rFonts w:ascii="Times New Roman;Times;serif" w:hAnsi="Times New Roman;Times;serif"/>
          <w:sz w:val="20"/>
        </w:rPr>
      </w:pPr>
      <w:r>
        <w:rPr>
          <w:rFonts w:ascii="Times New Roman;Times;serif" w:hAnsi="Times New Roman;Times;serif"/>
          <w:sz w:val="20"/>
        </w:rPr>
        <w:t>Please refer to Item 7 "Management's Discussion and Analysis of Financial Condition and Results of Operations" in the Company's Annual Report on Form 10-K for the fiscal year ended December 31, 2022 for a complete discussion of its contractual obligations and commitments.</w:t>
      </w:r>
    </w:p>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b/>
          <w:sz w:val="20"/>
        </w:rPr>
      </w:pPr>
      <w:r>
        <w:rPr>
          <w:rFonts w:ascii="Times New Roman;Times;serif" w:hAnsi="Times New Roman;Times;serif"/>
          <w:b/>
          <w:sz w:val="20"/>
        </w:rPr>
        <w:t>Inflation</w:t>
      </w:r>
    </w:p>
    <w:p>
      <w:pPr>
        <w:pStyle w:val="TextBody"/>
        <w:spacing w:before="0" w:after="0"/>
        <w:ind w:left="0" w:right="0" w:firstLine="720"/>
        <w:jc w:val="left"/>
        <w:rPr/>
      </w:pPr>
      <w:r>
        <w:rPr/>
        <w:t> </w:t>
      </w:r>
    </w:p>
    <w:p>
      <w:pPr>
        <w:pStyle w:val="TextBody"/>
        <w:spacing w:before="0" w:after="0"/>
        <w:ind w:left="0" w:right="0" w:firstLine="720"/>
        <w:rPr/>
      </w:pPr>
      <w:r>
        <w:rPr/>
        <w:t> </w:t>
      </w:r>
    </w:p>
    <w:p>
      <w:pPr>
        <w:pStyle w:val="TextBody"/>
        <w:spacing w:before="0" w:after="0"/>
        <w:ind w:left="0" w:right="0" w:firstLine="720"/>
        <w:jc w:val="left"/>
        <w:rPr/>
      </w:pPr>
      <w:r>
        <w:rPr/>
        <w:t>​</w:t>
      </w:r>
      <w:r>
        <w:rPr>
          <w:rFonts w:ascii="Times New Roman;Times;serif" w:hAnsi="Times New Roman;Times;serif"/>
          <w:sz w:val="20"/>
        </w:rPr>
        <w:t>The annual inflation rate in 2022 slowed down to 2.95% in Taiwan, which should remain the same in 2023 and was 6.5% in the US. Estimated inflation rate in the US is expected to continue to decline in 2023 based on U.S. Federal monetary policy “tapering” to address inflation.  </w:t>
      </w:r>
    </w:p>
    <w:p>
      <w:pPr>
        <w:pStyle w:val="TextBody"/>
        <w:spacing w:before="0" w:after="0"/>
        <w:ind w:left="0" w:right="0" w:firstLine="720"/>
        <w:jc w:val="left"/>
        <w:rPr/>
      </w:pPr>
      <w:r>
        <w:rPr/>
        <w:t> </w:t>
      </w:r>
    </w:p>
    <w:p>
      <w:pPr>
        <w:pStyle w:val="TextBody"/>
        <w:spacing w:before="0" w:after="0"/>
        <w:ind w:left="0" w:right="0" w:firstLine="720"/>
        <w:jc w:val="left"/>
        <w:rPr/>
      </w:pPr>
      <w:r>
        <w:rPr>
          <w:rFonts w:ascii="Times New Roman;Times;serif" w:hAnsi="Times New Roman;Times;serif"/>
          <w:sz w:val="20"/>
        </w:rPr>
        <w:t>Cost inflation included increases in shipping costs, labor rates, and in costs of some raw materials. We currently</w:t>
      </w:r>
      <w:r>
        <w:rPr>
          <w:rFonts w:cs="Times New Roman;Times;serif"/>
          <w:szCs w:val="20"/>
        </w:rPr>
        <w:t xml:space="preserve">﻿ </w:t>
      </w:r>
      <w:r>
        <w:rPr>
          <w:rFonts w:ascii="Times New Roman;Times;serif" w:hAnsi="Times New Roman;Times;serif"/>
          <w:sz w:val="20"/>
        </w:rPr>
        <w:t>believe these increases are related to the COVID-19 pandemic (see the section above on the COVID-19 pandemic for more details of these challenges), however we cannot be sure when or if prices will return to pre-pandemic levels.</w:t>
      </w:r>
    </w:p>
    <w:p>
      <w:pPr>
        <w:pStyle w:val="TextBody"/>
        <w:spacing w:before="0" w:after="0"/>
        <w:ind w:left="0" w:right="0" w:firstLine="720"/>
        <w:jc w:val="left"/>
        <w:rPr/>
      </w:pPr>
      <w:r>
        <w:rPr/>
        <w:t> </w:t>
      </w:r>
    </w:p>
    <w:p>
      <w:pPr>
        <w:pStyle w:val="TextBody"/>
        <w:spacing w:before="0" w:after="0"/>
        <w:ind w:left="0" w:right="0" w:firstLine="720"/>
        <w:jc w:val="left"/>
        <w:rPr>
          <w:rFonts w:ascii="Times New Roman;Times;serif" w:hAnsi="Times New Roman;Times;serif"/>
          <w:sz w:val="20"/>
        </w:rPr>
      </w:pPr>
      <w:r>
        <w:rPr>
          <w:rFonts w:ascii="Times New Roman;Times;serif" w:hAnsi="Times New Roman;Times;serif"/>
          <w:sz w:val="20"/>
        </w:rPr>
        <w:t>There is no guarantee that we can increase selling prices or reduce costs to fully mitigate the effect of inflation on our costs, which may adversely impact our sales margins and profitability.</w:t>
      </w:r>
    </w:p>
    <w:p>
      <w:pPr>
        <w:pStyle w:val="TextBody"/>
        <w:spacing w:before="0" w:after="0"/>
        <w:ind w:left="0" w:right="0" w:firstLine="720"/>
        <w:jc w:val="left"/>
        <w:rPr/>
      </w:pPr>
      <w:r>
        <w:rPr/>
        <w:t> </w:t>
      </w:r>
    </w:p>
    <w:p>
      <w:pPr>
        <w:pStyle w:val="TextBody"/>
        <w:spacing w:before="0" w:after="0"/>
        <w:ind w:left="0" w:right="0" w:firstLine="720"/>
        <w:jc w:val="left"/>
        <w:rPr>
          <w:rFonts w:ascii="Times New Roman;Times;serif" w:hAnsi="Times New Roman;Times;serif"/>
          <w:sz w:val="20"/>
        </w:rPr>
      </w:pPr>
      <w:r>
        <w:rPr>
          <w:rFonts w:ascii="Times New Roman;Times;serif" w:hAnsi="Times New Roman;Times;serif"/>
          <w:sz w:val="20"/>
        </w:rPr>
        <w:t>Compared to other major economies in the world, China has a low level of inflation or even in deflation, which has not had a significant impact on our sales or operating results.</w:t>
      </w:r>
    </w:p>
    <w:p>
      <w:pPr>
        <w:pStyle w:val="TextBody"/>
        <w:spacing w:before="0" w:after="0"/>
        <w:ind w:left="0" w:right="0" w:firstLine="720"/>
        <w:jc w:val="left"/>
        <w:rPr/>
      </w:pPr>
      <w:r>
        <w:rPr/>
        <w:t> </w:t>
      </w:r>
    </w:p>
    <w:p>
      <w:pPr>
        <w:pStyle w:val="TextBody"/>
        <w:spacing w:before="0" w:after="0"/>
        <w:ind w:left="0" w:right="0" w:hanging="0"/>
        <w:jc w:val="left"/>
        <w:rPr>
          <w:rFonts w:ascii="Times New Roman;Times;serif" w:hAnsi="Times New Roman;Times;serif"/>
          <w:b/>
          <w:sz w:val="20"/>
        </w:rPr>
      </w:pPr>
      <w:r>
        <w:rPr>
          <w:rFonts w:ascii="Times New Roman;Times;serif" w:hAnsi="Times New Roman;Times;serif"/>
          <w:b/>
          <w:sz w:val="20"/>
        </w:rPr>
        <w:t>Critical Accounting Policies and Estimates</w:t>
      </w:r>
    </w:p>
    <w:p>
      <w:pPr>
        <w:pStyle w:val="TextBody"/>
        <w:spacing w:before="0" w:after="0"/>
        <w:ind w:left="0" w:right="0" w:hanging="0"/>
        <w:jc w:val="left"/>
        <w:rPr/>
      </w:pPr>
      <w:r>
        <w:rPr/>
        <w:t>​</w:t>
      </w:r>
    </w:p>
    <w:p>
      <w:pPr>
        <w:pStyle w:val="TextBody"/>
        <w:spacing w:before="0" w:after="0"/>
        <w:ind w:left="0" w:right="0" w:firstLine="720"/>
        <w:jc w:val="left"/>
        <w:rPr>
          <w:rFonts w:ascii="Times New Roman;Times;serif" w:hAnsi="Times New Roman;Times;serif"/>
          <w:sz w:val="20"/>
        </w:rPr>
      </w:pPr>
      <w:r>
        <w:rPr>
          <w:rFonts w:ascii="Times New Roman;Times;serif" w:hAnsi="Times New Roman;Times;serif"/>
          <w:sz w:val="20"/>
        </w:rPr>
        <w:t>In our Annual Report for the year ended December 31, 2022 and in the Notes to the Financial Statements herein, we identify our most critical accounting policies. In preparing the financial statements, we make assumptions, estimates and judgments that affect the amounts reported. We periodically evaluate our estimates and judgments that are most critical in nature which are related to revenue recognition, allowance for credit losses, inventory reserves, impairment of long-lived assets, service and product warranties, share based compensation expense, estimated useful lives of property and equipment, and income taxes. Our estimates are based on historical experience and on our future expectations that we believe are reasonable. The combination of these factors forms the basis for making judgments about the carrying values of assets and liabilities that are not readily apparent from other sources. Actual results are likely to differ from our current estimates and those differences may be material.</w:t>
      </w:r>
    </w:p>
    <w:p>
      <w:pPr>
        <w:pStyle w:val="TextBody"/>
        <w:spacing w:before="0" w:after="0"/>
        <w:ind w:left="0" w:right="0" w:firstLine="720"/>
        <w:jc w:val="left"/>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29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jc w:val="left"/>
        <w:rPr/>
      </w:pPr>
      <w:r>
        <w:rPr/>
        <w:t xml:space="preserve">  </w:t>
      </w:r>
    </w:p>
    <w:p>
      <w:pPr>
        <w:pStyle w:val="TextBody"/>
        <w:spacing w:before="0" w:after="0"/>
        <w:ind w:left="0" w:right="0" w:hanging="0"/>
        <w:jc w:val="left"/>
        <w:rPr>
          <w:rFonts w:ascii="Times New Roman;Times;serif" w:hAnsi="Times New Roman;Times;serif"/>
          <w:b/>
          <w:sz w:val="20"/>
        </w:rPr>
      </w:pPr>
      <w:bookmarkStart w:id="12" w:name="item3"/>
      <w:bookmarkEnd w:id="12"/>
      <w:r>
        <w:rPr>
          <w:rFonts w:ascii="Times New Roman;Times;serif" w:hAnsi="Times New Roman;Times;serif"/>
          <w:b/>
          <w:sz w:val="20"/>
        </w:rPr>
        <w:t>Item 3.   Quantitative and Qualitative Disclosures about Market Risk</w:t>
      </w:r>
    </w:p>
    <w:p>
      <w:pPr>
        <w:pStyle w:val="TextBody"/>
        <w:spacing w:before="0" w:after="0"/>
        <w:ind w:left="0" w:right="0" w:hanging="0"/>
        <w:jc w:val="left"/>
        <w:rPr/>
      </w:pPr>
      <w:r>
        <w:rPr/>
        <w:t> </w:t>
      </w:r>
    </w:p>
    <w:p>
      <w:pPr>
        <w:pStyle w:val="TextBody"/>
        <w:spacing w:before="0" w:after="0"/>
        <w:ind w:left="0" w:right="0" w:firstLine="720"/>
        <w:jc w:val="left"/>
        <w:rPr>
          <w:rFonts w:ascii="Times New Roman;Times;serif" w:hAnsi="Times New Roman;Times;serif"/>
          <w:sz w:val="20"/>
        </w:rPr>
      </w:pPr>
      <w:r>
        <w:rPr>
          <w:rFonts w:ascii="Times New Roman;Times;serif" w:hAnsi="Times New Roman;Times;serif"/>
          <w:sz w:val="20"/>
        </w:rPr>
        <w:t>For quantitative and qualitative disclosures about market risk affecting the Company, see Item 7A – Quantitative and Qualitative Disclosures about Market Risk in our Annual Report for the fiscal year ended December 31, 2022. We do not believe the Company’s exposure to market risk has changed materially since December 31, 2022.</w:t>
      </w:r>
    </w:p>
    <w:p>
      <w:pPr>
        <w:pStyle w:val="TextBody"/>
        <w:spacing w:before="0" w:after="0"/>
        <w:ind w:left="0" w:right="0" w:firstLine="720"/>
        <w:jc w:val="left"/>
        <w:rPr/>
      </w:pPr>
      <w:r>
        <w:rPr/>
        <w:t>​</w:t>
      </w:r>
    </w:p>
    <w:p>
      <w:pPr>
        <w:pStyle w:val="TextBody"/>
        <w:spacing w:before="0" w:after="0"/>
        <w:ind w:left="0" w:right="0" w:hanging="0"/>
        <w:jc w:val="left"/>
        <w:rPr>
          <w:rFonts w:ascii="Times New Roman;Times;serif" w:hAnsi="Times New Roman;Times;serif"/>
          <w:b/>
          <w:sz w:val="20"/>
        </w:rPr>
      </w:pPr>
      <w:bookmarkStart w:id="13" w:name="item4"/>
      <w:bookmarkEnd w:id="13"/>
      <w:r>
        <w:rPr>
          <w:rFonts w:ascii="Times New Roman;Times;serif" w:hAnsi="Times New Roman;Times;serif"/>
          <w:b/>
          <w:sz w:val="20"/>
        </w:rPr>
        <w:t>Item 4.   Controls and Procedures</w:t>
      </w:r>
    </w:p>
    <w:p>
      <w:pPr>
        <w:pStyle w:val="TextBody"/>
        <w:spacing w:before="0" w:after="0"/>
        <w:ind w:left="0" w:right="0" w:hanging="0"/>
        <w:jc w:val="left"/>
        <w:rPr/>
      </w:pPr>
      <w:r>
        <w:rPr/>
        <w:t>​</w:t>
      </w:r>
    </w:p>
    <w:p>
      <w:pPr>
        <w:pStyle w:val="TextBody"/>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Our disclosure controls and procedures are designed to provide reasonable assurance of achieving their control objectives. </w:t>
      </w:r>
    </w:p>
    <w:p>
      <w:pPr>
        <w:pStyle w:val="TextBody"/>
        <w:spacing w:before="0" w:after="0"/>
        <w:ind w:left="0" w:right="0" w:firstLine="720"/>
        <w:jc w:val="left"/>
        <w:rPr/>
      </w:pPr>
      <w:r>
        <w:rPr/>
        <w:t>​</w:t>
      </w:r>
    </w:p>
    <w:p>
      <w:pPr>
        <w:pStyle w:val="TextBody"/>
        <w:spacing w:before="0" w:after="0"/>
        <w:ind w:left="0" w:right="0" w:firstLine="720"/>
        <w:jc w:val="left"/>
        <w:rPr>
          <w:rFonts w:ascii="Times New Roman;Times;serif" w:hAnsi="Times New Roman;Times;serif"/>
          <w:sz w:val="20"/>
        </w:rPr>
      </w:pPr>
      <w:r>
        <w:rPr>
          <w:rFonts w:ascii="Times New Roman;Times;serif" w:hAnsi="Times New Roman;Times;serif"/>
          <w:sz w:val="20"/>
        </w:rPr>
        <w:t>Our management, with the participation of our Chief Executive Officer and Chief Financial Officer, evaluated the effectiveness of our disclosure controls and procedures as of March 31, 2023. Based upon that evaluation, our Chief Executive Officer and Chief Financial Officer concluded that, as of the end of the period covered by this report, our disclosure controls and procedures were effective.</w:t>
      </w:r>
    </w:p>
    <w:p>
      <w:pPr>
        <w:pStyle w:val="TextBody"/>
        <w:spacing w:before="0" w:after="0"/>
        <w:ind w:left="0" w:right="0" w:firstLine="720"/>
        <w:jc w:val="left"/>
        <w:rPr/>
      </w:pPr>
      <w:r>
        <w:rPr/>
        <w:t>​</w:t>
      </w:r>
    </w:p>
    <w:p>
      <w:pPr>
        <w:pStyle w:val="TextBody"/>
        <w:spacing w:before="0" w:after="0"/>
        <w:ind w:left="0" w:right="0" w:hanging="0"/>
        <w:jc w:val="left"/>
        <w:rPr>
          <w:rFonts w:ascii="Times New Roman;Times;serif" w:hAnsi="Times New Roman;Times;serif"/>
          <w:b/>
          <w:i/>
          <w:sz w:val="20"/>
        </w:rPr>
      </w:pPr>
      <w:r>
        <w:rPr>
          <w:rFonts w:ascii="Times New Roman;Times;serif" w:hAnsi="Times New Roman;Times;serif"/>
          <w:b/>
          <w:i/>
          <w:sz w:val="20"/>
        </w:rPr>
        <w:t>Changes in Internal Control over Financial Reporting</w:t>
      </w:r>
    </w:p>
    <w:p>
      <w:pPr>
        <w:pStyle w:val="TextBody"/>
        <w:spacing w:before="0" w:after="0"/>
        <w:ind w:left="0" w:right="0" w:hanging="0"/>
        <w:jc w:val="left"/>
        <w:rPr/>
      </w:pPr>
      <w:r>
        <w:rPr/>
        <w:t>​</w:t>
      </w:r>
    </w:p>
    <w:p>
      <w:pPr>
        <w:pStyle w:val="TextBody"/>
        <w:spacing w:before="0" w:after="0"/>
        <w:ind w:left="0" w:right="0" w:firstLine="720"/>
        <w:jc w:val="left"/>
        <w:rPr>
          <w:rFonts w:ascii="Times New Roman;Times;serif" w:hAnsi="Times New Roman;Times;serif"/>
          <w:sz w:val="20"/>
        </w:rPr>
      </w:pPr>
      <w:r>
        <w:rPr>
          <w:rFonts w:ascii="Times New Roman;Times;serif" w:hAnsi="Times New Roman;Times;serif"/>
          <w:sz w:val="20"/>
        </w:rPr>
        <w:t>There were no changes in our internal control over financial reporting during the three month period covered by this Quarterly Report on Form 10-Q, which were identified in connection with management’s evaluation required by the Rules 13a-15(d) and 15d-15(d) under the Exchange Act that occurred during our last fiscal quarter that has materially affected, or is reasonably likely to materially affect, our internal control over financial reporting.</w:t>
      </w:r>
    </w:p>
    <w:p>
      <w:pPr>
        <w:pStyle w:val="TextBody"/>
        <w:spacing w:before="0" w:after="0"/>
        <w:ind w:left="0" w:right="0" w:firstLine="720"/>
        <w:jc w:val="left"/>
        <w:rPr/>
      </w:pPr>
      <w:r>
        <w:rPr/>
        <w:t> </w:t>
      </w:r>
    </w:p>
    <w:p>
      <w:pPr>
        <w:pStyle w:val="TextBody"/>
        <w:spacing w:before="0" w:after="0"/>
        <w:ind w:left="0" w:right="0" w:firstLine="720"/>
        <w:jc w:val="center"/>
        <w:rPr>
          <w:rFonts w:ascii="Times New Roman;Times;serif" w:hAnsi="Times New Roman;Times;serif"/>
          <w:b/>
          <w:sz w:val="20"/>
        </w:rPr>
      </w:pPr>
      <w:bookmarkStart w:id="14" w:name="part2"/>
      <w:bookmarkEnd w:id="14"/>
      <w:r>
        <w:rPr>
          <w:rFonts w:ascii="Times New Roman;Times;serif" w:hAnsi="Times New Roman;Times;serif"/>
          <w:b/>
          <w:sz w:val="20"/>
        </w:rPr>
        <w:t>Part II. Other Information</w:t>
      </w:r>
    </w:p>
    <w:p>
      <w:pPr>
        <w:pStyle w:val="TextBody"/>
        <w:rPr/>
      </w:pPr>
      <w:r>
        <w:rPr/>
        <w:t>​</w:t>
      </w:r>
    </w:p>
    <w:p>
      <w:pPr>
        <w:pStyle w:val="TextBody"/>
        <w:spacing w:before="0" w:after="0"/>
        <w:ind w:left="0" w:right="0" w:hanging="0"/>
        <w:jc w:val="left"/>
        <w:rPr>
          <w:rFonts w:ascii="Times New Roman;Times;serif" w:hAnsi="Times New Roman;Times;serif"/>
          <w:b/>
          <w:sz w:val="20"/>
        </w:rPr>
      </w:pPr>
      <w:bookmarkStart w:id="15" w:name="legal"/>
      <w:bookmarkEnd w:id="15"/>
      <w:r>
        <w:rPr>
          <w:rFonts w:ascii="Times New Roman;Times;serif" w:hAnsi="Times New Roman;Times;serif"/>
          <w:b/>
          <w:sz w:val="20"/>
        </w:rPr>
        <w:t>Item 1.   Legal Proceedings</w:t>
      </w:r>
    </w:p>
    <w:p>
      <w:pPr>
        <w:pStyle w:val="TextBody"/>
        <w:spacing w:before="0" w:after="0"/>
        <w:ind w:left="0" w:right="0" w:hanging="0"/>
        <w:rPr/>
      </w:pPr>
      <w:r>
        <w:rPr/>
        <w:t> </w:t>
      </w:r>
    </w:p>
    <w:p>
      <w:pPr>
        <w:pStyle w:val="TextBody"/>
        <w:spacing w:before="0" w:after="0"/>
        <w:ind w:left="0" w:right="0" w:firstLine="720"/>
        <w:jc w:val="left"/>
        <w:rPr>
          <w:rFonts w:ascii="Times New Roman;Times;serif" w:hAnsi="Times New Roman;Times;serif"/>
          <w:sz w:val="20"/>
        </w:rPr>
      </w:pPr>
      <w:r>
        <w:rPr>
          <w:rFonts w:ascii="Times New Roman;Times;serif" w:hAnsi="Times New Roman;Times;serif"/>
          <w:sz w:val="20"/>
        </w:rPr>
        <w:t>Information with respect to legal proceedings can be found in Note 18 to the Condensed Consolidated Financial Statements contained in Part 1, Item 1 of this report.</w:t>
      </w:r>
    </w:p>
    <w:p>
      <w:pPr>
        <w:pStyle w:val="TextBody"/>
        <w:spacing w:before="0" w:after="0"/>
        <w:ind w:left="0" w:right="0" w:firstLine="720"/>
        <w:jc w:val="left"/>
        <w:rPr/>
      </w:pPr>
      <w:r>
        <w:rPr/>
        <w:t> </w:t>
      </w:r>
    </w:p>
    <w:p>
      <w:pPr>
        <w:pStyle w:val="TextBody"/>
        <w:spacing w:before="0" w:after="0"/>
        <w:ind w:left="0" w:right="0" w:hanging="0"/>
        <w:jc w:val="left"/>
        <w:rPr>
          <w:rFonts w:ascii="Times New Roman;Times;serif" w:hAnsi="Times New Roman;Times;serif"/>
          <w:b/>
          <w:sz w:val="20"/>
        </w:rPr>
      </w:pPr>
      <w:bookmarkStart w:id="16" w:name="risk"/>
      <w:bookmarkEnd w:id="16"/>
      <w:r>
        <w:rPr>
          <w:rFonts w:ascii="Times New Roman;Times;serif" w:hAnsi="Times New Roman;Times;serif"/>
          <w:b/>
          <w:sz w:val="20"/>
        </w:rPr>
        <w:t>Item 1A.  Risk Factors</w:t>
      </w:r>
    </w:p>
    <w:p>
      <w:pPr>
        <w:pStyle w:val="TextBody"/>
        <w:spacing w:before="0" w:after="0"/>
        <w:ind w:left="0" w:right="0" w:hanging="0"/>
        <w:jc w:val="left"/>
        <w:rPr/>
      </w:pPr>
      <w:r>
        <w:rPr/>
        <w:t> </w:t>
      </w:r>
    </w:p>
    <w:p>
      <w:pPr>
        <w:pStyle w:val="TextBody"/>
        <w:spacing w:before="0" w:after="0"/>
        <w:ind w:left="0" w:right="0" w:firstLine="720"/>
        <w:jc w:val="left"/>
        <w:rPr>
          <w:rFonts w:ascii="Times New Roman;Times;serif" w:hAnsi="Times New Roman;Times;serif"/>
          <w:sz w:val="20"/>
        </w:rPr>
      </w:pPr>
      <w:r>
        <w:rPr>
          <w:rFonts w:ascii="Times New Roman;Times;serif" w:hAnsi="Times New Roman;Times;serif"/>
          <w:sz w:val="20"/>
        </w:rPr>
        <w:t>Investing in our common stock involves a high degree of risk. See Part I, Item 1A, Risk Factors, of our Annual Report on Form 10-K for the year ended</w:t>
      </w:r>
      <w:r>
        <w:rPr>
          <w:rFonts w:ascii="Times New Roman;Times;serif" w:hAnsi="Times New Roman;Times;serif"/>
          <w:sz w:val="20"/>
          <w:highlight w:val="white"/>
        </w:rPr>
        <w:t xml:space="preserve"> December 31, 2022 f</w:t>
      </w:r>
      <w:r>
        <w:rPr>
          <w:rFonts w:ascii="Times New Roman;Times;serif" w:hAnsi="Times New Roman;Times;serif"/>
          <w:sz w:val="20"/>
        </w:rPr>
        <w:t>or a detailed discussion of the risk factors affecting our Company. As of March 31, 2023, there have been no material changes to those risk factors, except as described below.</w:t>
      </w:r>
    </w:p>
    <w:p>
      <w:pPr>
        <w:pStyle w:val="TextBody"/>
        <w:spacing w:before="0" w:after="0"/>
        <w:ind w:left="0" w:right="0" w:firstLine="720"/>
        <w:jc w:val="left"/>
        <w:rPr/>
      </w:pPr>
      <w:r>
        <w:rPr/>
        <w:t> </w:t>
      </w:r>
    </w:p>
    <w:p>
      <w:pPr>
        <w:pStyle w:val="TextBody"/>
        <w:spacing w:before="0" w:after="0"/>
        <w:ind w:left="0" w:right="0" w:firstLine="720"/>
        <w:jc w:val="left"/>
        <w:rPr>
          <w:rFonts w:ascii="Times New Roman;Times;serif" w:hAnsi="Times New Roman;Times;serif"/>
          <w:b/>
          <w:sz w:val="20"/>
        </w:rPr>
      </w:pPr>
      <w:r>
        <w:rPr>
          <w:rFonts w:ascii="Times New Roman;Times;serif" w:hAnsi="Times New Roman;Times;serif"/>
          <w:b/>
          <w:sz w:val="20"/>
        </w:rPr>
        <w:t xml:space="preserve">The announcement and pendency of our proposed sale of our China manufacturing facilities could materially adversely affect our business, financial condition, and results of operations. </w:t>
      </w:r>
    </w:p>
    <w:p>
      <w:pPr>
        <w:pStyle w:val="TextBody"/>
        <w:spacing w:before="0" w:after="0"/>
        <w:ind w:left="0" w:right="0" w:firstLine="720"/>
        <w:jc w:val="left"/>
        <w:rPr/>
      </w:pPr>
      <w:r>
        <w:rPr/>
        <w:t> </w:t>
      </w:r>
    </w:p>
    <w:p>
      <w:pPr>
        <w:pStyle w:val="TextBody"/>
        <w:spacing w:before="0" w:after="0"/>
        <w:ind w:left="0" w:right="0" w:firstLine="720"/>
        <w:jc w:val="left"/>
        <w:rPr>
          <w:rFonts w:ascii="Times New Roman;Times;serif" w:hAnsi="Times New Roman;Times;serif"/>
          <w:sz w:val="20"/>
        </w:rPr>
      </w:pPr>
      <w:r>
        <w:rPr>
          <w:rFonts w:ascii="Times New Roman;Times;serif" w:hAnsi="Times New Roman;Times;serif"/>
          <w:sz w:val="20"/>
        </w:rPr>
        <w:t>On September 15, 2022, AOI and Prime World International Holdings Ltd. (the "Seller"), which is a company incorporated in the British Virgin Islands and wholly owned subsidiary of AOI, entered into a definitive agreement (the "Purchase Agreement") with Yuhan Optoelectronic Technology (Shanghai) Co., Ltd. (the "Purchaser"), which is a company incorporated in the PRC, under which AOI would divest its manufacturing facilities located in the PRC and certain assets related to its transceiver business and multichannel optical sub-assembly products for the internet data center, FTTH and telecom markets. The purchase price payable by the Purchaser to the Seller will be an amount equal to the $150 million USD equivalent of Renminbi, less a holdback amount. Prior to the closing of this transaction, AOI anticipates investing an amount equal to between 4% and 10% of the estimated proceeds from the transaction in exchange for a 10% equity interest in the Purchaser. This transaction is expected to close in late 2023 or 2024, subject to customary closing conditions and regulatory approval.</w:t>
      </w:r>
    </w:p>
    <w:p>
      <w:pPr>
        <w:pStyle w:val="TextBody"/>
        <w:spacing w:before="0" w:after="0"/>
        <w:ind w:left="0" w:right="0" w:firstLine="720"/>
        <w:jc w:val="left"/>
        <w:rPr/>
      </w:pPr>
      <w:r>
        <w:rPr/>
        <w:t> </w:t>
      </w:r>
    </w:p>
    <w:p>
      <w:pPr>
        <w:pStyle w:val="TextBody"/>
        <w:spacing w:before="0" w:after="0"/>
        <w:ind w:left="0" w:right="0" w:firstLine="720"/>
        <w:rPr>
          <w:rFonts w:ascii="Times New Roman" w:hAnsi="Times New Roman"/>
          <w:sz w:val="20"/>
        </w:rPr>
      </w:pPr>
      <w:r>
        <w:rPr>
          <w:rFonts w:ascii="Times New Roman" w:hAnsi="Times New Roman"/>
          <w:sz w:val="20"/>
        </w:rPr>
        <w:t xml:space="preserve">The announcement and pendency of our proposed divestiture could disrupt our business and create uncertainty about our future, which could have a material and negative impact on our business, financial condition, and results of operations, regardless of whether the divestiture is completed. These risks to our business, all of which could be exacerbated by any delay in the closing of the divestiture, include: </w:t>
      </w:r>
    </w:p>
    <w:p>
      <w:pPr>
        <w:pStyle w:val="TextBody"/>
        <w:ind w:left="0" w:right="0" w:firstLine="720"/>
        <w:rPr/>
      </w:pPr>
      <w:r>
        <w:rPr/>
        <w:t xml:space="preserve">  </w:t>
      </w:r>
    </w:p>
    <w:p>
      <w:pPr>
        <w:pStyle w:val="TextBody"/>
        <w:spacing w:before="0" w:after="0"/>
        <w:ind w:left="1240" w:right="0" w:hanging="360"/>
        <w:rPr>
          <w:caps w:val="false"/>
          <w:smallCaps w:val="false"/>
        </w:rPr>
      </w:pPr>
      <w:r>
        <w:rPr>
          <w:caps w:val="false"/>
          <w:smallCaps w:val="false"/>
        </w:rPr>
        <w:t xml:space="preserve">• </w:t>
      </w:r>
      <w:r>
        <w:rPr>
          <w:rFonts w:ascii="Times New Roman" w:hAnsi="Times New Roman"/>
          <w:caps w:val="false"/>
          <w:smallCaps w:val="false"/>
          <w:sz w:val="20"/>
        </w:rPr>
        <w:t>restrictions in the Purchase Agreement on the conduct of our business prior to the closing of the divestiture, which prevent us from taking specified actions without the prior consent of Purchaser, which actions we might otherwise take in the absence of the Purchase Agreement.</w:t>
      </w:r>
    </w:p>
    <w:p>
      <w:pPr>
        <w:pStyle w:val="TextBody"/>
        <w:spacing w:before="0" w:after="0"/>
        <w:ind w:left="1080" w:right="0" w:hanging="180"/>
        <w:rPr>
          <w:caps w:val="false"/>
          <w:smallCaps w:val="false"/>
        </w:rPr>
      </w:pPr>
      <w:r>
        <w:rPr>
          <w:caps w:val="false"/>
          <w:smallCaps w:val="false"/>
        </w:rPr>
        <w:t xml:space="preserve">• </w:t>
      </w:r>
      <w:r>
        <w:rPr>
          <w:rFonts w:ascii="Times New Roman" w:hAnsi="Times New Roman"/>
          <w:caps w:val="false"/>
          <w:smallCaps w:val="false"/>
          <w:sz w:val="20"/>
        </w:rPr>
        <w:t>the attention of our management may be directed towards the closing of the divestiture and may be diverted from our day-to-day business operations, and matters related to the divestiture may require commitments of time and resources that could otherwise have been devoted to other opportunities that might have been beneficial to us;</w:t>
      </w:r>
    </w:p>
    <w:p>
      <w:pPr>
        <w:pStyle w:val="TextBody"/>
        <w:spacing w:before="0" w:after="0"/>
        <w:ind w:left="1240" w:right="0" w:hanging="360"/>
        <w:rPr>
          <w:caps w:val="false"/>
          <w:smallCaps w:val="false"/>
        </w:rPr>
      </w:pPr>
      <w:r>
        <w:rPr>
          <w:caps w:val="false"/>
          <w:smallCaps w:val="false"/>
        </w:rPr>
        <w:t xml:space="preserve">• </w:t>
      </w:r>
      <w:r>
        <w:rPr>
          <w:rFonts w:ascii="Times New Roman" w:hAnsi="Times New Roman"/>
          <w:caps w:val="false"/>
          <w:smallCaps w:val="false"/>
          <w:sz w:val="20"/>
        </w:rPr>
        <w:t>our customers, suppliers and other third parties may decide not to renew or seek to terminate, change or renegotiate their relationships with us, whether pursuant to the terms of their existing agreements with us or otherwise;</w:t>
      </w:r>
    </w:p>
    <w:p>
      <w:pPr>
        <w:pStyle w:val="TextBody"/>
        <w:spacing w:before="0" w:after="0"/>
        <w:ind w:left="1240" w:right="0" w:hanging="360"/>
        <w:rPr>
          <w:caps w:val="false"/>
          <w:smallCaps w:val="false"/>
        </w:rPr>
      </w:pPr>
      <w:r>
        <w:rPr>
          <w:caps w:val="false"/>
          <w:smallCaps w:val="false"/>
        </w:rPr>
        <w:t xml:space="preserve">• </w:t>
      </w:r>
      <w:r>
        <w:rPr>
          <w:rFonts w:ascii="Times New Roman" w:hAnsi="Times New Roman"/>
          <w:caps w:val="false"/>
          <w:smallCaps w:val="false"/>
          <w:sz w:val="20"/>
        </w:rPr>
        <w:t>our employees may experience uncertainty regarding their future roles, which might adversely affect our ability to retain, recruit and motivate key personnel; and</w:t>
      </w:r>
    </w:p>
    <w:p>
      <w:pPr>
        <w:pStyle w:val="TextBody"/>
        <w:spacing w:before="0" w:after="0"/>
        <w:ind w:left="1240" w:right="0" w:hanging="360"/>
        <w:rPr>
          <w:caps w:val="false"/>
          <w:smallCaps w:val="false"/>
        </w:rPr>
      </w:pPr>
      <w:r>
        <w:rPr>
          <w:caps w:val="false"/>
          <w:smallCaps w:val="false"/>
        </w:rPr>
        <w:t xml:space="preserve">• </w:t>
      </w:r>
      <w:r>
        <w:rPr>
          <w:rFonts w:ascii="Times New Roman" w:hAnsi="Times New Roman"/>
          <w:caps w:val="false"/>
          <w:smallCaps w:val="false"/>
          <w:sz w:val="20"/>
        </w:rPr>
        <w:t>potential litigation relating to the divestiture and the related costs.</w:t>
      </w:r>
    </w:p>
    <w:p>
      <w:pPr>
        <w:pStyle w:val="TextBody"/>
        <w:spacing w:before="0" w:after="0"/>
        <w:ind w:left="1240" w:right="0" w:hanging="360"/>
        <w:rPr>
          <w:caps w:val="false"/>
          <w:smallCaps w:val="false"/>
        </w:rPr>
      </w:pPr>
      <w:r>
        <w:rPr>
          <w:caps w:val="false"/>
          <w:smallCaps w:val="false"/>
        </w:rPr>
        <w:t> </w:t>
      </w:r>
    </w:p>
    <w:p>
      <w:pPr>
        <w:pStyle w:val="TextBody"/>
        <w:spacing w:before="0" w:after="0"/>
        <w:ind w:left="0" w:right="0" w:firstLine="900"/>
        <w:rPr>
          <w:rFonts w:ascii="Times New Roman" w:hAnsi="Times New Roman"/>
          <w:caps w:val="false"/>
          <w:smallCaps w:val="false"/>
          <w:sz w:val="20"/>
        </w:rPr>
      </w:pPr>
      <w:r>
        <w:rPr>
          <w:rFonts w:ascii="Times New Roman" w:hAnsi="Times New Roman"/>
          <w:caps w:val="false"/>
          <w:smallCaps w:val="false"/>
          <w:sz w:val="20"/>
        </w:rPr>
        <w:t>Any of these matters could adversely affect our stock price, business, financial condition, results of operations, or business prospects. In addition, divestiture of our manufacturing facilities in the PRC also contains inherent risks that may impact our ability to fully realize the benefits of such divestiture, including possible delays in closing and potential post-closing claims for indemnification. The divestiture may also have a dilutive impact on our future earnings if we are unable to offset the dilutive impact from the loss of revenue associated with the divestiture, as well as significant write-offs, including those related to goodwill and other intangible assets. If any of these risks materialize, the benefits of such divestiture may not be fully realized, if at all, and our business, financial condition, and results of operations could be negatively impacted.</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30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jc w:val="left"/>
        <w:rPr/>
      </w:pPr>
      <w:r>
        <w:rPr/>
        <w:t>​</w:t>
      </w:r>
    </w:p>
    <w:p>
      <w:pPr>
        <w:pStyle w:val="TextBody"/>
        <w:spacing w:before="0" w:after="0"/>
        <w:ind w:left="0" w:right="0" w:hanging="0"/>
        <w:jc w:val="left"/>
        <w:rPr>
          <w:rFonts w:ascii="Times New Roman;Times;serif" w:hAnsi="Times New Roman;Times;serif"/>
          <w:b/>
          <w:sz w:val="20"/>
        </w:rPr>
      </w:pPr>
      <w:bookmarkStart w:id="17" w:name="exhibits"/>
      <w:bookmarkEnd w:id="17"/>
      <w:r>
        <w:rPr>
          <w:rFonts w:ascii="Times New Roman;Times;serif" w:hAnsi="Times New Roman;Times;serif"/>
          <w:b/>
          <w:sz w:val="20"/>
        </w:rPr>
        <w:t>Item 6.   Exhibits</w:t>
      </w:r>
    </w:p>
    <w:p>
      <w:pPr>
        <w:pStyle w:val="TextBody"/>
        <w:spacing w:before="0" w:after="0"/>
        <w:ind w:left="0" w:right="0" w:hanging="0"/>
        <w:jc w:val="left"/>
        <w:rPr/>
      </w:pPr>
      <w:r>
        <w:rPr/>
        <w:t>​</w:t>
      </w:r>
    </w:p>
    <w:p>
      <w:pPr>
        <w:pStyle w:val="TextBody"/>
        <w:spacing w:before="0" w:after="0"/>
        <w:ind w:left="0" w:right="0" w:hanging="0"/>
        <w:jc w:val="left"/>
        <w:rPr>
          <w:rFonts w:ascii="Times New Roman;Times;serif" w:hAnsi="Times New Roman;Times;serif"/>
          <w:sz w:val="20"/>
        </w:rPr>
      </w:pPr>
      <w:r>
        <w:rPr>
          <w:rFonts w:ascii="Times New Roman;Times;serif" w:hAnsi="Times New Roman;Times;serif"/>
          <w:sz w:val="20"/>
        </w:rPr>
        <w:t>See Exhibit Index.</w:t>
      </w:r>
    </w:p>
    <w:p>
      <w:pPr>
        <w:pStyle w:val="TextBody"/>
        <w:spacing w:before="0" w:after="0"/>
        <w:ind w:left="0" w:right="0" w:hanging="0"/>
        <w:jc w:val="left"/>
        <w:rPr/>
      </w:pPr>
      <w:r>
        <w:rPr/>
        <w:t>​</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31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 INDEX</w:t>
      </w:r>
    </w:p>
    <w:p>
      <w:pPr>
        <w:pStyle w:val="TextBody"/>
        <w:spacing w:before="0" w:after="0"/>
        <w:ind w:left="0" w:right="0" w:hanging="0"/>
        <w:jc w:val="center"/>
        <w:rPr/>
      </w:pPr>
      <w:r>
        <w:rPr/>
        <w:t>​</w:t>
      </w:r>
    </w:p>
    <w:tbl>
      <w:tblPr>
        <w:tblW w:w="10205" w:type="dxa"/>
        <w:jc w:val="left"/>
        <w:tblInd w:w="0" w:type="dxa"/>
        <w:tblCellMar>
          <w:top w:w="0" w:type="dxa"/>
          <w:left w:w="0" w:type="dxa"/>
          <w:bottom w:w="28" w:type="dxa"/>
          <w:right w:w="0" w:type="dxa"/>
        </w:tblCellMar>
      </w:tblPr>
      <w:tblGrid>
        <w:gridCol w:w="756"/>
        <w:gridCol w:w="240"/>
        <w:gridCol w:w="9209"/>
      </w:tblGrid>
      <w:tr>
        <w:trPr/>
        <w:tc>
          <w:tcPr>
            <w:tcW w:w="756" w:type="dxa"/>
            <w:tcBorders>
              <w:bottom w:val="single" w:sz="2" w:space="0" w:color="000000"/>
            </w:tcBorders>
            <w:shd w:fill="auto" w:val="clear"/>
            <w:vAlign w:val="center"/>
          </w:tcPr>
          <w:p>
            <w:pPr>
              <w:pStyle w:val="TableContents"/>
              <w:spacing w:before="0" w:after="0"/>
              <w:ind w:left="0" w:right="0" w:hanging="0"/>
              <w:jc w:val="left"/>
              <w:rPr>
                <w:rFonts w:ascii="Times New Roman;Times;serif" w:hAnsi="Times New Roman;Times;serif"/>
                <w:b/>
                <w:sz w:val="20"/>
              </w:rPr>
            </w:pPr>
            <w:r>
              <w:rPr>
                <w:rFonts w:ascii="Times New Roman;Times;serif" w:hAnsi="Times New Roman;Times;serif"/>
                <w:b/>
                <w:sz w:val="20"/>
              </w:rPr>
              <w:t>Number</w:t>
            </w:r>
          </w:p>
        </w:tc>
        <w:tc>
          <w:tcPr>
            <w:tcW w:w="240" w:type="dxa"/>
            <w:tcBorders/>
            <w:shd w:fill="auto" w:val="clear"/>
            <w:tcMar>
              <w:bottom w:w="0" w:type="dxa"/>
            </w:tcMar>
            <w:vAlign w:val="center"/>
          </w:tcPr>
          <w:p>
            <w:pPr>
              <w:pStyle w:val="TableContents"/>
              <w:spacing w:before="0" w:after="0"/>
              <w:ind w:left="0" w:right="0" w:hanging="0"/>
              <w:jc w:val="left"/>
              <w:rPr/>
            </w:pPr>
            <w:r>
              <w:rPr/>
              <w:t>    </w:t>
            </w:r>
          </w:p>
        </w:tc>
        <w:tc>
          <w:tcPr>
            <w:tcW w:w="9209" w:type="dxa"/>
            <w:tcBorders>
              <w:bottom w:val="single" w:sz="2" w:space="0" w:color="000000"/>
            </w:tcBorders>
            <w:shd w:fill="auto" w:val="clear"/>
            <w:vAlign w:val="center"/>
          </w:tcPr>
          <w:p>
            <w:pPr>
              <w:pStyle w:val="TableContents"/>
              <w:spacing w:before="0" w:after="0"/>
              <w:ind w:left="0" w:right="0" w:hanging="0"/>
              <w:jc w:val="left"/>
              <w:rPr>
                <w:rFonts w:ascii="Times New Roman;Times;serif" w:hAnsi="Times New Roman;Times;serif"/>
                <w:b/>
                <w:sz w:val="20"/>
              </w:rPr>
            </w:pPr>
            <w:r>
              <w:rPr>
                <w:rFonts w:ascii="Times New Roman;Times;serif" w:hAnsi="Times New Roman;Times;serif"/>
                <w:b/>
                <w:sz w:val="20"/>
              </w:rPr>
              <w:t>Description</w:t>
            </w:r>
          </w:p>
        </w:tc>
      </w:tr>
      <w:tr>
        <w:trPr/>
        <w:tc>
          <w:tcPr>
            <w:tcW w:w="756" w:type="dxa"/>
            <w:tcBorders/>
            <w:shd w:fill="auto" w:val="clear"/>
            <w:tcMar>
              <w:bottom w:w="0" w:type="dxa"/>
            </w:tcMar>
            <w:vAlign w:val="center"/>
          </w:tcPr>
          <w:p>
            <w:pPr>
              <w:pStyle w:val="TableContents"/>
              <w:spacing w:before="0" w:after="283"/>
              <w:rPr/>
            </w:pPr>
            <w:r>
              <w:rPr/>
              <w:t>2.1*</w:t>
            </w:r>
          </w:p>
        </w:tc>
        <w:tc>
          <w:tcPr>
            <w:tcW w:w="240" w:type="dxa"/>
            <w:tcBorders/>
            <w:shd w:fill="auto" w:val="clear"/>
            <w:tcMar>
              <w:bottom w:w="0" w:type="dxa"/>
            </w:tcMar>
            <w:vAlign w:val="center"/>
          </w:tcPr>
          <w:p>
            <w:pPr>
              <w:pStyle w:val="TableContents"/>
              <w:spacing w:before="0" w:after="283"/>
              <w:rPr/>
            </w:pPr>
            <w:r>
              <w:rPr/>
              <w:t> </w:t>
            </w:r>
          </w:p>
        </w:tc>
        <w:tc>
          <w:tcPr>
            <w:tcW w:w="9209" w:type="dxa"/>
            <w:tcBorders/>
            <w:shd w:fill="auto" w:val="clear"/>
            <w:tcMar>
              <w:bottom w:w="0" w:type="dxa"/>
            </w:tcMar>
            <w:vAlign w:val="center"/>
          </w:tcPr>
          <w:p>
            <w:pPr>
              <w:pStyle w:val="TableContents"/>
              <w:spacing w:before="0" w:after="283"/>
              <w:rPr/>
            </w:pPr>
            <w:hyperlink r:id="rId2">
              <w:r>
                <w:rPr>
                  <w:rStyle w:val="InternetLink"/>
                  <w:u w:val="single"/>
                </w:rPr>
                <w:t>Agreement for the Sale and Purchase of a New Company to Be Established in Hong Kong Special Administrative Region of The People’s Republic of China, dated as of September 15, 2022, by and between Prime World International Holdings Ltd., Applied Optoelectronics, Inc. and Yuhan Optoelectronic Technology (Shanghai) Co., Ltd. (filed as Exhibit 2.1 to the Registrant’s Current Report on Form 8-K filed with the Securities and Exchange Commission on September 15, 2022).</w:t>
              </w:r>
            </w:hyperlink>
          </w:p>
        </w:tc>
      </w:tr>
      <w:tr>
        <w:trPr/>
        <w:tc>
          <w:tcPr>
            <w:tcW w:w="756" w:type="dxa"/>
            <w:tcBorders/>
            <w:shd w:fill="auto" w:val="clear"/>
            <w:tcMar>
              <w:bottom w:w="0" w:type="dxa"/>
            </w:tcMar>
            <w:vAlign w:val="center"/>
          </w:tcPr>
          <w:p>
            <w:pPr>
              <w:pStyle w:val="TableContents"/>
              <w:spacing w:before="0" w:after="283"/>
              <w:rPr/>
            </w:pPr>
            <w:r>
              <w:rPr/>
              <w:t> </w:t>
            </w:r>
          </w:p>
        </w:tc>
        <w:tc>
          <w:tcPr>
            <w:tcW w:w="240" w:type="dxa"/>
            <w:tcBorders/>
            <w:shd w:fill="auto" w:val="clear"/>
            <w:tcMar>
              <w:bottom w:w="0" w:type="dxa"/>
            </w:tcMar>
            <w:vAlign w:val="center"/>
          </w:tcPr>
          <w:p>
            <w:pPr>
              <w:pStyle w:val="TableContents"/>
              <w:spacing w:before="0" w:after="283"/>
              <w:rPr/>
            </w:pPr>
            <w:r>
              <w:rPr/>
              <w:t> </w:t>
            </w:r>
          </w:p>
        </w:tc>
        <w:tc>
          <w:tcPr>
            <w:tcW w:w="9209" w:type="dxa"/>
            <w:tcBorders/>
            <w:shd w:fill="auto" w:val="clear"/>
            <w:tcMar>
              <w:bottom w:w="0" w:type="dxa"/>
            </w:tcMar>
            <w:vAlign w:val="center"/>
          </w:tcPr>
          <w:p>
            <w:pPr>
              <w:pStyle w:val="TableContents"/>
              <w:spacing w:before="0" w:after="283"/>
              <w:rPr/>
            </w:pPr>
            <w:r>
              <w:rPr/>
              <w:t> </w:t>
            </w:r>
          </w:p>
        </w:tc>
      </w:tr>
      <w:tr>
        <w:trPr/>
        <w:tc>
          <w:tcPr>
            <w:tcW w:w="756" w:type="dxa"/>
            <w:tcBorders/>
            <w:shd w:fill="auto" w:val="clear"/>
            <w:tcMar>
              <w:bottom w:w="0" w:type="dxa"/>
            </w:tcM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3.1*</w:t>
            </w:r>
          </w:p>
        </w:tc>
        <w:tc>
          <w:tcPr>
            <w:tcW w:w="240" w:type="dxa"/>
            <w:tcBorders/>
            <w:shd w:fill="auto" w:val="clear"/>
            <w:tcMar>
              <w:bottom w:w="0" w:type="dxa"/>
            </w:tcMar>
            <w:vAlign w:val="center"/>
          </w:tcPr>
          <w:p>
            <w:pPr>
              <w:pStyle w:val="TableContents"/>
              <w:spacing w:before="0" w:after="0"/>
              <w:ind w:left="0" w:right="0" w:hanging="0"/>
              <w:jc w:val="left"/>
              <w:rPr/>
            </w:pPr>
            <w:r>
              <w:rPr/>
              <w:t>​</w:t>
            </w:r>
          </w:p>
        </w:tc>
        <w:tc>
          <w:tcPr>
            <w:tcW w:w="9209" w:type="dxa"/>
            <w:tcBorders/>
            <w:shd w:fill="auto" w:val="clear"/>
            <w:tcMar>
              <w:bottom w:w="0" w:type="dxa"/>
            </w:tcMar>
            <w:vAlign w:val="center"/>
          </w:tcPr>
          <w:p>
            <w:pPr>
              <w:pStyle w:val="TableContents"/>
              <w:spacing w:before="0" w:after="0"/>
              <w:ind w:left="0" w:right="0" w:hanging="0"/>
              <w:jc w:val="left"/>
              <w:rPr/>
            </w:pPr>
            <w:hyperlink r:id="rId3">
              <w:r>
                <w:rPr>
                  <w:rStyle w:val="InternetLink"/>
                  <w:rFonts w:ascii="Times New Roman;Times;serif" w:hAnsi="Times New Roman;Times;serif"/>
                  <w:sz w:val="20"/>
                </w:rPr>
                <w:t>Amended and Restated Certificate of Incorporation, as currently in effect (filed as Exhibit 3.1 to the Registrant’s Quarterly Report on Form 10-Q filed with the Securities and Exchange Commission on November 14, 2013).</w:t>
              </w:r>
            </w:hyperlink>
          </w:p>
        </w:tc>
      </w:tr>
      <w:tr>
        <w:trPr/>
        <w:tc>
          <w:tcPr>
            <w:tcW w:w="756" w:type="dxa"/>
            <w:tcBorders/>
            <w:shd w:fill="auto" w:val="clear"/>
            <w:tcMar>
              <w:bottom w:w="0" w:type="dxa"/>
            </w:tcMar>
            <w:vAlign w:val="center"/>
          </w:tcPr>
          <w:p>
            <w:pPr>
              <w:pStyle w:val="TableContents"/>
              <w:spacing w:before="0" w:after="0"/>
              <w:ind w:left="0" w:right="0" w:hanging="0"/>
              <w:jc w:val="left"/>
              <w:rPr/>
            </w:pPr>
            <w:r>
              <w:rPr/>
              <w:t> </w:t>
            </w:r>
          </w:p>
        </w:tc>
        <w:tc>
          <w:tcPr>
            <w:tcW w:w="240" w:type="dxa"/>
            <w:tcBorders/>
            <w:shd w:fill="auto" w:val="clear"/>
            <w:tcMar>
              <w:bottom w:w="0" w:type="dxa"/>
            </w:tcMar>
            <w:vAlign w:val="center"/>
          </w:tcPr>
          <w:p>
            <w:pPr>
              <w:pStyle w:val="TableContents"/>
              <w:spacing w:before="0" w:after="0"/>
              <w:ind w:left="0" w:right="0" w:hanging="0"/>
              <w:jc w:val="left"/>
              <w:rPr/>
            </w:pPr>
            <w:r>
              <w:rPr/>
              <w:t>​</w:t>
            </w:r>
          </w:p>
        </w:tc>
        <w:tc>
          <w:tcPr>
            <w:tcW w:w="9209" w:type="dxa"/>
            <w:tcBorders/>
            <w:shd w:fill="auto" w:val="clear"/>
            <w:tcMar>
              <w:bottom w:w="0" w:type="dxa"/>
            </w:tcMar>
            <w:vAlign w:val="center"/>
          </w:tcPr>
          <w:p>
            <w:pPr>
              <w:pStyle w:val="TableContents"/>
              <w:spacing w:before="0" w:after="0"/>
              <w:ind w:left="0" w:right="0" w:hanging="0"/>
              <w:jc w:val="left"/>
              <w:rPr/>
            </w:pPr>
            <w:r>
              <w:rPr/>
              <w:t> </w:t>
            </w:r>
          </w:p>
        </w:tc>
      </w:tr>
      <w:tr>
        <w:trPr/>
        <w:tc>
          <w:tcPr>
            <w:tcW w:w="756" w:type="dxa"/>
            <w:tcBorders/>
            <w:shd w:fill="auto" w:val="clear"/>
            <w:tcMar>
              <w:bottom w:w="0" w:type="dxa"/>
            </w:tcM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3.2*</w:t>
            </w:r>
          </w:p>
        </w:tc>
        <w:tc>
          <w:tcPr>
            <w:tcW w:w="240" w:type="dxa"/>
            <w:tcBorders/>
            <w:shd w:fill="auto" w:val="clear"/>
            <w:tcMar>
              <w:bottom w:w="0" w:type="dxa"/>
            </w:tcMar>
            <w:vAlign w:val="center"/>
          </w:tcPr>
          <w:p>
            <w:pPr>
              <w:pStyle w:val="TableContents"/>
              <w:spacing w:before="0" w:after="0"/>
              <w:ind w:left="0" w:right="0" w:hanging="0"/>
              <w:jc w:val="left"/>
              <w:rPr/>
            </w:pPr>
            <w:r>
              <w:rPr/>
              <w:t>​</w:t>
            </w:r>
          </w:p>
        </w:tc>
        <w:tc>
          <w:tcPr>
            <w:tcW w:w="9209" w:type="dxa"/>
            <w:tcBorders/>
            <w:shd w:fill="auto" w:val="clear"/>
            <w:tcMar>
              <w:bottom w:w="0" w:type="dxa"/>
            </w:tcMar>
            <w:vAlign w:val="center"/>
          </w:tcPr>
          <w:p>
            <w:pPr>
              <w:pStyle w:val="TableContents"/>
              <w:spacing w:before="0" w:after="0"/>
              <w:ind w:left="0" w:right="0" w:hanging="0"/>
              <w:jc w:val="left"/>
              <w:rPr/>
            </w:pPr>
            <w:hyperlink r:id="rId4">
              <w:r>
                <w:rPr>
                  <w:rStyle w:val="InternetLink"/>
                  <w:rFonts w:ascii="Times New Roman;Times;serif" w:hAnsi="Times New Roman;Times;serif"/>
                  <w:sz w:val="20"/>
                </w:rPr>
                <w:t>Amended and Restated Bylaws, as currently in effect (filed as Exhibit 3.2 to the Registrant’s Quarterly Report on Form 10-Q filed with the Securities and Exchange Commission on November 14, 2013).</w:t>
              </w:r>
            </w:hyperlink>
          </w:p>
        </w:tc>
      </w:tr>
      <w:tr>
        <w:trPr/>
        <w:tc>
          <w:tcPr>
            <w:tcW w:w="756" w:type="dxa"/>
            <w:tcBorders/>
            <w:shd w:fill="auto" w:val="clear"/>
            <w:tcMar>
              <w:bottom w:w="0" w:type="dxa"/>
            </w:tcMar>
            <w:vAlign w:val="center"/>
          </w:tcPr>
          <w:p>
            <w:pPr>
              <w:pStyle w:val="TableContents"/>
              <w:spacing w:before="0" w:after="0"/>
              <w:ind w:left="0" w:right="0" w:hanging="0"/>
              <w:jc w:val="left"/>
              <w:rPr/>
            </w:pPr>
            <w:r>
              <w:rPr/>
              <w:t> </w:t>
            </w:r>
          </w:p>
        </w:tc>
        <w:tc>
          <w:tcPr>
            <w:tcW w:w="240" w:type="dxa"/>
            <w:tcBorders/>
            <w:shd w:fill="auto" w:val="clear"/>
            <w:tcMar>
              <w:bottom w:w="0" w:type="dxa"/>
            </w:tcMar>
            <w:vAlign w:val="center"/>
          </w:tcPr>
          <w:p>
            <w:pPr>
              <w:pStyle w:val="TableContents"/>
              <w:spacing w:before="0" w:after="0"/>
              <w:ind w:left="0" w:right="0" w:hanging="0"/>
              <w:jc w:val="left"/>
              <w:rPr/>
            </w:pPr>
            <w:r>
              <w:rPr/>
              <w:t>​</w:t>
            </w:r>
          </w:p>
        </w:tc>
        <w:tc>
          <w:tcPr>
            <w:tcW w:w="9209" w:type="dxa"/>
            <w:tcBorders/>
            <w:shd w:fill="auto" w:val="clear"/>
            <w:tcMar>
              <w:bottom w:w="0" w:type="dxa"/>
            </w:tcMar>
            <w:vAlign w:val="center"/>
          </w:tcPr>
          <w:p>
            <w:pPr>
              <w:pStyle w:val="TableContents"/>
              <w:spacing w:before="0" w:after="0"/>
              <w:ind w:left="0" w:right="0" w:hanging="0"/>
              <w:jc w:val="left"/>
              <w:rPr/>
            </w:pPr>
            <w:r>
              <w:rPr/>
              <w:t> </w:t>
            </w:r>
          </w:p>
        </w:tc>
      </w:tr>
      <w:tr>
        <w:trPr/>
        <w:tc>
          <w:tcPr>
            <w:tcW w:w="756" w:type="dxa"/>
            <w:tcBorders/>
            <w:shd w:fill="auto" w:val="clear"/>
            <w:tcMar>
              <w:bottom w:w="0" w:type="dxa"/>
            </w:tcM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4.1*</w:t>
            </w:r>
          </w:p>
        </w:tc>
        <w:tc>
          <w:tcPr>
            <w:tcW w:w="240" w:type="dxa"/>
            <w:tcBorders/>
            <w:shd w:fill="auto" w:val="clear"/>
            <w:tcMar>
              <w:bottom w:w="0" w:type="dxa"/>
            </w:tcMar>
            <w:vAlign w:val="center"/>
          </w:tcPr>
          <w:p>
            <w:pPr>
              <w:pStyle w:val="TableContents"/>
              <w:spacing w:before="0" w:after="0"/>
              <w:ind w:left="0" w:right="0" w:hanging="0"/>
              <w:jc w:val="left"/>
              <w:rPr/>
            </w:pPr>
            <w:r>
              <w:rPr/>
              <w:t>​</w:t>
            </w:r>
          </w:p>
        </w:tc>
        <w:tc>
          <w:tcPr>
            <w:tcW w:w="9209" w:type="dxa"/>
            <w:tcBorders/>
            <w:shd w:fill="auto" w:val="clear"/>
            <w:tcMar>
              <w:bottom w:w="0" w:type="dxa"/>
            </w:tcMar>
            <w:vAlign w:val="center"/>
          </w:tcPr>
          <w:p>
            <w:pPr>
              <w:pStyle w:val="TableContents"/>
              <w:spacing w:before="0" w:after="0"/>
              <w:ind w:left="0" w:right="0" w:hanging="0"/>
              <w:jc w:val="left"/>
              <w:rPr/>
            </w:pPr>
            <w:hyperlink r:id="rId5">
              <w:r>
                <w:rPr>
                  <w:rStyle w:val="InternetLink"/>
                  <w:rFonts w:ascii="Times New Roman;Times;serif" w:hAnsi="Times New Roman;Times;serif"/>
                  <w:sz w:val="20"/>
                </w:rPr>
                <w:t>Common Stock Specimen (filed as Exhibit 4.1 to the Registrant’s Current Report on Form 8-K filed with the Securities and Exchange Commission on July 15, 2015).</w:t>
              </w:r>
            </w:hyperlink>
          </w:p>
        </w:tc>
      </w:tr>
      <w:tr>
        <w:trPr/>
        <w:tc>
          <w:tcPr>
            <w:tcW w:w="756" w:type="dxa"/>
            <w:tcBorders/>
            <w:shd w:fill="auto" w:val="clear"/>
            <w:tcMar>
              <w:bottom w:w="0" w:type="dxa"/>
            </w:tcMar>
            <w:vAlign w:val="center"/>
          </w:tcPr>
          <w:p>
            <w:pPr>
              <w:pStyle w:val="TableContents"/>
              <w:spacing w:before="0" w:after="0"/>
              <w:ind w:left="0" w:right="0" w:hanging="0"/>
              <w:jc w:val="left"/>
              <w:rPr/>
            </w:pPr>
            <w:r>
              <w:rPr/>
              <w:t>​</w:t>
            </w:r>
          </w:p>
        </w:tc>
        <w:tc>
          <w:tcPr>
            <w:tcW w:w="240" w:type="dxa"/>
            <w:tcBorders/>
            <w:shd w:fill="auto" w:val="clear"/>
            <w:tcMar>
              <w:bottom w:w="0" w:type="dxa"/>
            </w:tcMar>
            <w:vAlign w:val="center"/>
          </w:tcPr>
          <w:p>
            <w:pPr>
              <w:pStyle w:val="TableContents"/>
              <w:spacing w:before="0" w:after="0"/>
              <w:ind w:left="0" w:right="0" w:hanging="0"/>
              <w:jc w:val="left"/>
              <w:rPr/>
            </w:pPr>
            <w:r>
              <w:rPr/>
              <w:t>​</w:t>
            </w:r>
          </w:p>
        </w:tc>
        <w:tc>
          <w:tcPr>
            <w:tcW w:w="9209" w:type="dxa"/>
            <w:tcBorders/>
            <w:shd w:fill="auto" w:val="clear"/>
            <w:tcMar>
              <w:bottom w:w="0" w:type="dxa"/>
            </w:tcMar>
            <w:vAlign w:val="center"/>
          </w:tcPr>
          <w:p>
            <w:pPr>
              <w:pStyle w:val="TableContents"/>
              <w:spacing w:before="0" w:after="0"/>
              <w:ind w:left="0" w:right="0" w:hanging="0"/>
              <w:jc w:val="left"/>
              <w:rPr/>
            </w:pPr>
            <w:r>
              <w:rPr/>
              <w:t>​</w:t>
            </w:r>
          </w:p>
        </w:tc>
      </w:tr>
      <w:tr>
        <w:trPr/>
        <w:tc>
          <w:tcPr>
            <w:tcW w:w="756" w:type="dxa"/>
            <w:tcBorders/>
            <w:shd w:fill="auto" w:val="clear"/>
            <w:tcMar>
              <w:bottom w:w="0" w:type="dxa"/>
            </w:tcM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4.2*</w:t>
            </w:r>
          </w:p>
        </w:tc>
        <w:tc>
          <w:tcPr>
            <w:tcW w:w="240" w:type="dxa"/>
            <w:tcBorders/>
            <w:shd w:fill="auto" w:val="clear"/>
            <w:tcMar>
              <w:bottom w:w="0" w:type="dxa"/>
            </w:tcMar>
            <w:vAlign w:val="center"/>
          </w:tcPr>
          <w:p>
            <w:pPr>
              <w:pStyle w:val="TableContents"/>
              <w:spacing w:before="0" w:after="0"/>
              <w:ind w:left="0" w:right="0" w:hanging="0"/>
              <w:jc w:val="left"/>
              <w:rPr/>
            </w:pPr>
            <w:r>
              <w:rPr/>
              <w:t>​</w:t>
            </w:r>
          </w:p>
        </w:tc>
        <w:tc>
          <w:tcPr>
            <w:tcW w:w="9209" w:type="dxa"/>
            <w:tcBorders/>
            <w:shd w:fill="auto" w:val="clear"/>
            <w:tcMar>
              <w:bottom w:w="0" w:type="dxa"/>
            </w:tcMar>
            <w:vAlign w:val="center"/>
          </w:tcPr>
          <w:p>
            <w:pPr>
              <w:pStyle w:val="TableContents"/>
              <w:spacing w:before="0" w:after="0"/>
              <w:ind w:left="0" w:right="0" w:hanging="0"/>
              <w:jc w:val="left"/>
              <w:rPr/>
            </w:pPr>
            <w:hyperlink r:id="rId6">
              <w:r>
                <w:rPr>
                  <w:rStyle w:val="InternetLink"/>
                  <w:rFonts w:ascii="Times New Roman;Times;serif" w:hAnsi="Times New Roman;Times;serif"/>
                  <w:sz w:val="20"/>
                </w:rPr>
                <w:t>Indenture, dated as of March 5, 2019 between Applied Optoelectronics, Inc. and Wells Fargo Bank, National Association, as trustee, paying agent, and conversion agent (filed as Exhibit 4.1 to the Registrant’s Current Report on Form 8-K filed with the Securities and Exchange Commission on March 5, 2019).</w:t>
              </w:r>
            </w:hyperlink>
          </w:p>
        </w:tc>
      </w:tr>
      <w:tr>
        <w:trPr/>
        <w:tc>
          <w:tcPr>
            <w:tcW w:w="756" w:type="dxa"/>
            <w:tcBorders/>
            <w:shd w:fill="auto" w:val="clear"/>
            <w:tcMar>
              <w:bottom w:w="0" w:type="dxa"/>
            </w:tcMar>
            <w:vAlign w:val="center"/>
          </w:tcPr>
          <w:p>
            <w:pPr>
              <w:pStyle w:val="TableContents"/>
              <w:spacing w:before="0" w:after="0"/>
              <w:ind w:left="0" w:right="0" w:hanging="0"/>
              <w:jc w:val="left"/>
              <w:rPr/>
            </w:pPr>
            <w:r>
              <w:rPr/>
              <w:t> </w:t>
            </w:r>
          </w:p>
        </w:tc>
        <w:tc>
          <w:tcPr>
            <w:tcW w:w="240" w:type="dxa"/>
            <w:tcBorders/>
            <w:shd w:fill="auto" w:val="clear"/>
            <w:tcMar>
              <w:bottom w:w="0" w:type="dxa"/>
            </w:tcMar>
            <w:vAlign w:val="center"/>
          </w:tcPr>
          <w:p>
            <w:pPr>
              <w:pStyle w:val="TableContents"/>
              <w:spacing w:before="0" w:after="0"/>
              <w:ind w:left="0" w:right="0" w:hanging="0"/>
              <w:jc w:val="left"/>
              <w:rPr/>
            </w:pPr>
            <w:r>
              <w:rPr/>
              <w:t>​</w:t>
            </w:r>
          </w:p>
        </w:tc>
        <w:tc>
          <w:tcPr>
            <w:tcW w:w="9209" w:type="dxa"/>
            <w:tcBorders/>
            <w:shd w:fill="auto" w:val="clear"/>
            <w:tcMar>
              <w:bottom w:w="0" w:type="dxa"/>
            </w:tcMar>
            <w:vAlign w:val="center"/>
          </w:tcPr>
          <w:p>
            <w:pPr>
              <w:pStyle w:val="TableContents"/>
              <w:spacing w:before="0" w:after="0"/>
              <w:ind w:left="0" w:right="0" w:hanging="0"/>
              <w:jc w:val="left"/>
              <w:rPr/>
            </w:pPr>
            <w:r>
              <w:rPr/>
              <w:t> </w:t>
            </w:r>
          </w:p>
        </w:tc>
      </w:tr>
      <w:tr>
        <w:trPr/>
        <w:tc>
          <w:tcPr>
            <w:tcW w:w="756" w:type="dxa"/>
            <w:tcBorders/>
            <w:shd w:fill="auto" w:val="clear"/>
            <w:tcMar>
              <w:bottom w:w="0" w:type="dxa"/>
            </w:tcM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4.3*</w:t>
            </w:r>
          </w:p>
        </w:tc>
        <w:tc>
          <w:tcPr>
            <w:tcW w:w="240" w:type="dxa"/>
            <w:tcBorders/>
            <w:shd w:fill="auto" w:val="clear"/>
            <w:tcMar>
              <w:bottom w:w="0" w:type="dxa"/>
            </w:tcMar>
            <w:vAlign w:val="center"/>
          </w:tcPr>
          <w:p>
            <w:pPr>
              <w:pStyle w:val="TableContents"/>
              <w:spacing w:before="0" w:after="0"/>
              <w:ind w:left="0" w:right="0" w:hanging="0"/>
              <w:jc w:val="left"/>
              <w:rPr/>
            </w:pPr>
            <w:r>
              <w:rPr/>
              <w:t>​</w:t>
            </w:r>
          </w:p>
        </w:tc>
        <w:tc>
          <w:tcPr>
            <w:tcW w:w="9209" w:type="dxa"/>
            <w:tcBorders/>
            <w:shd w:fill="auto" w:val="clear"/>
            <w:tcMar>
              <w:bottom w:w="0" w:type="dxa"/>
            </w:tcMar>
            <w:vAlign w:val="center"/>
          </w:tcPr>
          <w:p>
            <w:pPr>
              <w:pStyle w:val="TableContents"/>
              <w:spacing w:before="0" w:after="0"/>
              <w:ind w:left="0" w:right="0" w:hanging="0"/>
              <w:jc w:val="left"/>
              <w:rPr/>
            </w:pPr>
            <w:hyperlink r:id="rId7">
              <w:r>
                <w:rPr>
                  <w:rStyle w:val="InternetLink"/>
                  <w:rFonts w:ascii="Times New Roman;Times;serif" w:hAnsi="Times New Roman;Times;serif"/>
                  <w:sz w:val="20"/>
                </w:rPr>
                <w:t>Form of Note representing the Company’s 5.00% Convertible Senior Notes due 2024 (included as Exhibit A to the Indenture filed as Exhibit 4.1 to the Registrant’s Current Report on Form 8-K filed with the Securities and Exchange Commission on March 5, 2019).</w:t>
              </w:r>
            </w:hyperlink>
          </w:p>
        </w:tc>
      </w:tr>
      <w:tr>
        <w:trPr/>
        <w:tc>
          <w:tcPr>
            <w:tcW w:w="756" w:type="dxa"/>
            <w:tcBorders/>
            <w:shd w:fill="auto" w:val="clear"/>
            <w:tcMar>
              <w:bottom w:w="0" w:type="dxa"/>
            </w:tcMar>
            <w:vAlign w:val="center"/>
          </w:tcPr>
          <w:p>
            <w:pPr>
              <w:pStyle w:val="TableContents"/>
              <w:spacing w:before="0" w:after="283"/>
              <w:rPr/>
            </w:pPr>
            <w:r>
              <w:rPr/>
              <w:t> </w:t>
            </w:r>
          </w:p>
        </w:tc>
        <w:tc>
          <w:tcPr>
            <w:tcW w:w="240" w:type="dxa"/>
            <w:tcBorders/>
            <w:shd w:fill="auto" w:val="clear"/>
            <w:tcMar>
              <w:bottom w:w="0" w:type="dxa"/>
            </w:tcMar>
            <w:vAlign w:val="center"/>
          </w:tcPr>
          <w:p>
            <w:pPr>
              <w:pStyle w:val="TableContents"/>
              <w:spacing w:before="0" w:after="283"/>
              <w:rPr/>
            </w:pPr>
            <w:r>
              <w:rPr/>
              <w:t> </w:t>
            </w:r>
          </w:p>
        </w:tc>
        <w:tc>
          <w:tcPr>
            <w:tcW w:w="9209" w:type="dxa"/>
            <w:tcBorders/>
            <w:shd w:fill="auto" w:val="clear"/>
            <w:tcMar>
              <w:bottom w:w="0" w:type="dxa"/>
            </w:tcMar>
            <w:vAlign w:val="center"/>
          </w:tcPr>
          <w:p>
            <w:pPr>
              <w:pStyle w:val="TableContents"/>
              <w:spacing w:before="0" w:after="283"/>
              <w:rPr/>
            </w:pPr>
            <w:r>
              <w:rPr/>
              <w:t> </w:t>
            </w:r>
          </w:p>
        </w:tc>
      </w:tr>
      <w:tr>
        <w:trPr/>
        <w:tc>
          <w:tcPr>
            <w:tcW w:w="756" w:type="dxa"/>
            <w:tcBorders/>
            <w:shd w:fill="auto" w:val="clear"/>
            <w:tcMar>
              <w:bottom w:w="0" w:type="dxa"/>
            </w:tcM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240" w:type="dxa"/>
            <w:tcBorders/>
            <w:shd w:fill="auto" w:val="clear"/>
            <w:tcMar>
              <w:bottom w:w="0" w:type="dxa"/>
            </w:tcMar>
            <w:vAlign w:val="center"/>
          </w:tcPr>
          <w:p>
            <w:pPr>
              <w:pStyle w:val="TableContents"/>
              <w:spacing w:before="0" w:after="0"/>
              <w:ind w:left="0" w:right="0" w:hanging="0"/>
              <w:jc w:val="left"/>
              <w:rPr/>
            </w:pPr>
            <w:r>
              <w:rPr/>
              <w:t>​</w:t>
            </w:r>
          </w:p>
        </w:tc>
        <w:tc>
          <w:tcPr>
            <w:tcW w:w="9209" w:type="dxa"/>
            <w:tcBorders/>
            <w:shd w:fill="auto" w:val="clear"/>
            <w:tcMar>
              <w:bottom w:w="0" w:type="dxa"/>
            </w:tcMar>
            <w:vAlign w:val="center"/>
          </w:tcPr>
          <w:p>
            <w:pPr>
              <w:pStyle w:val="TableContents"/>
              <w:spacing w:before="0" w:after="0"/>
              <w:ind w:left="0" w:right="0" w:hanging="0"/>
              <w:jc w:val="left"/>
              <w:rPr/>
            </w:pPr>
            <w:hyperlink w:anchor="ex_493695.htm">
              <w:r>
                <w:rPr>
                  <w:rStyle w:val="InternetLink"/>
                  <w:rFonts w:ascii="Times New Roman;Times;serif" w:hAnsi="Times New Roman;Times;serif"/>
                  <w:sz w:val="20"/>
                </w:rPr>
                <w:t>Certification of Chief Executive Officer pursuant to Exchange Act Rule, 13a-14(a) and 15d-14(a), as adopted pursuant to Section 302 of the Sarbanes-Oxley Act of 2002.</w:t>
              </w:r>
            </w:hyperlink>
          </w:p>
        </w:tc>
      </w:tr>
      <w:tr>
        <w:trPr/>
        <w:tc>
          <w:tcPr>
            <w:tcW w:w="756" w:type="dxa"/>
            <w:tcBorders/>
            <w:shd w:fill="auto" w:val="clear"/>
            <w:tcMar>
              <w:bottom w:w="0" w:type="dxa"/>
            </w:tcMar>
            <w:vAlign w:val="center"/>
          </w:tcPr>
          <w:p>
            <w:pPr>
              <w:pStyle w:val="TableContents"/>
              <w:spacing w:before="0" w:after="0"/>
              <w:ind w:left="0" w:right="0" w:hanging="0"/>
              <w:jc w:val="left"/>
              <w:rPr/>
            </w:pPr>
            <w:r>
              <w:rPr/>
              <w:t> </w:t>
            </w:r>
          </w:p>
        </w:tc>
        <w:tc>
          <w:tcPr>
            <w:tcW w:w="240" w:type="dxa"/>
            <w:tcBorders/>
            <w:shd w:fill="auto" w:val="clear"/>
            <w:tcMar>
              <w:bottom w:w="0" w:type="dxa"/>
            </w:tcMar>
            <w:vAlign w:val="center"/>
          </w:tcPr>
          <w:p>
            <w:pPr>
              <w:pStyle w:val="TableContents"/>
              <w:spacing w:before="0" w:after="0"/>
              <w:ind w:left="0" w:right="0" w:hanging="0"/>
              <w:jc w:val="left"/>
              <w:rPr/>
            </w:pPr>
            <w:r>
              <w:rPr/>
              <w:t>​</w:t>
            </w:r>
          </w:p>
        </w:tc>
        <w:tc>
          <w:tcPr>
            <w:tcW w:w="9209" w:type="dxa"/>
            <w:tcBorders/>
            <w:shd w:fill="auto" w:val="clear"/>
            <w:tcMar>
              <w:bottom w:w="0" w:type="dxa"/>
            </w:tcMar>
            <w:vAlign w:val="center"/>
          </w:tcPr>
          <w:p>
            <w:pPr>
              <w:pStyle w:val="TableContents"/>
              <w:spacing w:before="0" w:after="0"/>
              <w:ind w:left="0" w:right="0" w:hanging="0"/>
              <w:jc w:val="left"/>
              <w:rPr/>
            </w:pPr>
            <w:r>
              <w:rPr/>
              <w:t> </w:t>
            </w:r>
          </w:p>
        </w:tc>
      </w:tr>
      <w:tr>
        <w:trPr/>
        <w:tc>
          <w:tcPr>
            <w:tcW w:w="756" w:type="dxa"/>
            <w:tcBorders/>
            <w:shd w:fill="auto" w:val="clear"/>
            <w:tcMar>
              <w:bottom w:w="0" w:type="dxa"/>
            </w:tcM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240" w:type="dxa"/>
            <w:tcBorders/>
            <w:shd w:fill="auto" w:val="clear"/>
            <w:tcMar>
              <w:bottom w:w="0" w:type="dxa"/>
            </w:tcMar>
            <w:vAlign w:val="center"/>
          </w:tcPr>
          <w:p>
            <w:pPr>
              <w:pStyle w:val="TableContents"/>
              <w:spacing w:before="0" w:after="0"/>
              <w:ind w:left="0" w:right="0" w:hanging="0"/>
              <w:jc w:val="left"/>
              <w:rPr/>
            </w:pPr>
            <w:r>
              <w:rPr/>
              <w:t>​</w:t>
            </w:r>
          </w:p>
        </w:tc>
        <w:tc>
          <w:tcPr>
            <w:tcW w:w="9209" w:type="dxa"/>
            <w:tcBorders/>
            <w:shd w:fill="auto" w:val="clear"/>
            <w:tcMar>
              <w:bottom w:w="0" w:type="dxa"/>
            </w:tcMar>
            <w:vAlign w:val="center"/>
          </w:tcPr>
          <w:p>
            <w:pPr>
              <w:pStyle w:val="TableContents"/>
              <w:spacing w:before="0" w:after="0"/>
              <w:ind w:left="0" w:right="0" w:hanging="0"/>
              <w:jc w:val="left"/>
              <w:rPr/>
            </w:pPr>
            <w:hyperlink w:anchor="ex_493696.htm">
              <w:r>
                <w:rPr>
                  <w:rStyle w:val="InternetLink"/>
                  <w:rFonts w:ascii="Times New Roman;Times;serif" w:hAnsi="Times New Roman;Times;serif"/>
                  <w:sz w:val="20"/>
                </w:rPr>
                <w:t>Certification of Chief Financial Officer pursuant to Exchange Act Rule, 13a-14(a) and 15d-14(a), as adopted pursuant to Section 302 of the Sarbanes-Oxley Act of 2002.</w:t>
              </w:r>
            </w:hyperlink>
          </w:p>
        </w:tc>
      </w:tr>
      <w:tr>
        <w:trPr/>
        <w:tc>
          <w:tcPr>
            <w:tcW w:w="756" w:type="dxa"/>
            <w:tcBorders/>
            <w:shd w:fill="auto" w:val="clear"/>
            <w:tcMar>
              <w:bottom w:w="0" w:type="dxa"/>
            </w:tcMar>
            <w:vAlign w:val="center"/>
          </w:tcPr>
          <w:p>
            <w:pPr>
              <w:pStyle w:val="TableContents"/>
              <w:spacing w:before="0" w:after="0"/>
              <w:ind w:left="0" w:right="0" w:hanging="0"/>
              <w:jc w:val="left"/>
              <w:rPr/>
            </w:pPr>
            <w:r>
              <w:rPr/>
              <w:t> </w:t>
            </w:r>
          </w:p>
        </w:tc>
        <w:tc>
          <w:tcPr>
            <w:tcW w:w="240" w:type="dxa"/>
            <w:tcBorders/>
            <w:shd w:fill="auto" w:val="clear"/>
            <w:tcMar>
              <w:bottom w:w="0" w:type="dxa"/>
            </w:tcMar>
            <w:vAlign w:val="center"/>
          </w:tcPr>
          <w:p>
            <w:pPr>
              <w:pStyle w:val="TableContents"/>
              <w:spacing w:before="0" w:after="0"/>
              <w:ind w:left="0" w:right="0" w:hanging="0"/>
              <w:jc w:val="left"/>
              <w:rPr/>
            </w:pPr>
            <w:r>
              <w:rPr/>
              <w:t>​</w:t>
            </w:r>
          </w:p>
        </w:tc>
        <w:tc>
          <w:tcPr>
            <w:tcW w:w="9209" w:type="dxa"/>
            <w:tcBorders/>
            <w:shd w:fill="auto" w:val="clear"/>
            <w:tcMar>
              <w:bottom w:w="0" w:type="dxa"/>
            </w:tcMar>
            <w:vAlign w:val="center"/>
          </w:tcPr>
          <w:p>
            <w:pPr>
              <w:pStyle w:val="TableContents"/>
              <w:spacing w:before="0" w:after="0"/>
              <w:ind w:left="0" w:right="0" w:hanging="0"/>
              <w:jc w:val="left"/>
              <w:rPr/>
            </w:pPr>
            <w:r>
              <w:rPr/>
              <w:t> </w:t>
            </w:r>
          </w:p>
        </w:tc>
      </w:tr>
      <w:tr>
        <w:trPr/>
        <w:tc>
          <w:tcPr>
            <w:tcW w:w="756" w:type="dxa"/>
            <w:tcBorders/>
            <w:shd w:fill="auto" w:val="clear"/>
            <w:tcMar>
              <w:bottom w:w="0" w:type="dxa"/>
            </w:tcM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240" w:type="dxa"/>
            <w:tcBorders/>
            <w:shd w:fill="auto" w:val="clear"/>
            <w:tcMar>
              <w:bottom w:w="0" w:type="dxa"/>
            </w:tcMar>
            <w:vAlign w:val="center"/>
          </w:tcPr>
          <w:p>
            <w:pPr>
              <w:pStyle w:val="TableContents"/>
              <w:spacing w:before="0" w:after="0"/>
              <w:ind w:left="0" w:right="0" w:hanging="0"/>
              <w:jc w:val="left"/>
              <w:rPr/>
            </w:pPr>
            <w:r>
              <w:rPr/>
              <w:t>​</w:t>
            </w:r>
          </w:p>
        </w:tc>
        <w:tc>
          <w:tcPr>
            <w:tcW w:w="9209" w:type="dxa"/>
            <w:tcBorders/>
            <w:shd w:fill="auto" w:val="clear"/>
            <w:tcMar>
              <w:bottom w:w="0" w:type="dxa"/>
            </w:tcMar>
            <w:vAlign w:val="center"/>
          </w:tcPr>
          <w:p>
            <w:pPr>
              <w:pStyle w:val="TableContents"/>
              <w:spacing w:before="0" w:after="0"/>
              <w:ind w:left="0" w:right="0" w:hanging="0"/>
              <w:jc w:val="left"/>
              <w:rPr/>
            </w:pPr>
            <w:hyperlink w:anchor="ex_493697.htm">
              <w:r>
                <w:rPr>
                  <w:rStyle w:val="InternetLink"/>
                  <w:rFonts w:ascii="Times New Roman;Times;serif" w:hAnsi="Times New Roman;Times;serif"/>
                  <w:sz w:val="20"/>
                </w:rPr>
                <w:t>Certification pursuant to 18 U.S.C. 1350, adopted pursuant to Section 906 of the Sarbanes-Oxley Act of 2002, by Chief Executive Officer and Chief Financial Officer.</w:t>
              </w:r>
            </w:hyperlink>
          </w:p>
        </w:tc>
      </w:tr>
      <w:tr>
        <w:trPr/>
        <w:tc>
          <w:tcPr>
            <w:tcW w:w="756" w:type="dxa"/>
            <w:tcBorders/>
            <w:shd w:fill="auto" w:val="clear"/>
            <w:tcMar>
              <w:bottom w:w="0" w:type="dxa"/>
            </w:tcMar>
            <w:vAlign w:val="center"/>
          </w:tcPr>
          <w:p>
            <w:pPr>
              <w:pStyle w:val="TableContents"/>
              <w:spacing w:before="0" w:after="0"/>
              <w:ind w:left="0" w:right="0" w:hanging="0"/>
              <w:jc w:val="left"/>
              <w:rPr/>
            </w:pPr>
            <w:r>
              <w:rPr/>
              <w:t> </w:t>
            </w:r>
          </w:p>
        </w:tc>
        <w:tc>
          <w:tcPr>
            <w:tcW w:w="240" w:type="dxa"/>
            <w:tcBorders/>
            <w:shd w:fill="auto" w:val="clear"/>
            <w:tcMar>
              <w:bottom w:w="0" w:type="dxa"/>
            </w:tcMar>
            <w:vAlign w:val="center"/>
          </w:tcPr>
          <w:p>
            <w:pPr>
              <w:pStyle w:val="TableContents"/>
              <w:spacing w:before="0" w:after="0"/>
              <w:ind w:left="0" w:right="0" w:hanging="0"/>
              <w:jc w:val="left"/>
              <w:rPr/>
            </w:pPr>
            <w:r>
              <w:rPr/>
              <w:t>​</w:t>
            </w:r>
          </w:p>
        </w:tc>
        <w:tc>
          <w:tcPr>
            <w:tcW w:w="9209" w:type="dxa"/>
            <w:tcBorders/>
            <w:shd w:fill="auto" w:val="clear"/>
            <w:tcMar>
              <w:bottom w:w="0" w:type="dxa"/>
            </w:tcMar>
            <w:vAlign w:val="center"/>
          </w:tcPr>
          <w:p>
            <w:pPr>
              <w:pStyle w:val="TableContents"/>
              <w:spacing w:before="0" w:after="0"/>
              <w:ind w:left="0" w:right="0" w:hanging="0"/>
              <w:jc w:val="left"/>
              <w:rPr/>
            </w:pPr>
            <w:r>
              <w:rPr/>
              <w:t> </w:t>
            </w:r>
          </w:p>
        </w:tc>
      </w:tr>
      <w:tr>
        <w:trPr/>
        <w:tc>
          <w:tcPr>
            <w:tcW w:w="756" w:type="dxa"/>
            <w:tcBorders/>
            <w:shd w:fill="auto" w:val="clear"/>
            <w:tcMar>
              <w:bottom w:w="0" w:type="dxa"/>
            </w:tcM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240" w:type="dxa"/>
            <w:tcBorders/>
            <w:shd w:fill="auto" w:val="clear"/>
            <w:tcMar>
              <w:bottom w:w="0" w:type="dxa"/>
            </w:tcMar>
            <w:vAlign w:val="center"/>
          </w:tcPr>
          <w:p>
            <w:pPr>
              <w:pStyle w:val="TableContents"/>
              <w:spacing w:before="0" w:after="0"/>
              <w:ind w:left="0" w:right="0" w:hanging="0"/>
              <w:jc w:val="left"/>
              <w:rPr/>
            </w:pPr>
            <w:r>
              <w:rPr/>
              <w:t>​</w:t>
            </w:r>
          </w:p>
        </w:tc>
        <w:tc>
          <w:tcPr>
            <w:tcW w:w="9209" w:type="dxa"/>
            <w:tcBorders/>
            <w:shd w:fill="auto" w:val="clear"/>
            <w:tcMar>
              <w:bottom w:w="0" w:type="dxa"/>
            </w:tcM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Inline XBRL Instance – the instance document does not appear in the Interactive Data File because its XBRL tags are embedded within the Inline XBRL document.</w:t>
            </w:r>
          </w:p>
        </w:tc>
      </w:tr>
      <w:tr>
        <w:trPr/>
        <w:tc>
          <w:tcPr>
            <w:tcW w:w="756" w:type="dxa"/>
            <w:tcBorders/>
            <w:shd w:fill="auto" w:val="clear"/>
            <w:tcMar>
              <w:bottom w:w="0" w:type="dxa"/>
            </w:tcMar>
            <w:vAlign w:val="center"/>
          </w:tcPr>
          <w:p>
            <w:pPr>
              <w:pStyle w:val="TableContents"/>
              <w:spacing w:before="0" w:after="283"/>
              <w:rPr/>
            </w:pPr>
            <w:r>
              <w:rPr/>
              <w:t> </w:t>
            </w:r>
          </w:p>
        </w:tc>
        <w:tc>
          <w:tcPr>
            <w:tcW w:w="240" w:type="dxa"/>
            <w:tcBorders/>
            <w:shd w:fill="auto" w:val="clear"/>
            <w:tcMar>
              <w:bottom w:w="0" w:type="dxa"/>
            </w:tcMar>
            <w:vAlign w:val="center"/>
          </w:tcPr>
          <w:p>
            <w:pPr>
              <w:pStyle w:val="TableContents"/>
              <w:spacing w:before="0" w:after="0"/>
              <w:ind w:left="0" w:right="0" w:hanging="0"/>
              <w:jc w:val="left"/>
              <w:rPr/>
            </w:pPr>
            <w:r>
              <w:rPr/>
              <w:t>​</w:t>
            </w:r>
          </w:p>
        </w:tc>
        <w:tc>
          <w:tcPr>
            <w:tcW w:w="9209" w:type="dxa"/>
            <w:tcBorders/>
            <w:shd w:fill="auto" w:val="clear"/>
            <w:tcMar>
              <w:bottom w:w="0" w:type="dxa"/>
            </w:tcMar>
            <w:vAlign w:val="center"/>
          </w:tcPr>
          <w:p>
            <w:pPr>
              <w:pStyle w:val="TableContents"/>
              <w:spacing w:before="0" w:after="283"/>
              <w:rPr/>
            </w:pPr>
            <w:r>
              <w:rPr/>
              <w:t> </w:t>
            </w:r>
          </w:p>
        </w:tc>
      </w:tr>
      <w:tr>
        <w:trPr/>
        <w:tc>
          <w:tcPr>
            <w:tcW w:w="756" w:type="dxa"/>
            <w:tcBorders/>
            <w:shd w:fill="auto" w:val="clear"/>
            <w:tcMar>
              <w:bottom w:w="0" w:type="dxa"/>
            </w:tcM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240" w:type="dxa"/>
            <w:tcBorders/>
            <w:shd w:fill="auto" w:val="clear"/>
            <w:tcMar>
              <w:bottom w:w="0" w:type="dxa"/>
            </w:tcMar>
            <w:vAlign w:val="center"/>
          </w:tcPr>
          <w:p>
            <w:pPr>
              <w:pStyle w:val="TableContents"/>
              <w:spacing w:before="0" w:after="0"/>
              <w:ind w:left="0" w:right="0" w:hanging="0"/>
              <w:jc w:val="left"/>
              <w:rPr/>
            </w:pPr>
            <w:r>
              <w:rPr/>
              <w:t>​</w:t>
            </w:r>
          </w:p>
        </w:tc>
        <w:tc>
          <w:tcPr>
            <w:tcW w:w="9209" w:type="dxa"/>
            <w:tcBorders/>
            <w:shd w:fill="auto" w:val="clear"/>
            <w:tcMar>
              <w:bottom w:w="0" w:type="dxa"/>
            </w:tcM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756" w:type="dxa"/>
            <w:tcBorders/>
            <w:shd w:fill="auto" w:val="clear"/>
            <w:tcMar>
              <w:bottom w:w="0" w:type="dxa"/>
            </w:tcMar>
            <w:vAlign w:val="center"/>
          </w:tcPr>
          <w:p>
            <w:pPr>
              <w:pStyle w:val="TableContents"/>
              <w:spacing w:before="0" w:after="283"/>
              <w:rPr/>
            </w:pPr>
            <w:r>
              <w:rPr/>
              <w:t> </w:t>
            </w:r>
          </w:p>
        </w:tc>
        <w:tc>
          <w:tcPr>
            <w:tcW w:w="240" w:type="dxa"/>
            <w:tcBorders/>
            <w:shd w:fill="auto" w:val="clear"/>
            <w:tcMar>
              <w:bottom w:w="0" w:type="dxa"/>
            </w:tcMar>
            <w:vAlign w:val="center"/>
          </w:tcPr>
          <w:p>
            <w:pPr>
              <w:pStyle w:val="TableContents"/>
              <w:spacing w:before="0" w:after="0"/>
              <w:ind w:left="0" w:right="0" w:hanging="0"/>
              <w:jc w:val="left"/>
              <w:rPr/>
            </w:pPr>
            <w:r>
              <w:rPr/>
              <w:t>​</w:t>
            </w:r>
          </w:p>
        </w:tc>
        <w:tc>
          <w:tcPr>
            <w:tcW w:w="9209" w:type="dxa"/>
            <w:tcBorders/>
            <w:shd w:fill="auto" w:val="clear"/>
            <w:tcMar>
              <w:bottom w:w="0" w:type="dxa"/>
            </w:tcMar>
            <w:vAlign w:val="center"/>
          </w:tcPr>
          <w:p>
            <w:pPr>
              <w:pStyle w:val="TableContents"/>
              <w:spacing w:before="0" w:after="283"/>
              <w:rPr/>
            </w:pPr>
            <w:r>
              <w:rPr/>
              <w:t> </w:t>
            </w:r>
          </w:p>
        </w:tc>
      </w:tr>
      <w:tr>
        <w:trPr/>
        <w:tc>
          <w:tcPr>
            <w:tcW w:w="756" w:type="dxa"/>
            <w:tcBorders/>
            <w:shd w:fill="auto" w:val="clear"/>
            <w:tcMar>
              <w:bottom w:w="0" w:type="dxa"/>
            </w:tcM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240" w:type="dxa"/>
            <w:tcBorders/>
            <w:shd w:fill="auto" w:val="clear"/>
            <w:tcMar>
              <w:bottom w:w="0" w:type="dxa"/>
            </w:tcMar>
            <w:vAlign w:val="center"/>
          </w:tcPr>
          <w:p>
            <w:pPr>
              <w:pStyle w:val="TableContents"/>
              <w:spacing w:before="0" w:after="0"/>
              <w:ind w:left="0" w:right="0" w:hanging="0"/>
              <w:jc w:val="left"/>
              <w:rPr/>
            </w:pPr>
            <w:r>
              <w:rPr/>
              <w:t>​</w:t>
            </w:r>
          </w:p>
        </w:tc>
        <w:tc>
          <w:tcPr>
            <w:tcW w:w="9209" w:type="dxa"/>
            <w:tcBorders/>
            <w:shd w:fill="auto" w:val="clear"/>
            <w:tcMar>
              <w:bottom w:w="0" w:type="dxa"/>
            </w:tcM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756" w:type="dxa"/>
            <w:tcBorders/>
            <w:shd w:fill="auto" w:val="clear"/>
            <w:tcMar>
              <w:bottom w:w="0" w:type="dxa"/>
            </w:tcMar>
            <w:vAlign w:val="center"/>
          </w:tcPr>
          <w:p>
            <w:pPr>
              <w:pStyle w:val="TableContents"/>
              <w:spacing w:before="0" w:after="0"/>
              <w:ind w:left="0" w:right="0" w:hanging="0"/>
              <w:jc w:val="left"/>
              <w:rPr/>
            </w:pPr>
            <w:r>
              <w:rPr/>
              <w:t>​</w:t>
            </w:r>
          </w:p>
        </w:tc>
        <w:tc>
          <w:tcPr>
            <w:tcW w:w="240" w:type="dxa"/>
            <w:tcBorders/>
            <w:shd w:fill="auto" w:val="clear"/>
            <w:tcMar>
              <w:bottom w:w="0" w:type="dxa"/>
            </w:tcMar>
            <w:vAlign w:val="center"/>
          </w:tcPr>
          <w:p>
            <w:pPr>
              <w:pStyle w:val="TableContents"/>
              <w:spacing w:before="0" w:after="0"/>
              <w:ind w:left="0" w:right="0" w:hanging="0"/>
              <w:jc w:val="left"/>
              <w:rPr/>
            </w:pPr>
            <w:r>
              <w:rPr/>
              <w:t>​</w:t>
            </w:r>
          </w:p>
        </w:tc>
        <w:tc>
          <w:tcPr>
            <w:tcW w:w="9209" w:type="dxa"/>
            <w:tcBorders/>
            <w:shd w:fill="auto" w:val="clear"/>
            <w:tcMar>
              <w:bottom w:w="0" w:type="dxa"/>
            </w:tcMar>
            <w:vAlign w:val="center"/>
          </w:tcPr>
          <w:p>
            <w:pPr>
              <w:pStyle w:val="TableContents"/>
              <w:spacing w:before="0" w:after="0"/>
              <w:ind w:left="0" w:right="0" w:hanging="0"/>
              <w:jc w:val="left"/>
              <w:rPr/>
            </w:pPr>
            <w:r>
              <w:rPr/>
              <w:t>​</w:t>
            </w:r>
          </w:p>
        </w:tc>
      </w:tr>
      <w:tr>
        <w:trPr/>
        <w:tc>
          <w:tcPr>
            <w:tcW w:w="756" w:type="dxa"/>
            <w:tcBorders/>
            <w:shd w:fill="auto" w:val="clear"/>
            <w:tcMar>
              <w:bottom w:w="0" w:type="dxa"/>
            </w:tcM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240" w:type="dxa"/>
            <w:tcBorders/>
            <w:shd w:fill="auto" w:val="clear"/>
            <w:tcMar>
              <w:bottom w:w="0" w:type="dxa"/>
            </w:tcMar>
            <w:vAlign w:val="center"/>
          </w:tcPr>
          <w:p>
            <w:pPr>
              <w:pStyle w:val="TableContents"/>
              <w:spacing w:before="0" w:after="0"/>
              <w:ind w:left="0" w:right="0" w:hanging="0"/>
              <w:jc w:val="left"/>
              <w:rPr/>
            </w:pPr>
            <w:r>
              <w:rPr/>
              <w:t>​</w:t>
            </w:r>
          </w:p>
        </w:tc>
        <w:tc>
          <w:tcPr>
            <w:tcW w:w="9209" w:type="dxa"/>
            <w:tcBorders/>
            <w:shd w:fill="auto" w:val="clear"/>
            <w:tcMar>
              <w:bottom w:w="0" w:type="dxa"/>
            </w:tcM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756" w:type="dxa"/>
            <w:tcBorders/>
            <w:shd w:fill="auto" w:val="clear"/>
            <w:tcMar>
              <w:bottom w:w="0" w:type="dxa"/>
            </w:tcMar>
            <w:vAlign w:val="center"/>
          </w:tcPr>
          <w:p>
            <w:pPr>
              <w:pStyle w:val="TableContents"/>
              <w:spacing w:before="0" w:after="0"/>
              <w:ind w:left="0" w:right="0" w:hanging="0"/>
              <w:jc w:val="left"/>
              <w:rPr/>
            </w:pPr>
            <w:r>
              <w:rPr/>
              <w:t>​</w:t>
            </w:r>
          </w:p>
        </w:tc>
        <w:tc>
          <w:tcPr>
            <w:tcW w:w="240" w:type="dxa"/>
            <w:tcBorders/>
            <w:shd w:fill="auto" w:val="clear"/>
            <w:tcMar>
              <w:bottom w:w="0" w:type="dxa"/>
            </w:tcMar>
            <w:vAlign w:val="center"/>
          </w:tcPr>
          <w:p>
            <w:pPr>
              <w:pStyle w:val="TableContents"/>
              <w:spacing w:before="0" w:after="0"/>
              <w:ind w:left="0" w:right="0" w:hanging="0"/>
              <w:jc w:val="left"/>
              <w:rPr/>
            </w:pPr>
            <w:r>
              <w:rPr/>
              <w:t>​</w:t>
            </w:r>
          </w:p>
        </w:tc>
        <w:tc>
          <w:tcPr>
            <w:tcW w:w="9209" w:type="dxa"/>
            <w:tcBorders/>
            <w:shd w:fill="auto" w:val="clear"/>
            <w:tcMar>
              <w:bottom w:w="0" w:type="dxa"/>
            </w:tcMar>
            <w:vAlign w:val="center"/>
          </w:tcPr>
          <w:p>
            <w:pPr>
              <w:pStyle w:val="TableContents"/>
              <w:spacing w:before="0" w:after="0"/>
              <w:ind w:left="0" w:right="0" w:hanging="0"/>
              <w:jc w:val="left"/>
              <w:rPr/>
            </w:pPr>
            <w:r>
              <w:rPr/>
              <w:t>​</w:t>
            </w:r>
          </w:p>
        </w:tc>
      </w:tr>
      <w:tr>
        <w:trPr/>
        <w:tc>
          <w:tcPr>
            <w:tcW w:w="756" w:type="dxa"/>
            <w:tcBorders/>
            <w:shd w:fill="auto" w:val="clear"/>
            <w:tcMar>
              <w:bottom w:w="0" w:type="dxa"/>
            </w:tcM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240" w:type="dxa"/>
            <w:tcBorders/>
            <w:shd w:fill="auto" w:val="clear"/>
            <w:tcMar>
              <w:bottom w:w="0" w:type="dxa"/>
            </w:tcMar>
            <w:vAlign w:val="center"/>
          </w:tcPr>
          <w:p>
            <w:pPr>
              <w:pStyle w:val="TableContents"/>
              <w:spacing w:before="0" w:after="0"/>
              <w:ind w:left="0" w:right="0" w:hanging="0"/>
              <w:jc w:val="left"/>
              <w:rPr/>
            </w:pPr>
            <w:r>
              <w:rPr/>
              <w:t>​</w:t>
            </w:r>
          </w:p>
        </w:tc>
        <w:tc>
          <w:tcPr>
            <w:tcW w:w="9209" w:type="dxa"/>
            <w:tcBorders/>
            <w:shd w:fill="auto" w:val="clear"/>
            <w:tcMar>
              <w:bottom w:w="0" w:type="dxa"/>
            </w:tcM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756" w:type="dxa"/>
            <w:tcBorders/>
            <w:shd w:fill="auto" w:val="clear"/>
            <w:tcMar>
              <w:bottom w:w="0" w:type="dxa"/>
            </w:tcMar>
            <w:vAlign w:val="center"/>
          </w:tcPr>
          <w:p>
            <w:pPr>
              <w:pStyle w:val="TableContents"/>
              <w:spacing w:before="0" w:after="0"/>
              <w:ind w:left="0" w:right="0" w:hanging="0"/>
              <w:jc w:val="left"/>
              <w:rPr/>
            </w:pPr>
            <w:r>
              <w:rPr/>
              <w:t>​</w:t>
            </w:r>
          </w:p>
        </w:tc>
        <w:tc>
          <w:tcPr>
            <w:tcW w:w="240" w:type="dxa"/>
            <w:tcBorders/>
            <w:shd w:fill="auto" w:val="clear"/>
            <w:tcMar>
              <w:bottom w:w="0" w:type="dxa"/>
            </w:tcMar>
            <w:vAlign w:val="center"/>
          </w:tcPr>
          <w:p>
            <w:pPr>
              <w:pStyle w:val="TableContents"/>
              <w:spacing w:before="0" w:after="0"/>
              <w:ind w:left="0" w:right="0" w:hanging="0"/>
              <w:jc w:val="left"/>
              <w:rPr/>
            </w:pPr>
            <w:r>
              <w:rPr/>
              <w:t>​</w:t>
            </w:r>
          </w:p>
        </w:tc>
        <w:tc>
          <w:tcPr>
            <w:tcW w:w="9209" w:type="dxa"/>
            <w:tcBorders/>
            <w:shd w:fill="auto" w:val="clear"/>
            <w:tcMar>
              <w:bottom w:w="0" w:type="dxa"/>
            </w:tcMar>
            <w:vAlign w:val="center"/>
          </w:tcPr>
          <w:p>
            <w:pPr>
              <w:pStyle w:val="TableContents"/>
              <w:spacing w:before="0" w:after="0"/>
              <w:ind w:left="0" w:right="0" w:hanging="0"/>
              <w:jc w:val="left"/>
              <w:rPr/>
            </w:pPr>
            <w:r>
              <w:rPr/>
              <w:t>​</w:t>
            </w:r>
          </w:p>
        </w:tc>
      </w:tr>
      <w:tr>
        <w:trPr/>
        <w:tc>
          <w:tcPr>
            <w:tcW w:w="756" w:type="dxa"/>
            <w:tcBorders/>
            <w:shd w:fill="auto" w:val="clear"/>
            <w:tcMar>
              <w:bottom w:w="0" w:type="dxa"/>
            </w:tcM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240" w:type="dxa"/>
            <w:tcBorders/>
            <w:shd w:fill="auto" w:val="clear"/>
            <w:tcMar>
              <w:bottom w:w="0" w:type="dxa"/>
            </w:tcMar>
            <w:vAlign w:val="center"/>
          </w:tcPr>
          <w:p>
            <w:pPr>
              <w:pStyle w:val="TableContents"/>
              <w:spacing w:before="0" w:after="0"/>
              <w:ind w:left="0" w:right="0" w:hanging="0"/>
              <w:jc w:val="left"/>
              <w:rPr/>
            </w:pPr>
            <w:r>
              <w:rPr/>
              <w:t>​</w:t>
            </w:r>
          </w:p>
        </w:tc>
        <w:tc>
          <w:tcPr>
            <w:tcW w:w="9209" w:type="dxa"/>
            <w:tcBorders/>
            <w:shd w:fill="auto" w:val="clear"/>
            <w:tcMar>
              <w:bottom w:w="0" w:type="dxa"/>
            </w:tcM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756" w:type="dxa"/>
            <w:tcBorders/>
            <w:shd w:fill="auto" w:val="clear"/>
            <w:tcMar>
              <w:bottom w:w="0" w:type="dxa"/>
            </w:tcMar>
            <w:vAlign w:val="center"/>
          </w:tcPr>
          <w:p>
            <w:pPr>
              <w:pStyle w:val="TableContents"/>
              <w:spacing w:before="0" w:after="0"/>
              <w:ind w:left="0" w:right="0" w:hanging="0"/>
              <w:jc w:val="left"/>
              <w:rPr/>
            </w:pPr>
            <w:r>
              <w:rPr/>
              <w:t>​</w:t>
            </w:r>
          </w:p>
        </w:tc>
        <w:tc>
          <w:tcPr>
            <w:tcW w:w="240" w:type="dxa"/>
            <w:tcBorders/>
            <w:shd w:fill="auto" w:val="clear"/>
            <w:tcMar>
              <w:bottom w:w="0" w:type="dxa"/>
            </w:tcMar>
            <w:vAlign w:val="center"/>
          </w:tcPr>
          <w:p>
            <w:pPr>
              <w:pStyle w:val="TableContents"/>
              <w:spacing w:before="0" w:after="0"/>
              <w:ind w:left="0" w:right="0" w:hanging="0"/>
              <w:jc w:val="left"/>
              <w:rPr/>
            </w:pPr>
            <w:r>
              <w:rPr/>
              <w:t>​</w:t>
            </w:r>
          </w:p>
        </w:tc>
        <w:tc>
          <w:tcPr>
            <w:tcW w:w="9209" w:type="dxa"/>
            <w:tcBorders/>
            <w:shd w:fill="auto" w:val="clear"/>
            <w:tcMar>
              <w:bottom w:w="0" w:type="dxa"/>
            </w:tcMar>
            <w:vAlign w:val="center"/>
          </w:tcPr>
          <w:p>
            <w:pPr>
              <w:pStyle w:val="TableContents"/>
              <w:spacing w:before="0" w:after="0"/>
              <w:ind w:left="0" w:right="0" w:hanging="0"/>
              <w:jc w:val="left"/>
              <w:rPr/>
            </w:pPr>
            <w:r>
              <w:rPr/>
              <w:t>​</w:t>
            </w:r>
          </w:p>
        </w:tc>
      </w:tr>
      <w:tr>
        <w:trPr/>
        <w:tc>
          <w:tcPr>
            <w:tcW w:w="756" w:type="dxa"/>
            <w:tcBorders/>
            <w:shd w:fill="auto" w:val="clear"/>
            <w:tcMar>
              <w:bottom w:w="0" w:type="dxa"/>
            </w:tcM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240" w:type="dxa"/>
            <w:tcBorders/>
            <w:shd w:fill="auto" w:val="clear"/>
            <w:tcMar>
              <w:bottom w:w="0" w:type="dxa"/>
            </w:tcMar>
            <w:vAlign w:val="center"/>
          </w:tcPr>
          <w:p>
            <w:pPr>
              <w:pStyle w:val="TableContents"/>
              <w:spacing w:before="0" w:after="0"/>
              <w:ind w:left="0" w:right="0" w:hanging="0"/>
              <w:jc w:val="left"/>
              <w:rPr/>
            </w:pPr>
            <w:r>
              <w:rPr/>
              <w:t>​</w:t>
            </w:r>
          </w:p>
        </w:tc>
        <w:tc>
          <w:tcPr>
            <w:tcW w:w="9209" w:type="dxa"/>
            <w:tcBorders/>
            <w:shd w:fill="auto" w:val="clear"/>
            <w:tcMar>
              <w:bottom w:w="0" w:type="dxa"/>
            </w:tcM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bl>
    <w:p>
      <w:pPr>
        <w:pStyle w:val="HorizontalLine"/>
        <w:rPr/>
      </w:pPr>
      <w:r>
        <w:rPr/>
      </w:r>
    </w:p>
    <w:p>
      <w:pPr>
        <w:pStyle w:val="TextBody"/>
        <w:spacing w:before="0" w:after="0"/>
        <w:ind w:left="0" w:right="0" w:hanging="0"/>
        <w:jc w:val="left"/>
        <w:rPr>
          <w:rFonts w:ascii="Times New Roman;Times;serif" w:hAnsi="Times New Roman;Times;serif"/>
          <w:sz w:val="20"/>
        </w:rPr>
      </w:pPr>
      <w:r>
        <w:rPr>
          <w:rFonts w:ascii="Times New Roman;Times;serif" w:hAnsi="Times New Roman;Times;serif"/>
          <w:sz w:val="20"/>
        </w:rPr>
        <w:t>*          Incorporated herein by reference to the indicated filing.</w:t>
      </w:r>
    </w:p>
    <w:p>
      <w:pPr>
        <w:pStyle w:val="TextBody"/>
        <w:spacing w:before="0" w:after="0"/>
        <w:ind w:left="0" w:right="0" w:hanging="0"/>
        <w:jc w:val="left"/>
        <w:rPr>
          <w:rFonts w:ascii="Times New Roman;Times;serif" w:hAnsi="Times New Roman;Times;serif"/>
          <w:sz w:val="20"/>
        </w:rPr>
      </w:pPr>
      <w:r>
        <w:rPr>
          <w:rFonts w:ascii="Times New Roman;Times;serif" w:hAnsi="Times New Roman;Times;serif"/>
          <w:sz w:val="20"/>
        </w:rPr>
        <w:t>**        Filed herewith.</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32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jc w:val="center"/>
        <w:rPr>
          <w:rFonts w:ascii="Times New Roman;Times;serif" w:hAnsi="Times New Roman;Times;serif"/>
          <w:b/>
          <w:sz w:val="20"/>
        </w:rPr>
      </w:pPr>
      <w:bookmarkStart w:id="18" w:name="sigs"/>
      <w:bookmarkEnd w:id="18"/>
      <w:r>
        <w:rPr>
          <w:rFonts w:ascii="Times New Roman;Times;serif" w:hAnsi="Times New Roman;Times;serif"/>
          <w:b/>
          <w:sz w:val="20"/>
        </w:rPr>
        <w:t>SIGNATURES</w:t>
      </w:r>
    </w:p>
    <w:p>
      <w:pPr>
        <w:pStyle w:val="TextBody"/>
        <w:spacing w:before="0" w:after="0"/>
        <w:ind w:left="0" w:right="0" w:hanging="0"/>
        <w:jc w:val="center"/>
        <w:rPr/>
      </w:pPr>
      <w:r>
        <w:rPr/>
        <w:t>​</w:t>
      </w:r>
    </w:p>
    <w:p>
      <w:pPr>
        <w:pStyle w:val="TextBody"/>
        <w:spacing w:before="0" w:after="0"/>
        <w:ind w:left="0" w:right="0" w:hanging="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spacing w:before="0" w:after="0"/>
        <w:ind w:left="0" w:right="0" w:hanging="0"/>
        <w:jc w:val="left"/>
        <w:rPr/>
      </w:pPr>
      <w:r>
        <w:rPr/>
        <w:t>​</w:t>
      </w:r>
    </w:p>
    <w:tbl>
      <w:tblPr>
        <w:tblW w:w="6870" w:type="dxa"/>
        <w:jc w:val="left"/>
        <w:tblInd w:w="0" w:type="dxa"/>
        <w:tblCellMar>
          <w:top w:w="0" w:type="dxa"/>
          <w:left w:w="0" w:type="dxa"/>
          <w:bottom w:w="0" w:type="dxa"/>
          <w:right w:w="0" w:type="dxa"/>
        </w:tblCellMar>
      </w:tblPr>
      <w:tblGrid>
        <w:gridCol w:w="1535"/>
        <w:gridCol w:w="320"/>
        <w:gridCol w:w="5015"/>
      </w:tblGrid>
      <w:tr>
        <w:trPr/>
        <w:tc>
          <w:tcPr>
            <w:tcW w:w="1535" w:type="dxa"/>
            <w:tcBorders/>
            <w:shd w:fill="auto" w:val="clear"/>
            <w:vAlign w:val="center"/>
          </w:tcPr>
          <w:p>
            <w:pPr>
              <w:pStyle w:val="TableContents"/>
              <w:spacing w:before="0" w:after="0"/>
              <w:ind w:left="0" w:right="0" w:hanging="0"/>
              <w:jc w:val="left"/>
              <w:rPr/>
            </w:pPr>
            <w:r>
              <w:rPr/>
              <w:t>​</w:t>
            </w:r>
          </w:p>
        </w:tc>
        <w:tc>
          <w:tcPr>
            <w:tcW w:w="5335" w:type="dxa"/>
            <w:gridSpan w:val="2"/>
            <w:tcBorders/>
            <w:shd w:fill="auto" w:val="clear"/>
            <w:vAlign w:val="center"/>
          </w:tcPr>
          <w:p>
            <w:pPr>
              <w:pStyle w:val="TableContents"/>
              <w:spacing w:before="0" w:after="0"/>
              <w:ind w:left="0" w:right="0" w:hanging="0"/>
              <w:jc w:val="left"/>
              <w:rPr>
                <w:rFonts w:ascii="Times New Roman;Times;serif" w:hAnsi="Times New Roman;Times;serif"/>
                <w:b/>
                <w:sz w:val="20"/>
              </w:rPr>
            </w:pPr>
            <w:r>
              <w:rPr>
                <w:rFonts w:ascii="Times New Roman;Times;serif" w:hAnsi="Times New Roman;Times;serif"/>
                <w:b/>
                <w:sz w:val="20"/>
              </w:rPr>
              <w:t>APPLIED OPTOELECTRONICS, INC.</w:t>
            </w:r>
          </w:p>
        </w:tc>
      </w:tr>
      <w:tr>
        <w:trPr/>
        <w:tc>
          <w:tcPr>
            <w:tcW w:w="1535" w:type="dxa"/>
            <w:tcBorders/>
            <w:shd w:fill="auto" w:val="clear"/>
            <w:vAlign w:val="center"/>
          </w:tcPr>
          <w:p>
            <w:pPr>
              <w:pStyle w:val="TableContents"/>
              <w:spacing w:before="0" w:after="0"/>
              <w:ind w:left="0" w:right="0" w:hanging="0"/>
              <w:jc w:val="left"/>
              <w:rPr/>
            </w:pPr>
            <w:r>
              <w:rPr/>
              <w:t>​</w:t>
            </w:r>
          </w:p>
        </w:tc>
        <w:tc>
          <w:tcPr>
            <w:tcW w:w="320" w:type="dxa"/>
            <w:tcBorders/>
            <w:shd w:fill="auto" w:val="clear"/>
            <w:vAlign w:val="center"/>
          </w:tcPr>
          <w:p>
            <w:pPr>
              <w:pStyle w:val="TableContents"/>
              <w:spacing w:before="0" w:after="0"/>
              <w:ind w:left="0" w:right="0" w:hanging="0"/>
              <w:jc w:val="left"/>
              <w:rPr/>
            </w:pPr>
            <w:r>
              <w:rPr/>
              <w:t>​</w:t>
            </w:r>
          </w:p>
        </w:tc>
        <w:tc>
          <w:tcPr>
            <w:tcW w:w="5015" w:type="dxa"/>
            <w:tcBorders/>
            <w:shd w:fill="auto" w:val="clear"/>
            <w:vAlign w:val="center"/>
          </w:tcPr>
          <w:p>
            <w:pPr>
              <w:pStyle w:val="TableContents"/>
              <w:spacing w:before="0" w:after="0"/>
              <w:ind w:left="0" w:right="0" w:hanging="0"/>
              <w:jc w:val="left"/>
              <w:rPr/>
            </w:pPr>
            <w:r>
              <w:rPr/>
              <w:t>​</w:t>
            </w:r>
          </w:p>
        </w:tc>
      </w:tr>
      <w:tr>
        <w:trPr/>
        <w:tc>
          <w:tcPr>
            <w:tcW w:w="1535"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Date: May 4, 2023</w:t>
            </w:r>
          </w:p>
        </w:tc>
        <w:tc>
          <w:tcPr>
            <w:tcW w:w="320"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5015" w:type="dxa"/>
            <w:tcBorders>
              <w:bottom w:val="single" w:sz="2" w:space="0" w:color="000000"/>
            </w:tcBorders>
            <w:shd w:fill="auto" w:val="clear"/>
            <w:tcMar>
              <w:bottom w:w="28" w:type="dxa"/>
            </w:tcM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/s/ STEFAN J. MURRY</w:t>
            </w:r>
          </w:p>
        </w:tc>
      </w:tr>
      <w:tr>
        <w:trPr/>
        <w:tc>
          <w:tcPr>
            <w:tcW w:w="1535" w:type="dxa"/>
            <w:tcBorders/>
            <w:shd w:fill="auto" w:val="clear"/>
            <w:vAlign w:val="center"/>
          </w:tcPr>
          <w:p>
            <w:pPr>
              <w:pStyle w:val="TableContents"/>
              <w:spacing w:before="0" w:after="0"/>
              <w:ind w:left="0" w:right="0" w:hanging="0"/>
              <w:jc w:val="left"/>
              <w:rPr/>
            </w:pPr>
            <w:r>
              <w:rPr/>
              <w:t>​</w:t>
            </w:r>
          </w:p>
        </w:tc>
        <w:tc>
          <w:tcPr>
            <w:tcW w:w="320" w:type="dxa"/>
            <w:tcBorders/>
            <w:shd w:fill="auto" w:val="clear"/>
            <w:vAlign w:val="center"/>
          </w:tcPr>
          <w:p>
            <w:pPr>
              <w:pStyle w:val="TableContents"/>
              <w:spacing w:before="0" w:after="0"/>
              <w:ind w:left="0" w:right="0" w:hanging="0"/>
              <w:jc w:val="left"/>
              <w:rPr/>
            </w:pPr>
            <w:r>
              <w:rPr/>
              <w:t>​</w:t>
            </w:r>
          </w:p>
        </w:tc>
        <w:tc>
          <w:tcPr>
            <w:tcW w:w="5015" w:type="dxa"/>
            <w:tcBorders/>
            <w:shd w:fill="auto" w:val="clear"/>
            <w:vAlign w:val="center"/>
          </w:tcPr>
          <w:p>
            <w:pPr>
              <w:pStyle w:val="TableContents"/>
              <w:spacing w:before="0" w:after="0"/>
              <w:ind w:left="0" w:right="0" w:hanging="0"/>
              <w:jc w:val="left"/>
              <w:rPr>
                <w:rFonts w:ascii="Times New Roman;Times;serif" w:hAnsi="Times New Roman;Times;serif"/>
                <w:smallCaps/>
                <w:sz w:val="20"/>
              </w:rPr>
            </w:pPr>
            <w:r>
              <w:rPr>
                <w:rFonts w:ascii="Times New Roman;Times;serif" w:hAnsi="Times New Roman;Times;serif"/>
                <w:smallCaps/>
                <w:sz w:val="20"/>
              </w:rPr>
              <w:t>Stefan J. Murry</w:t>
            </w:r>
          </w:p>
        </w:tc>
      </w:tr>
      <w:tr>
        <w:trPr/>
        <w:tc>
          <w:tcPr>
            <w:tcW w:w="1535" w:type="dxa"/>
            <w:tcBorders/>
            <w:shd w:fill="auto" w:val="clear"/>
            <w:vAlign w:val="center"/>
          </w:tcPr>
          <w:p>
            <w:pPr>
              <w:pStyle w:val="TableContents"/>
              <w:spacing w:before="0" w:after="0"/>
              <w:ind w:left="0" w:right="0" w:hanging="0"/>
              <w:jc w:val="left"/>
              <w:rPr/>
            </w:pPr>
            <w:r>
              <w:rPr/>
              <w:t>​</w:t>
            </w:r>
          </w:p>
        </w:tc>
        <w:tc>
          <w:tcPr>
            <w:tcW w:w="320" w:type="dxa"/>
            <w:tcBorders/>
            <w:shd w:fill="auto" w:val="clear"/>
            <w:vAlign w:val="center"/>
          </w:tcPr>
          <w:p>
            <w:pPr>
              <w:pStyle w:val="TableContents"/>
              <w:spacing w:before="0" w:after="0"/>
              <w:ind w:left="0" w:right="0" w:hanging="0"/>
              <w:jc w:val="left"/>
              <w:rPr/>
            </w:pPr>
            <w:r>
              <w:rPr/>
              <w:t>​</w:t>
            </w:r>
          </w:p>
        </w:tc>
        <w:tc>
          <w:tcPr>
            <w:tcW w:w="5015"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535" w:type="dxa"/>
            <w:tcBorders/>
            <w:shd w:fill="auto" w:val="clear"/>
            <w:vAlign w:val="center"/>
          </w:tcPr>
          <w:p>
            <w:pPr>
              <w:pStyle w:val="TableContents"/>
              <w:spacing w:before="0" w:after="0"/>
              <w:ind w:left="0" w:right="0" w:hanging="0"/>
              <w:jc w:val="left"/>
              <w:rPr/>
            </w:pPr>
            <w:r>
              <w:rPr/>
              <w:t>​</w:t>
            </w:r>
          </w:p>
        </w:tc>
        <w:tc>
          <w:tcPr>
            <w:tcW w:w="320" w:type="dxa"/>
            <w:tcBorders/>
            <w:shd w:fill="auto" w:val="clear"/>
            <w:vAlign w:val="center"/>
          </w:tcPr>
          <w:p>
            <w:pPr>
              <w:pStyle w:val="TableContents"/>
              <w:spacing w:before="0" w:after="0"/>
              <w:ind w:left="0" w:right="0" w:hanging="0"/>
              <w:jc w:val="left"/>
              <w:rPr/>
            </w:pPr>
            <w:r>
              <w:rPr/>
              <w:t>​</w:t>
            </w:r>
          </w:p>
        </w:tc>
        <w:tc>
          <w:tcPr>
            <w:tcW w:w="5015" w:type="dxa"/>
            <w:tcBorders/>
            <w:shd w:fill="auto" w:val="clear"/>
            <w:vAlign w:val="center"/>
          </w:tcPr>
          <w:p>
            <w:pPr>
              <w:pStyle w:val="TableContents"/>
              <w:spacing w:before="0" w:after="0"/>
              <w:ind w:left="0" w:right="0" w:hanging="0"/>
              <w:jc w:val="left"/>
              <w:rPr>
                <w:rFonts w:ascii="Times New Roman;Times;serif" w:hAnsi="Times New Roman;Times;serif"/>
                <w:i/>
                <w:sz w:val="20"/>
              </w:rPr>
            </w:pPr>
            <w:r>
              <w:rPr>
                <w:rFonts w:ascii="Times New Roman;Times;serif" w:hAnsi="Times New Roman;Times;serif"/>
                <w:i/>
                <w:sz w:val="20"/>
              </w:rPr>
              <w:t>(principal financial officer and principal accounting officer)</w:t>
            </w:r>
          </w:p>
        </w:tc>
      </w:tr>
    </w:tbl>
    <w:p>
      <w:pPr>
        <w:pStyle w:val="TextBody"/>
        <w:spacing w:before="0" w:after="0"/>
        <w:ind w:left="0" w:right="0" w:hanging="0"/>
        <w:jc w:val="left"/>
        <w:rPr/>
      </w:pPr>
      <w:r>
        <w:rPr/>
        <w:t>​</w:t>
      </w:r>
    </w:p>
    <w:p>
      <w:pPr>
        <w:pStyle w:val="TextBody"/>
        <w:spacing w:before="0" w:after="0"/>
        <w:ind w:left="0" w:right="0" w:hanging="0"/>
        <w:jc w:val="center"/>
        <w:rPr/>
      </w:pPr>
      <w:r>
        <w:rPr/>
        <w:t>​</w:t>
      </w:r>
    </w:p>
    <w:p>
      <w:pPr>
        <w:pStyle w:val="TextBody"/>
        <w:spacing w:before="0" w:after="0"/>
        <w:ind w:left="0" w:right="0" w:hanging="0"/>
        <w:rPr/>
      </w:pPr>
      <w:r>
        <w:rPr/>
        <w:t> </w:t>
      </w:r>
    </w:p>
    <w:p>
      <w:pPr>
        <w:pStyle w:val="TextBody"/>
        <w:spacing w:before="0" w:after="0"/>
        <w:ind w:left="0" w:right="0" w:hanging="0"/>
        <w:rPr/>
      </w:pPr>
      <w:r>
        <w:rPr/>
        <w:t> </w:t>
      </w:r>
    </w:p>
    <w:p>
      <w:pPr>
        <w:pStyle w:val="TextBody"/>
        <w:jc w:val="center"/>
        <w:rPr>
          <w:rFonts w:ascii="Times New Roman" w:hAnsi="Times New Roman"/>
          <w:sz w:val="20"/>
        </w:rPr>
      </w:pPr>
      <w:r>
        <w:rPr>
          <w:rFonts w:ascii="Times New Roman" w:hAnsi="Times New Roman"/>
          <w:sz w:val="20"/>
        </w:rPr>
        <w:t xml:space="preserve">33 </w:t>
      </w:r>
      <w:r>
        <w:br w:type="page"/>
      </w:r>
    </w:p>
    <w:p>
      <w:pPr>
        <w:pStyle w:val="TextBody"/>
        <w:spacing w:before="0" w:after="0"/>
        <w:ind w:left="0" w:right="0" w:hanging="0"/>
        <w:jc w:val="right"/>
        <w:rPr>
          <w:rFonts w:ascii="Times New Roman;Times;serif" w:hAnsi="Times New Roman;Times;serif"/>
          <w:sz w:val="20"/>
        </w:rPr>
      </w:pPr>
      <w:bookmarkStart w:id="19" w:name="ex_493695.htm"/>
      <w:bookmarkStart w:id="20" w:name="ksex_493695"/>
      <w:bookmarkEnd w:id="19"/>
      <w:bookmarkEnd w:id="20"/>
      <w:r>
        <w:rPr>
          <w:rFonts w:ascii="Times New Roman;Times;serif" w:hAnsi="Times New Roman;Times;serif"/>
          <w:b/>
          <w:sz w:val="20"/>
        </w:rPr>
        <w:t>Exhibit 31.1</w:t>
      </w:r>
      <w:r>
        <w:rPr>
          <w:rFonts w:ascii="Times New Roman;Times;serif" w:hAnsi="Times New Roman;Times;serif"/>
          <w:sz w:val="20"/>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b/>
          <w:sz w:val="20"/>
        </w:rPr>
        <w:t>Certification</w:t>
      </w:r>
      <w:r>
        <w:rPr>
          <w:rFonts w:ascii="Times New Roman;Times;serif" w:hAnsi="Times New Roman;Times;serif"/>
          <w:sz w:val="20"/>
        </w:rPr>
        <w:t> </w:t>
      </w:r>
    </w:p>
    <w:p>
      <w:pPr>
        <w:pStyle w:val="TextBody"/>
        <w:spacing w:before="0" w:after="0"/>
        <w:ind w:left="0" w:right="0" w:hanging="0"/>
        <w:jc w:val="center"/>
        <w:rPr/>
      </w:pPr>
      <w:r>
        <w:rPr/>
        <w:t>  </w:t>
      </w:r>
    </w:p>
    <w:p>
      <w:pPr>
        <w:pStyle w:val="TextBody"/>
        <w:spacing w:before="0" w:after="0"/>
        <w:ind w:left="0" w:right="0" w:hanging="0"/>
        <w:jc w:val="left"/>
        <w:rPr>
          <w:rFonts w:ascii="Times New Roman;Times;serif" w:hAnsi="Times New Roman;Times;serif"/>
          <w:sz w:val="20"/>
        </w:rPr>
      </w:pPr>
      <w:r>
        <w:rPr>
          <w:rFonts w:ascii="Times New Roman;Times;serif" w:hAnsi="Times New Roman;Times;serif"/>
          <w:sz w:val="20"/>
        </w:rPr>
        <w:t>I, Chih-Hsiang (Thompson) Lin, certify that:</w:t>
      </w:r>
    </w:p>
    <w:p>
      <w:pPr>
        <w:pStyle w:val="TextBody"/>
        <w:spacing w:before="0" w:after="0"/>
        <w:ind w:left="0" w:right="0" w:hanging="0"/>
        <w:jc w:val="left"/>
        <w:rPr/>
      </w:pPr>
      <w:r>
        <w:rPr/>
        <w:t>  </w:t>
      </w:r>
    </w:p>
    <w:tbl>
      <w:tblPr>
        <w:tblW w:w="7090" w:type="dxa"/>
        <w:jc w:val="left"/>
        <w:tblInd w:w="0" w:type="dxa"/>
        <w:tblCellMar>
          <w:top w:w="0" w:type="dxa"/>
          <w:left w:w="0" w:type="dxa"/>
          <w:bottom w:w="0" w:type="dxa"/>
          <w:right w:w="0" w:type="dxa"/>
        </w:tblCellMar>
      </w:tblPr>
      <w:tblGrid>
        <w:gridCol w:w="170"/>
        <w:gridCol w:w="6920"/>
      </w:tblGrid>
      <w:tr>
        <w:trPr/>
        <w:tc>
          <w:tcPr>
            <w:tcW w:w="170"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6920"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I have reviewed this Quarterly Report on Form 10-Q of Applied Optoelectronics, Inc.;</w:t>
            </w:r>
          </w:p>
        </w:tc>
      </w:tr>
    </w:tbl>
    <w:p>
      <w:pPr>
        <w:pStyle w:val="TextBody"/>
        <w:spacing w:before="0" w:after="0"/>
        <w:ind w:left="720" w:right="0" w:hanging="720"/>
        <w:jc w:val="left"/>
        <w:rPr/>
      </w:pPr>
      <w:r>
        <w:rPr/>
        <w:t>  </w:t>
      </w:r>
    </w:p>
    <w:tbl>
      <w:tblPr>
        <w:tblW w:w="10205" w:type="dxa"/>
        <w:jc w:val="left"/>
        <w:tblInd w:w="0" w:type="dxa"/>
        <w:tblCellMar>
          <w:top w:w="0" w:type="dxa"/>
          <w:left w:w="0" w:type="dxa"/>
          <w:bottom w:w="0" w:type="dxa"/>
          <w:right w:w="0" w:type="dxa"/>
        </w:tblCellMar>
      </w:tblPr>
      <w:tblGrid>
        <w:gridCol w:w="142"/>
        <w:gridCol w:w="10063"/>
      </w:tblGrid>
      <w:tr>
        <w:trPr/>
        <w:tc>
          <w:tcPr>
            <w:tcW w:w="142"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10063"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before="0" w:after="0"/>
        <w:ind w:left="720" w:right="0" w:hanging="720"/>
        <w:jc w:val="left"/>
        <w:rPr/>
      </w:pPr>
      <w:r>
        <w:rPr/>
        <w:t>  </w:t>
      </w:r>
    </w:p>
    <w:tbl>
      <w:tblPr>
        <w:tblW w:w="10205" w:type="dxa"/>
        <w:jc w:val="left"/>
        <w:tblInd w:w="0" w:type="dxa"/>
        <w:tblCellMar>
          <w:top w:w="0" w:type="dxa"/>
          <w:left w:w="0" w:type="dxa"/>
          <w:bottom w:w="0" w:type="dxa"/>
          <w:right w:w="0" w:type="dxa"/>
        </w:tblCellMar>
      </w:tblPr>
      <w:tblGrid>
        <w:gridCol w:w="144"/>
        <w:gridCol w:w="10061"/>
      </w:tblGrid>
      <w:tr>
        <w:trPr/>
        <w:tc>
          <w:tcPr>
            <w:tcW w:w="144"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10061"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 and for, the periods presented in this report;</w:t>
            </w:r>
          </w:p>
        </w:tc>
      </w:tr>
    </w:tbl>
    <w:p>
      <w:pPr>
        <w:pStyle w:val="TextBody"/>
        <w:spacing w:before="0" w:after="0"/>
        <w:ind w:left="720" w:right="0" w:hanging="720"/>
        <w:jc w:val="left"/>
        <w:rPr/>
      </w:pPr>
      <w:r>
        <w:rPr/>
        <w:t>  </w:t>
      </w:r>
    </w:p>
    <w:tbl>
      <w:tblPr>
        <w:tblW w:w="10205" w:type="dxa"/>
        <w:jc w:val="left"/>
        <w:tblInd w:w="0" w:type="dxa"/>
        <w:tblCellMar>
          <w:top w:w="0" w:type="dxa"/>
          <w:left w:w="0" w:type="dxa"/>
          <w:bottom w:w="0" w:type="dxa"/>
          <w:right w:w="0" w:type="dxa"/>
        </w:tblCellMar>
      </w:tblPr>
      <w:tblGrid>
        <w:gridCol w:w="141"/>
        <w:gridCol w:w="10064"/>
      </w:tblGrid>
      <w:tr>
        <w:trPr/>
        <w:tc>
          <w:tcPr>
            <w:tcW w:w="141"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4.</w:t>
            </w:r>
          </w:p>
        </w:tc>
        <w:tc>
          <w:tcPr>
            <w:tcW w:w="10064"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spacing w:before="0" w:after="0"/>
        <w:ind w:left="0" w:right="0" w:hanging="0"/>
        <w:jc w:val="left"/>
        <w:rPr/>
      </w:pPr>
      <w:r>
        <w:rPr/>
        <w:t>  </w:t>
      </w:r>
    </w:p>
    <w:tbl>
      <w:tblPr>
        <w:tblW w:w="10205" w:type="dxa"/>
        <w:jc w:val="left"/>
        <w:tblInd w:w="0" w:type="dxa"/>
        <w:tblCellMar>
          <w:top w:w="0" w:type="dxa"/>
          <w:left w:w="0" w:type="dxa"/>
          <w:bottom w:w="0" w:type="dxa"/>
          <w:right w:w="0" w:type="dxa"/>
        </w:tblCellMar>
      </w:tblPr>
      <w:tblGrid>
        <w:gridCol w:w="60"/>
        <w:gridCol w:w="129"/>
        <w:gridCol w:w="10016"/>
      </w:tblGrid>
      <w:tr>
        <w:trPr/>
        <w:tc>
          <w:tcPr>
            <w:tcW w:w="60" w:type="dxa"/>
            <w:tcBorders/>
            <w:shd w:fill="auto" w:val="clear"/>
            <w:vAlign w:val="center"/>
          </w:tcPr>
          <w:p>
            <w:pPr>
              <w:pStyle w:val="TableContents"/>
              <w:spacing w:before="0" w:after="283"/>
              <w:rPr/>
            </w:pPr>
            <w:r>
              <w:rPr/>
              <w:t> </w:t>
            </w:r>
          </w:p>
        </w:tc>
        <w:tc>
          <w:tcPr>
            <w:tcW w:w="129"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10016"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spacing w:before="0" w:after="0"/>
        <w:ind w:left="1440" w:right="0" w:hanging="360"/>
        <w:jc w:val="left"/>
        <w:rPr/>
      </w:pPr>
      <w:r>
        <w:rPr/>
        <w:t>  </w:t>
      </w:r>
    </w:p>
    <w:tbl>
      <w:tblPr>
        <w:tblW w:w="10205" w:type="dxa"/>
        <w:jc w:val="left"/>
        <w:tblInd w:w="0" w:type="dxa"/>
        <w:tblCellMar>
          <w:top w:w="0" w:type="dxa"/>
          <w:left w:w="0" w:type="dxa"/>
          <w:bottom w:w="0" w:type="dxa"/>
          <w:right w:w="0" w:type="dxa"/>
        </w:tblCellMar>
      </w:tblPr>
      <w:tblGrid>
        <w:gridCol w:w="60"/>
        <w:gridCol w:w="144"/>
        <w:gridCol w:w="10001"/>
      </w:tblGrid>
      <w:tr>
        <w:trPr/>
        <w:tc>
          <w:tcPr>
            <w:tcW w:w="60" w:type="dxa"/>
            <w:tcBorders/>
            <w:shd w:fill="auto" w:val="clear"/>
            <w:vAlign w:val="center"/>
          </w:tcPr>
          <w:p>
            <w:pPr>
              <w:pStyle w:val="TableContents"/>
              <w:spacing w:before="0" w:after="283"/>
              <w:rPr/>
            </w:pPr>
            <w:r>
              <w:rPr/>
              <w:t> </w:t>
            </w:r>
          </w:p>
        </w:tc>
        <w:tc>
          <w:tcPr>
            <w:tcW w:w="144"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10001"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spacing w:before="0" w:after="0"/>
        <w:ind w:left="1440" w:right="0" w:hanging="360"/>
        <w:jc w:val="left"/>
        <w:rPr/>
      </w:pPr>
      <w:r>
        <w:rPr/>
        <w:t>  </w:t>
      </w:r>
    </w:p>
    <w:tbl>
      <w:tblPr>
        <w:tblW w:w="10205" w:type="dxa"/>
        <w:jc w:val="left"/>
        <w:tblInd w:w="0" w:type="dxa"/>
        <w:tblCellMar>
          <w:top w:w="0" w:type="dxa"/>
          <w:left w:w="0" w:type="dxa"/>
          <w:bottom w:w="0" w:type="dxa"/>
          <w:right w:w="0" w:type="dxa"/>
        </w:tblCellMar>
      </w:tblPr>
      <w:tblGrid>
        <w:gridCol w:w="60"/>
        <w:gridCol w:w="135"/>
        <w:gridCol w:w="10010"/>
      </w:tblGrid>
      <w:tr>
        <w:trPr/>
        <w:tc>
          <w:tcPr>
            <w:tcW w:w="60" w:type="dxa"/>
            <w:tcBorders/>
            <w:shd w:fill="auto" w:val="clear"/>
            <w:vAlign w:val="center"/>
          </w:tcPr>
          <w:p>
            <w:pPr>
              <w:pStyle w:val="TableContents"/>
              <w:spacing w:before="0" w:after="283"/>
              <w:rPr/>
            </w:pPr>
            <w:r>
              <w:rPr/>
              <w:t> </w:t>
            </w:r>
          </w:p>
        </w:tc>
        <w:tc>
          <w:tcPr>
            <w:tcW w:w="135"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c)</w:t>
            </w:r>
          </w:p>
        </w:tc>
        <w:tc>
          <w:tcPr>
            <w:tcW w:w="10010"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spacing w:before="0" w:after="0"/>
        <w:ind w:left="1440" w:right="0" w:hanging="360"/>
        <w:jc w:val="left"/>
        <w:rPr/>
      </w:pPr>
      <w:r>
        <w:rPr/>
        <w:t>  </w:t>
      </w:r>
    </w:p>
    <w:tbl>
      <w:tblPr>
        <w:tblW w:w="10205" w:type="dxa"/>
        <w:jc w:val="left"/>
        <w:tblInd w:w="0" w:type="dxa"/>
        <w:tblCellMar>
          <w:top w:w="0" w:type="dxa"/>
          <w:left w:w="0" w:type="dxa"/>
          <w:bottom w:w="0" w:type="dxa"/>
          <w:right w:w="0" w:type="dxa"/>
        </w:tblCellMar>
      </w:tblPr>
      <w:tblGrid>
        <w:gridCol w:w="60"/>
        <w:gridCol w:w="144"/>
        <w:gridCol w:w="10001"/>
      </w:tblGrid>
      <w:tr>
        <w:trPr/>
        <w:tc>
          <w:tcPr>
            <w:tcW w:w="60" w:type="dxa"/>
            <w:tcBorders/>
            <w:shd w:fill="auto" w:val="clear"/>
            <w:vAlign w:val="center"/>
          </w:tcPr>
          <w:p>
            <w:pPr>
              <w:pStyle w:val="TableContents"/>
              <w:spacing w:before="0" w:after="283"/>
              <w:rPr/>
            </w:pPr>
            <w:r>
              <w:rPr/>
              <w:t> </w:t>
            </w:r>
          </w:p>
        </w:tc>
        <w:tc>
          <w:tcPr>
            <w:tcW w:w="144"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d)</w:t>
            </w:r>
          </w:p>
        </w:tc>
        <w:tc>
          <w:tcPr>
            <w:tcW w:w="10001"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spacing w:before="0" w:after="0"/>
        <w:ind w:left="0" w:right="0" w:hanging="0"/>
        <w:jc w:val="left"/>
        <w:rPr/>
      </w:pPr>
      <w:r>
        <w:rPr/>
        <w:t>  </w:t>
      </w:r>
    </w:p>
    <w:tbl>
      <w:tblPr>
        <w:tblW w:w="10205" w:type="dxa"/>
        <w:jc w:val="left"/>
        <w:tblInd w:w="0" w:type="dxa"/>
        <w:tblCellMar>
          <w:top w:w="0" w:type="dxa"/>
          <w:left w:w="0" w:type="dxa"/>
          <w:bottom w:w="0" w:type="dxa"/>
          <w:right w:w="0" w:type="dxa"/>
        </w:tblCellMar>
      </w:tblPr>
      <w:tblGrid>
        <w:gridCol w:w="144"/>
        <w:gridCol w:w="10061"/>
      </w:tblGrid>
      <w:tr>
        <w:trPr/>
        <w:tc>
          <w:tcPr>
            <w:tcW w:w="144"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5.</w:t>
            </w:r>
          </w:p>
        </w:tc>
        <w:tc>
          <w:tcPr>
            <w:tcW w:w="10061"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spacing w:before="0" w:after="0"/>
        <w:ind w:left="0" w:right="0" w:hanging="0"/>
        <w:jc w:val="left"/>
        <w:rPr/>
      </w:pPr>
      <w:r>
        <w:rPr/>
        <w:t>  </w:t>
      </w:r>
    </w:p>
    <w:tbl>
      <w:tblPr>
        <w:tblW w:w="10205" w:type="dxa"/>
        <w:jc w:val="left"/>
        <w:tblInd w:w="0" w:type="dxa"/>
        <w:tblCellMar>
          <w:top w:w="0" w:type="dxa"/>
          <w:left w:w="0" w:type="dxa"/>
          <w:bottom w:w="0" w:type="dxa"/>
          <w:right w:w="0" w:type="dxa"/>
        </w:tblCellMar>
      </w:tblPr>
      <w:tblGrid>
        <w:gridCol w:w="60"/>
        <w:gridCol w:w="137"/>
        <w:gridCol w:w="10008"/>
      </w:tblGrid>
      <w:tr>
        <w:trPr/>
        <w:tc>
          <w:tcPr>
            <w:tcW w:w="60" w:type="dxa"/>
            <w:tcBorders/>
            <w:shd w:fill="auto" w:val="clear"/>
            <w:vAlign w:val="center"/>
          </w:tcPr>
          <w:p>
            <w:pPr>
              <w:pStyle w:val="TableContents"/>
              <w:spacing w:before="0" w:after="283"/>
              <w:rPr/>
            </w:pPr>
            <w:r>
              <w:rPr/>
              <w:t> </w:t>
            </w:r>
          </w:p>
        </w:tc>
        <w:tc>
          <w:tcPr>
            <w:tcW w:w="137"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10008"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pacing w:before="0" w:after="0"/>
        <w:ind w:left="1440" w:right="0" w:hanging="360"/>
        <w:jc w:val="left"/>
        <w:rPr/>
      </w:pPr>
      <w:r>
        <w:rPr/>
        <w:t>  </w:t>
      </w:r>
    </w:p>
    <w:tbl>
      <w:tblPr>
        <w:tblW w:w="10205" w:type="dxa"/>
        <w:jc w:val="left"/>
        <w:tblInd w:w="0" w:type="dxa"/>
        <w:tblCellMar>
          <w:top w:w="0" w:type="dxa"/>
          <w:left w:w="0" w:type="dxa"/>
          <w:bottom w:w="0" w:type="dxa"/>
          <w:right w:w="0" w:type="dxa"/>
        </w:tblCellMar>
      </w:tblPr>
      <w:tblGrid>
        <w:gridCol w:w="60"/>
        <w:gridCol w:w="167"/>
        <w:gridCol w:w="9978"/>
      </w:tblGrid>
      <w:tr>
        <w:trPr/>
        <w:tc>
          <w:tcPr>
            <w:tcW w:w="60" w:type="dxa"/>
            <w:tcBorders/>
            <w:shd w:fill="auto" w:val="clear"/>
            <w:vAlign w:val="center"/>
          </w:tcPr>
          <w:p>
            <w:pPr>
              <w:pStyle w:val="TableContents"/>
              <w:spacing w:before="0" w:after="283"/>
              <w:rPr/>
            </w:pPr>
            <w:r>
              <w:rPr/>
              <w:t> </w:t>
            </w:r>
          </w:p>
        </w:tc>
        <w:tc>
          <w:tcPr>
            <w:tcW w:w="167"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978"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sz w:val="20"/>
        </w:rPr>
      </w:pPr>
      <w:r>
        <w:rPr>
          <w:rFonts w:ascii="Times New Roman;Times;serif" w:hAnsi="Times New Roman;Times;serif"/>
          <w:sz w:val="20"/>
        </w:rPr>
        <w:t>Date: May 4, 2023</w:t>
      </w:r>
    </w:p>
    <w:p>
      <w:pPr>
        <w:pStyle w:val="TextBody"/>
        <w:spacing w:before="0" w:after="0"/>
        <w:ind w:left="0" w:right="0" w:hanging="0"/>
        <w:jc w:val="center"/>
        <w:rPr/>
      </w:pPr>
      <w:r>
        <w:rPr/>
        <w:t>  </w:t>
      </w:r>
    </w:p>
    <w:tbl>
      <w:tblPr>
        <w:tblW w:w="3140" w:type="dxa"/>
        <w:jc w:val="left"/>
        <w:tblInd w:w="0" w:type="dxa"/>
        <w:tblCellMar>
          <w:top w:w="0" w:type="dxa"/>
          <w:left w:w="0" w:type="dxa"/>
          <w:bottom w:w="28" w:type="dxa"/>
          <w:right w:w="0" w:type="dxa"/>
        </w:tblCellMar>
      </w:tblPr>
      <w:tblGrid>
        <w:gridCol w:w="3080"/>
        <w:gridCol w:w="60"/>
      </w:tblGrid>
      <w:tr>
        <w:trPr/>
        <w:tc>
          <w:tcPr>
            <w:tcW w:w="3080" w:type="dxa"/>
            <w:tcBorders>
              <w:bottom w:val="single" w:sz="2" w:space="0" w:color="000000"/>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/s/ CHIH-HSIANG (THOMPSON) LIN</w:t>
            </w:r>
          </w:p>
        </w:tc>
        <w:tc>
          <w:tcPr>
            <w:tcW w:w="60" w:type="dxa"/>
            <w:tcBorders/>
            <w:shd w:fill="auto" w:val="clear"/>
            <w:tcMar>
              <w:bottom w:w="0" w:type="dxa"/>
            </w:tcMar>
            <w:vAlign w:val="center"/>
          </w:tcPr>
          <w:p>
            <w:pPr>
              <w:pStyle w:val="TableContents"/>
              <w:spacing w:before="0" w:after="0"/>
              <w:ind w:left="0" w:right="0" w:hanging="0"/>
              <w:jc w:val="left"/>
              <w:rPr/>
            </w:pPr>
            <w:r>
              <w:rPr/>
              <w:t> </w:t>
            </w:r>
          </w:p>
        </w:tc>
      </w:tr>
      <w:tr>
        <w:trPr/>
        <w:tc>
          <w:tcPr>
            <w:tcW w:w="3080" w:type="dxa"/>
            <w:tcBorders/>
            <w:shd w:fill="auto" w:val="clear"/>
            <w:tcMar>
              <w:bottom w:w="0" w:type="dxa"/>
            </w:tcM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CHIH-HSIANG (THOMPSON) LIN</w:t>
            </w:r>
          </w:p>
        </w:tc>
        <w:tc>
          <w:tcPr>
            <w:tcW w:w="60" w:type="dxa"/>
            <w:tcBorders/>
            <w:shd w:fill="auto" w:val="clear"/>
            <w:tcMar>
              <w:bottom w:w="0" w:type="dxa"/>
            </w:tcMar>
            <w:vAlign w:val="center"/>
          </w:tcPr>
          <w:p>
            <w:pPr>
              <w:pStyle w:val="TableContents"/>
              <w:spacing w:before="0" w:after="0"/>
              <w:ind w:left="0" w:right="0" w:hanging="0"/>
              <w:jc w:val="left"/>
              <w:rPr/>
            </w:pPr>
            <w:r>
              <w:rPr/>
              <w:t> </w:t>
            </w:r>
          </w:p>
        </w:tc>
      </w:tr>
      <w:tr>
        <w:trPr/>
        <w:tc>
          <w:tcPr>
            <w:tcW w:w="3080" w:type="dxa"/>
            <w:tcBorders/>
            <w:shd w:fill="auto" w:val="clear"/>
            <w:tcMar>
              <w:bottom w:w="0" w:type="dxa"/>
            </w:tcM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c>
          <w:tcPr>
            <w:tcW w:w="60" w:type="dxa"/>
            <w:tcBorders/>
            <w:shd w:fill="auto" w:val="clear"/>
            <w:tcMar>
              <w:bottom w:w="0" w:type="dxa"/>
            </w:tcMar>
            <w:vAlign w:val="center"/>
          </w:tcPr>
          <w:p>
            <w:pPr>
              <w:pStyle w:val="TableContents"/>
              <w:spacing w:before="0" w:after="0"/>
              <w:ind w:left="0" w:right="0" w:hanging="0"/>
              <w:jc w:val="left"/>
              <w:rPr/>
            </w:pPr>
            <w:r>
              <w:rPr/>
              <w:t> </w:t>
            </w:r>
          </w:p>
        </w:tc>
      </w:tr>
    </w:tbl>
    <w:p>
      <w:pPr>
        <w:pStyle w:val="TextBody"/>
        <w:spacing w:before="0" w:after="0"/>
        <w:ind w:left="0" w:right="0" w:hanging="0"/>
        <w:jc w:val="left"/>
        <w:rPr/>
      </w:pPr>
      <w:r>
        <w:rPr/>
        <w:t>  </w:t>
      </w:r>
    </w:p>
    <w:p>
      <w:pPr>
        <w:pStyle w:val="TextBody"/>
        <w:rPr/>
      </w:pPr>
      <w:r>
        <w:rPr/>
        <w:t> </w:t>
      </w:r>
      <w:r>
        <w:br w:type="page"/>
      </w:r>
    </w:p>
    <w:p>
      <w:pPr>
        <w:pStyle w:val="TextBody"/>
        <w:spacing w:before="0" w:after="0"/>
        <w:ind w:left="0" w:right="0" w:hanging="0"/>
        <w:jc w:val="right"/>
        <w:rPr>
          <w:rFonts w:ascii="Times New Roman;Times;serif" w:hAnsi="Times New Roman;Times;serif"/>
          <w:sz w:val="20"/>
        </w:rPr>
      </w:pPr>
      <w:bookmarkStart w:id="21" w:name="ex_493696.htm"/>
      <w:bookmarkStart w:id="22" w:name="ksex_493696"/>
      <w:bookmarkEnd w:id="21"/>
      <w:bookmarkEnd w:id="22"/>
      <w:r>
        <w:rPr>
          <w:rFonts w:ascii="Times New Roman;Times;serif" w:hAnsi="Times New Roman;Times;serif"/>
          <w:b/>
          <w:sz w:val="20"/>
        </w:rPr>
        <w:t>Exhibit 31.2</w:t>
      </w:r>
      <w:r>
        <w:rPr>
          <w:rFonts w:ascii="Times New Roman;Times;serif" w:hAnsi="Times New Roman;Times;serif"/>
          <w:sz w:val="20"/>
        </w:rPr>
        <w:t> </w:t>
      </w:r>
    </w:p>
    <w:p>
      <w:pPr>
        <w:pStyle w:val="TextBody"/>
        <w:spacing w:before="0" w:after="0"/>
        <w:ind w:left="0" w:right="0" w:hanging="0"/>
        <w:jc w:val="left"/>
        <w:rPr/>
      </w:pPr>
      <w:r>
        <w:rPr/>
        <w:t>  </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b/>
          <w:sz w:val="20"/>
        </w:rPr>
        <w:t>Certification</w:t>
      </w:r>
      <w:r>
        <w:rPr>
          <w:rFonts w:ascii="Times New Roman;Times;serif" w:hAnsi="Times New Roman;Times;serif"/>
          <w:sz w:val="20"/>
        </w:rPr>
        <w:t> </w:t>
      </w:r>
    </w:p>
    <w:p>
      <w:pPr>
        <w:pStyle w:val="TextBody"/>
        <w:spacing w:before="0" w:after="0"/>
        <w:ind w:left="0" w:right="0" w:hanging="0"/>
        <w:jc w:val="center"/>
        <w:rPr/>
      </w:pPr>
      <w:r>
        <w:rPr/>
        <w:t>  </w:t>
      </w:r>
    </w:p>
    <w:p>
      <w:pPr>
        <w:pStyle w:val="TextBody"/>
        <w:spacing w:before="0" w:after="0"/>
        <w:ind w:left="0" w:right="0" w:hanging="0"/>
        <w:jc w:val="left"/>
        <w:rPr>
          <w:rFonts w:ascii="Times New Roman;Times;serif" w:hAnsi="Times New Roman;Times;serif"/>
          <w:sz w:val="20"/>
        </w:rPr>
      </w:pPr>
      <w:r>
        <w:rPr>
          <w:rFonts w:ascii="Times New Roman;Times;serif" w:hAnsi="Times New Roman;Times;serif"/>
          <w:sz w:val="20"/>
        </w:rPr>
        <w:t>I, Stefan J. Murry, certify that:</w:t>
      </w:r>
    </w:p>
    <w:p>
      <w:pPr>
        <w:pStyle w:val="TextBody"/>
        <w:spacing w:before="0" w:after="0"/>
        <w:ind w:left="0" w:right="0" w:hanging="0"/>
        <w:jc w:val="left"/>
        <w:rPr/>
      </w:pPr>
      <w:r>
        <w:rPr/>
        <w:t>  </w:t>
      </w:r>
    </w:p>
    <w:tbl>
      <w:tblPr>
        <w:tblW w:w="7090" w:type="dxa"/>
        <w:jc w:val="left"/>
        <w:tblInd w:w="0" w:type="dxa"/>
        <w:tblCellMar>
          <w:top w:w="0" w:type="dxa"/>
          <w:left w:w="0" w:type="dxa"/>
          <w:bottom w:w="0" w:type="dxa"/>
          <w:right w:w="0" w:type="dxa"/>
        </w:tblCellMar>
      </w:tblPr>
      <w:tblGrid>
        <w:gridCol w:w="170"/>
        <w:gridCol w:w="6920"/>
      </w:tblGrid>
      <w:tr>
        <w:trPr/>
        <w:tc>
          <w:tcPr>
            <w:tcW w:w="170"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6920"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I have reviewed this Quarterly Report on Form 10-Q of Applied Optoelectronics, Inc.;</w:t>
            </w:r>
          </w:p>
        </w:tc>
      </w:tr>
    </w:tbl>
    <w:p>
      <w:pPr>
        <w:pStyle w:val="TextBody"/>
        <w:spacing w:before="0" w:after="0"/>
        <w:ind w:left="720" w:right="0" w:hanging="720"/>
        <w:jc w:val="left"/>
        <w:rPr/>
      </w:pPr>
      <w:r>
        <w:rPr/>
        <w:t>  </w:t>
      </w:r>
    </w:p>
    <w:tbl>
      <w:tblPr>
        <w:tblW w:w="10205" w:type="dxa"/>
        <w:jc w:val="left"/>
        <w:tblInd w:w="0" w:type="dxa"/>
        <w:tblCellMar>
          <w:top w:w="0" w:type="dxa"/>
          <w:left w:w="0" w:type="dxa"/>
          <w:bottom w:w="0" w:type="dxa"/>
          <w:right w:w="0" w:type="dxa"/>
        </w:tblCellMar>
      </w:tblPr>
      <w:tblGrid>
        <w:gridCol w:w="142"/>
        <w:gridCol w:w="10063"/>
      </w:tblGrid>
      <w:tr>
        <w:trPr/>
        <w:tc>
          <w:tcPr>
            <w:tcW w:w="142"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10063"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before="0" w:after="0"/>
        <w:ind w:left="720" w:right="0" w:hanging="720"/>
        <w:jc w:val="left"/>
        <w:rPr/>
      </w:pPr>
      <w:r>
        <w:rPr/>
        <w:t>  </w:t>
      </w:r>
    </w:p>
    <w:tbl>
      <w:tblPr>
        <w:tblW w:w="10205" w:type="dxa"/>
        <w:jc w:val="left"/>
        <w:tblInd w:w="0" w:type="dxa"/>
        <w:tblCellMar>
          <w:top w:w="0" w:type="dxa"/>
          <w:left w:w="0" w:type="dxa"/>
          <w:bottom w:w="0" w:type="dxa"/>
          <w:right w:w="0" w:type="dxa"/>
        </w:tblCellMar>
      </w:tblPr>
      <w:tblGrid>
        <w:gridCol w:w="144"/>
        <w:gridCol w:w="10061"/>
      </w:tblGrid>
      <w:tr>
        <w:trPr/>
        <w:tc>
          <w:tcPr>
            <w:tcW w:w="144"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10061"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 and for, the periods presented in this report;</w:t>
            </w:r>
          </w:p>
        </w:tc>
      </w:tr>
    </w:tbl>
    <w:p>
      <w:pPr>
        <w:pStyle w:val="TextBody"/>
        <w:spacing w:before="0" w:after="0"/>
        <w:ind w:left="720" w:right="0" w:hanging="720"/>
        <w:jc w:val="left"/>
        <w:rPr/>
      </w:pPr>
      <w:r>
        <w:rPr/>
        <w:t>  </w:t>
      </w:r>
    </w:p>
    <w:tbl>
      <w:tblPr>
        <w:tblW w:w="10205" w:type="dxa"/>
        <w:jc w:val="left"/>
        <w:tblInd w:w="0" w:type="dxa"/>
        <w:tblCellMar>
          <w:top w:w="0" w:type="dxa"/>
          <w:left w:w="0" w:type="dxa"/>
          <w:bottom w:w="0" w:type="dxa"/>
          <w:right w:w="0" w:type="dxa"/>
        </w:tblCellMar>
      </w:tblPr>
      <w:tblGrid>
        <w:gridCol w:w="141"/>
        <w:gridCol w:w="10064"/>
      </w:tblGrid>
      <w:tr>
        <w:trPr/>
        <w:tc>
          <w:tcPr>
            <w:tcW w:w="141"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4.</w:t>
            </w:r>
          </w:p>
        </w:tc>
        <w:tc>
          <w:tcPr>
            <w:tcW w:w="10064"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spacing w:before="0" w:after="0"/>
        <w:ind w:left="0" w:right="0" w:hanging="0"/>
        <w:jc w:val="left"/>
        <w:rPr/>
      </w:pPr>
      <w:r>
        <w:rPr/>
        <w:t>  </w:t>
      </w:r>
    </w:p>
    <w:tbl>
      <w:tblPr>
        <w:tblW w:w="10205" w:type="dxa"/>
        <w:jc w:val="left"/>
        <w:tblInd w:w="0" w:type="dxa"/>
        <w:tblCellMar>
          <w:top w:w="0" w:type="dxa"/>
          <w:left w:w="0" w:type="dxa"/>
          <w:bottom w:w="0" w:type="dxa"/>
          <w:right w:w="0" w:type="dxa"/>
        </w:tblCellMar>
      </w:tblPr>
      <w:tblGrid>
        <w:gridCol w:w="60"/>
        <w:gridCol w:w="129"/>
        <w:gridCol w:w="10016"/>
      </w:tblGrid>
      <w:tr>
        <w:trPr/>
        <w:tc>
          <w:tcPr>
            <w:tcW w:w="60" w:type="dxa"/>
            <w:tcBorders/>
            <w:shd w:fill="auto" w:val="clear"/>
            <w:vAlign w:val="center"/>
          </w:tcPr>
          <w:p>
            <w:pPr>
              <w:pStyle w:val="TableContents"/>
              <w:spacing w:before="0" w:after="283"/>
              <w:rPr/>
            </w:pPr>
            <w:r>
              <w:rPr/>
              <w:t> </w:t>
            </w:r>
          </w:p>
        </w:tc>
        <w:tc>
          <w:tcPr>
            <w:tcW w:w="129"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10016"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spacing w:before="0" w:after="0"/>
        <w:ind w:left="1440" w:right="0" w:hanging="360"/>
        <w:jc w:val="left"/>
        <w:rPr/>
      </w:pPr>
      <w:r>
        <w:rPr/>
        <w:t>  </w:t>
      </w:r>
    </w:p>
    <w:tbl>
      <w:tblPr>
        <w:tblW w:w="10205" w:type="dxa"/>
        <w:jc w:val="left"/>
        <w:tblInd w:w="0" w:type="dxa"/>
        <w:tblCellMar>
          <w:top w:w="0" w:type="dxa"/>
          <w:left w:w="0" w:type="dxa"/>
          <w:bottom w:w="0" w:type="dxa"/>
          <w:right w:w="0" w:type="dxa"/>
        </w:tblCellMar>
      </w:tblPr>
      <w:tblGrid>
        <w:gridCol w:w="60"/>
        <w:gridCol w:w="144"/>
        <w:gridCol w:w="10001"/>
      </w:tblGrid>
      <w:tr>
        <w:trPr/>
        <w:tc>
          <w:tcPr>
            <w:tcW w:w="60" w:type="dxa"/>
            <w:tcBorders/>
            <w:shd w:fill="auto" w:val="clear"/>
            <w:vAlign w:val="center"/>
          </w:tcPr>
          <w:p>
            <w:pPr>
              <w:pStyle w:val="TableContents"/>
              <w:spacing w:before="0" w:after="283"/>
              <w:rPr/>
            </w:pPr>
            <w:r>
              <w:rPr/>
              <w:t> </w:t>
            </w:r>
          </w:p>
        </w:tc>
        <w:tc>
          <w:tcPr>
            <w:tcW w:w="144"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10001"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spacing w:before="0" w:after="0"/>
        <w:ind w:left="1440" w:right="0" w:hanging="360"/>
        <w:jc w:val="left"/>
        <w:rPr/>
      </w:pPr>
      <w:r>
        <w:rPr/>
        <w:t>  </w:t>
      </w:r>
    </w:p>
    <w:tbl>
      <w:tblPr>
        <w:tblW w:w="10205" w:type="dxa"/>
        <w:jc w:val="left"/>
        <w:tblInd w:w="0" w:type="dxa"/>
        <w:tblCellMar>
          <w:top w:w="0" w:type="dxa"/>
          <w:left w:w="0" w:type="dxa"/>
          <w:bottom w:w="0" w:type="dxa"/>
          <w:right w:w="0" w:type="dxa"/>
        </w:tblCellMar>
      </w:tblPr>
      <w:tblGrid>
        <w:gridCol w:w="60"/>
        <w:gridCol w:w="135"/>
        <w:gridCol w:w="10010"/>
      </w:tblGrid>
      <w:tr>
        <w:trPr/>
        <w:tc>
          <w:tcPr>
            <w:tcW w:w="60" w:type="dxa"/>
            <w:tcBorders/>
            <w:shd w:fill="auto" w:val="clear"/>
            <w:vAlign w:val="center"/>
          </w:tcPr>
          <w:p>
            <w:pPr>
              <w:pStyle w:val="TableContents"/>
              <w:spacing w:before="0" w:after="283"/>
              <w:rPr/>
            </w:pPr>
            <w:r>
              <w:rPr/>
              <w:t> </w:t>
            </w:r>
          </w:p>
        </w:tc>
        <w:tc>
          <w:tcPr>
            <w:tcW w:w="135"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c)</w:t>
            </w:r>
          </w:p>
        </w:tc>
        <w:tc>
          <w:tcPr>
            <w:tcW w:w="10010"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spacing w:before="0" w:after="0"/>
        <w:ind w:left="1440" w:right="0" w:hanging="360"/>
        <w:jc w:val="left"/>
        <w:rPr/>
      </w:pPr>
      <w:r>
        <w:rPr/>
        <w:t>  </w:t>
      </w:r>
    </w:p>
    <w:tbl>
      <w:tblPr>
        <w:tblW w:w="10205" w:type="dxa"/>
        <w:jc w:val="left"/>
        <w:tblInd w:w="0" w:type="dxa"/>
        <w:tblCellMar>
          <w:top w:w="0" w:type="dxa"/>
          <w:left w:w="0" w:type="dxa"/>
          <w:bottom w:w="0" w:type="dxa"/>
          <w:right w:w="0" w:type="dxa"/>
        </w:tblCellMar>
      </w:tblPr>
      <w:tblGrid>
        <w:gridCol w:w="60"/>
        <w:gridCol w:w="144"/>
        <w:gridCol w:w="10001"/>
      </w:tblGrid>
      <w:tr>
        <w:trPr/>
        <w:tc>
          <w:tcPr>
            <w:tcW w:w="60" w:type="dxa"/>
            <w:tcBorders/>
            <w:shd w:fill="auto" w:val="clear"/>
            <w:vAlign w:val="center"/>
          </w:tcPr>
          <w:p>
            <w:pPr>
              <w:pStyle w:val="TableContents"/>
              <w:spacing w:before="0" w:after="283"/>
              <w:rPr/>
            </w:pPr>
            <w:r>
              <w:rPr/>
              <w:t> </w:t>
            </w:r>
          </w:p>
        </w:tc>
        <w:tc>
          <w:tcPr>
            <w:tcW w:w="144"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d)</w:t>
            </w:r>
          </w:p>
        </w:tc>
        <w:tc>
          <w:tcPr>
            <w:tcW w:w="10001"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spacing w:before="0" w:after="0"/>
        <w:ind w:left="0" w:right="0" w:hanging="0"/>
        <w:jc w:val="left"/>
        <w:rPr/>
      </w:pPr>
      <w:r>
        <w:rPr/>
        <w:t>  </w:t>
      </w:r>
    </w:p>
    <w:tbl>
      <w:tblPr>
        <w:tblW w:w="10205" w:type="dxa"/>
        <w:jc w:val="left"/>
        <w:tblInd w:w="0" w:type="dxa"/>
        <w:tblCellMar>
          <w:top w:w="0" w:type="dxa"/>
          <w:left w:w="0" w:type="dxa"/>
          <w:bottom w:w="0" w:type="dxa"/>
          <w:right w:w="0" w:type="dxa"/>
        </w:tblCellMar>
      </w:tblPr>
      <w:tblGrid>
        <w:gridCol w:w="144"/>
        <w:gridCol w:w="10061"/>
      </w:tblGrid>
      <w:tr>
        <w:trPr/>
        <w:tc>
          <w:tcPr>
            <w:tcW w:w="144"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5.</w:t>
            </w:r>
          </w:p>
        </w:tc>
        <w:tc>
          <w:tcPr>
            <w:tcW w:w="10061"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spacing w:before="0" w:after="0"/>
        <w:ind w:left="0" w:right="0" w:hanging="0"/>
        <w:jc w:val="left"/>
        <w:rPr/>
      </w:pPr>
      <w:r>
        <w:rPr/>
        <w:t>  </w:t>
      </w:r>
    </w:p>
    <w:tbl>
      <w:tblPr>
        <w:tblW w:w="10205" w:type="dxa"/>
        <w:jc w:val="left"/>
        <w:tblInd w:w="0" w:type="dxa"/>
        <w:tblCellMar>
          <w:top w:w="0" w:type="dxa"/>
          <w:left w:w="0" w:type="dxa"/>
          <w:bottom w:w="0" w:type="dxa"/>
          <w:right w:w="0" w:type="dxa"/>
        </w:tblCellMar>
      </w:tblPr>
      <w:tblGrid>
        <w:gridCol w:w="60"/>
        <w:gridCol w:w="137"/>
        <w:gridCol w:w="10008"/>
      </w:tblGrid>
      <w:tr>
        <w:trPr/>
        <w:tc>
          <w:tcPr>
            <w:tcW w:w="60" w:type="dxa"/>
            <w:tcBorders/>
            <w:shd w:fill="auto" w:val="clear"/>
            <w:vAlign w:val="center"/>
          </w:tcPr>
          <w:p>
            <w:pPr>
              <w:pStyle w:val="TableContents"/>
              <w:spacing w:before="0" w:after="283"/>
              <w:rPr/>
            </w:pPr>
            <w:r>
              <w:rPr/>
              <w:t> </w:t>
            </w:r>
          </w:p>
        </w:tc>
        <w:tc>
          <w:tcPr>
            <w:tcW w:w="137"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10008"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pacing w:before="0" w:after="0"/>
        <w:ind w:left="1440" w:right="0" w:hanging="360"/>
        <w:jc w:val="left"/>
        <w:rPr/>
      </w:pPr>
      <w:r>
        <w:rPr/>
        <w:t>  </w:t>
      </w:r>
    </w:p>
    <w:tbl>
      <w:tblPr>
        <w:tblW w:w="10205" w:type="dxa"/>
        <w:jc w:val="left"/>
        <w:tblInd w:w="0" w:type="dxa"/>
        <w:tblCellMar>
          <w:top w:w="0" w:type="dxa"/>
          <w:left w:w="0" w:type="dxa"/>
          <w:bottom w:w="0" w:type="dxa"/>
          <w:right w:w="0" w:type="dxa"/>
        </w:tblCellMar>
      </w:tblPr>
      <w:tblGrid>
        <w:gridCol w:w="60"/>
        <w:gridCol w:w="167"/>
        <w:gridCol w:w="9978"/>
      </w:tblGrid>
      <w:tr>
        <w:trPr/>
        <w:tc>
          <w:tcPr>
            <w:tcW w:w="60" w:type="dxa"/>
            <w:tcBorders/>
            <w:shd w:fill="auto" w:val="clear"/>
            <w:vAlign w:val="center"/>
          </w:tcPr>
          <w:p>
            <w:pPr>
              <w:pStyle w:val="TableContents"/>
              <w:spacing w:before="0" w:after="283"/>
              <w:rPr/>
            </w:pPr>
            <w:r>
              <w:rPr/>
              <w:t> </w:t>
            </w:r>
          </w:p>
        </w:tc>
        <w:tc>
          <w:tcPr>
            <w:tcW w:w="167"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978"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spacing w:before="0" w:after="0"/>
        <w:ind w:left="0" w:right="0" w:hanging="0"/>
        <w:jc w:val="both"/>
        <w:rPr/>
      </w:pPr>
      <w:r>
        <w:rPr/>
        <w:t>  </w:t>
      </w:r>
    </w:p>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sz w:val="20"/>
        </w:rPr>
      </w:pPr>
      <w:r>
        <w:rPr>
          <w:rFonts w:ascii="Times New Roman;Times;serif" w:hAnsi="Times New Roman;Times;serif"/>
          <w:sz w:val="20"/>
        </w:rPr>
        <w:t>Date: May 4, 2023</w:t>
      </w:r>
    </w:p>
    <w:p>
      <w:pPr>
        <w:pStyle w:val="TextBody"/>
        <w:spacing w:before="0" w:after="0"/>
        <w:ind w:left="0" w:right="0" w:hanging="0"/>
        <w:jc w:val="left"/>
        <w:rPr/>
      </w:pPr>
      <w:r>
        <w:rPr/>
        <w:t>    </w:t>
      </w:r>
    </w:p>
    <w:tbl>
      <w:tblPr>
        <w:tblW w:w="1970" w:type="dxa"/>
        <w:jc w:val="left"/>
        <w:tblInd w:w="0" w:type="dxa"/>
        <w:tblCellMar>
          <w:top w:w="0" w:type="dxa"/>
          <w:left w:w="0" w:type="dxa"/>
          <w:bottom w:w="28" w:type="dxa"/>
          <w:right w:w="0" w:type="dxa"/>
        </w:tblCellMar>
      </w:tblPr>
      <w:tblGrid>
        <w:gridCol w:w="1910"/>
        <w:gridCol w:w="60"/>
      </w:tblGrid>
      <w:tr>
        <w:trPr/>
        <w:tc>
          <w:tcPr>
            <w:tcW w:w="1910" w:type="dxa"/>
            <w:tcBorders>
              <w:bottom w:val="single" w:sz="2" w:space="0" w:color="000000"/>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/s/ STEFAN J. MURRY</w:t>
            </w:r>
          </w:p>
        </w:tc>
        <w:tc>
          <w:tcPr>
            <w:tcW w:w="60" w:type="dxa"/>
            <w:tcBorders/>
            <w:shd w:fill="auto" w:val="clear"/>
            <w:tcMar>
              <w:bottom w:w="0" w:type="dxa"/>
            </w:tcMar>
            <w:vAlign w:val="center"/>
          </w:tcPr>
          <w:p>
            <w:pPr>
              <w:pStyle w:val="TableContents"/>
              <w:spacing w:before="0" w:after="0"/>
              <w:ind w:left="0" w:right="0" w:hanging="0"/>
              <w:jc w:val="left"/>
              <w:rPr/>
            </w:pPr>
            <w:r>
              <w:rPr/>
              <w:t> </w:t>
            </w:r>
          </w:p>
        </w:tc>
      </w:tr>
      <w:tr>
        <w:trPr/>
        <w:tc>
          <w:tcPr>
            <w:tcW w:w="1910" w:type="dxa"/>
            <w:tcBorders/>
            <w:shd w:fill="auto" w:val="clear"/>
            <w:tcMar>
              <w:bottom w:w="0" w:type="dxa"/>
            </w:tcM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STEFAN J. MURRY</w:t>
            </w:r>
          </w:p>
        </w:tc>
        <w:tc>
          <w:tcPr>
            <w:tcW w:w="60" w:type="dxa"/>
            <w:tcBorders/>
            <w:shd w:fill="auto" w:val="clear"/>
            <w:tcMar>
              <w:bottom w:w="0" w:type="dxa"/>
            </w:tcMar>
            <w:vAlign w:val="center"/>
          </w:tcPr>
          <w:p>
            <w:pPr>
              <w:pStyle w:val="TableContents"/>
              <w:spacing w:before="0" w:after="0"/>
              <w:ind w:left="0" w:right="0" w:hanging="0"/>
              <w:jc w:val="left"/>
              <w:rPr/>
            </w:pPr>
            <w:r>
              <w:rPr/>
              <w:t> </w:t>
            </w:r>
          </w:p>
        </w:tc>
      </w:tr>
      <w:tr>
        <w:trPr/>
        <w:tc>
          <w:tcPr>
            <w:tcW w:w="1910" w:type="dxa"/>
            <w:tcBorders/>
            <w:shd w:fill="auto" w:val="clear"/>
            <w:tcMar>
              <w:bottom w:w="0" w:type="dxa"/>
            </w:tcM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c>
          <w:tcPr>
            <w:tcW w:w="60" w:type="dxa"/>
            <w:tcBorders/>
            <w:shd w:fill="auto" w:val="clear"/>
            <w:tcMar>
              <w:bottom w:w="0" w:type="dxa"/>
            </w:tcMar>
            <w:vAlign w:val="center"/>
          </w:tcPr>
          <w:p>
            <w:pPr>
              <w:pStyle w:val="TableContents"/>
              <w:spacing w:before="0" w:after="0"/>
              <w:ind w:left="0" w:right="0" w:hanging="0"/>
              <w:jc w:val="left"/>
              <w:rPr/>
            </w:pPr>
            <w:r>
              <w:rPr/>
              <w:t> </w:t>
            </w:r>
          </w:p>
        </w:tc>
      </w:tr>
    </w:tbl>
    <w:p>
      <w:pPr>
        <w:pStyle w:val="TextBody"/>
        <w:spacing w:before="0" w:after="0"/>
        <w:ind w:left="0" w:right="0" w:hanging="0"/>
        <w:jc w:val="left"/>
        <w:rPr/>
      </w:pPr>
      <w:r>
        <w:rPr/>
        <w:t>  </w:t>
      </w:r>
    </w:p>
    <w:p>
      <w:pPr>
        <w:pStyle w:val="TextBody"/>
        <w:rPr/>
      </w:pPr>
      <w:r>
        <w:rPr/>
        <w:t> </w:t>
      </w:r>
      <w:r>
        <w:br w:type="page"/>
      </w:r>
    </w:p>
    <w:p>
      <w:pPr>
        <w:pStyle w:val="TextBody"/>
        <w:spacing w:before="0" w:after="0"/>
        <w:ind w:left="0" w:right="0" w:hanging="0"/>
        <w:jc w:val="right"/>
        <w:rPr>
          <w:rFonts w:ascii="Times New Roman;Times;serif" w:hAnsi="Times New Roman;Times;serif"/>
          <w:sz w:val="20"/>
        </w:rPr>
      </w:pPr>
      <w:bookmarkStart w:id="23" w:name="ex_493697.htm"/>
      <w:bookmarkStart w:id="24" w:name="ksex_493697"/>
      <w:bookmarkEnd w:id="23"/>
      <w:bookmarkEnd w:id="24"/>
      <w:r>
        <w:rPr>
          <w:rFonts w:ascii="Times New Roman;Times;serif" w:hAnsi="Times New Roman;Times;serif"/>
          <w:b/>
          <w:sz w:val="20"/>
        </w:rPr>
        <w:t>Exhibit 32.1</w:t>
      </w:r>
      <w:r>
        <w:rPr>
          <w:rFonts w:ascii="Times New Roman;Times;serif" w:hAnsi="Times New Roman;Times;serif"/>
          <w:sz w:val="20"/>
        </w:rPr>
        <w:t> </w:t>
      </w:r>
    </w:p>
    <w:p>
      <w:pPr>
        <w:pStyle w:val="TextBody"/>
        <w:spacing w:before="0" w:after="0"/>
        <w:ind w:left="0" w:right="0" w:hanging="0"/>
        <w:jc w:val="left"/>
        <w:rPr/>
      </w:pPr>
      <w:r>
        <w:rPr/>
        <w:t>  </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b/>
          <w:sz w:val="20"/>
        </w:rPr>
        <w:t>Certification</w:t>
      </w:r>
      <w:r>
        <w:rPr>
          <w:rFonts w:ascii="Times New Roman;Times;serif" w:hAnsi="Times New Roman;Times;serif"/>
          <w:sz w:val="20"/>
        </w:rPr>
        <w:t> </w:t>
      </w:r>
    </w:p>
    <w:p>
      <w:pPr>
        <w:pStyle w:val="TextBody"/>
        <w:spacing w:before="0" w:after="0"/>
        <w:ind w:left="0" w:right="0" w:hanging="0"/>
        <w:jc w:val="center"/>
        <w:rPr/>
      </w:pPr>
      <w:r>
        <w:rPr/>
        <w:t>  </w:t>
      </w:r>
    </w:p>
    <w:p>
      <w:pPr>
        <w:pStyle w:val="TextBody"/>
        <w:spacing w:before="0" w:after="0"/>
        <w:ind w:left="0" w:right="0" w:firstLine="720"/>
        <w:jc w:val="left"/>
        <w:rPr>
          <w:rFonts w:ascii="Times New Roman;Times;serif" w:hAnsi="Times New Roman;Times;serif"/>
          <w:sz w:val="20"/>
        </w:rPr>
      </w:pPr>
      <w:r>
        <w:rPr>
          <w:rFonts w:ascii="Times New Roman;Times;serif" w:hAnsi="Times New Roman;Times;serif"/>
          <w:sz w:val="20"/>
        </w:rPr>
        <w:t>Pursuant to the requirement set forth in Rule 13a-14(b) of the Securities Exchange Act of 1934, as amended (the “Exchange Act”), and Section 1350 of Chapter 63 of Title 18 of the U.S. Code (18 U.S.C. § 1350), Chih-Hsiang (Thompson) Lin, President and Chief Executive Officer of Applied Optoelectronics, Inc. (the “Company”), and Stefan J. Murry, Chief Financial Officer and Senior Vice President of the Company, each hereby certifies that, to the best of his knowledge:</w:t>
      </w:r>
    </w:p>
    <w:p>
      <w:pPr>
        <w:pStyle w:val="TextBody"/>
        <w:spacing w:before="0" w:after="0"/>
        <w:ind w:left="0" w:right="0" w:firstLine="720"/>
        <w:jc w:val="left"/>
        <w:rPr/>
      </w:pPr>
      <w:r>
        <w:rPr/>
        <w:t>  </w:t>
      </w:r>
    </w:p>
    <w:tbl>
      <w:tblPr>
        <w:tblW w:w="10205" w:type="dxa"/>
        <w:jc w:val="left"/>
        <w:tblInd w:w="0" w:type="dxa"/>
        <w:tblCellMar>
          <w:top w:w="0" w:type="dxa"/>
          <w:left w:w="0" w:type="dxa"/>
          <w:bottom w:w="0" w:type="dxa"/>
          <w:right w:w="0" w:type="dxa"/>
        </w:tblCellMar>
      </w:tblPr>
      <w:tblGrid>
        <w:gridCol w:w="60"/>
        <w:gridCol w:w="145"/>
        <w:gridCol w:w="10000"/>
      </w:tblGrid>
      <w:tr>
        <w:trPr/>
        <w:tc>
          <w:tcPr>
            <w:tcW w:w="60" w:type="dxa"/>
            <w:tcBorders/>
            <w:shd w:fill="auto" w:val="clear"/>
            <w:vAlign w:val="center"/>
          </w:tcPr>
          <w:p>
            <w:pPr>
              <w:pStyle w:val="TableContents"/>
              <w:spacing w:before="0" w:after="283"/>
              <w:rPr/>
            </w:pPr>
            <w:r>
              <w:rPr/>
              <w:t> </w:t>
            </w:r>
          </w:p>
        </w:tc>
        <w:tc>
          <w:tcPr>
            <w:tcW w:w="145"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10000"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Company’s Quarterly Report on Form 10-Q for the period ended </w:t>
            </w:r>
            <w:bookmarkStart w:id="25" w:name="led53890F20214271622125673980"/>
            <w:bookmarkEnd w:id="25"/>
            <w:r>
              <w:rPr>
                <w:rFonts w:ascii="Times New Roman;Times;serif" w:hAnsi="Times New Roman;Times;serif"/>
                <w:sz w:val="20"/>
              </w:rPr>
              <w:t>March 31, 2023, to which this Certification is attached as Exhibit 32.1 (the “Quarterly Report”) fully complies with the requirements of Section 13(a) or Section 15(d) of the Exchange Act; and</w:t>
            </w:r>
          </w:p>
        </w:tc>
      </w:tr>
    </w:tbl>
    <w:p>
      <w:pPr>
        <w:pStyle w:val="TextBody"/>
        <w:spacing w:before="0" w:after="0"/>
        <w:ind w:left="864" w:right="0" w:hanging="504"/>
        <w:jc w:val="both"/>
        <w:rPr/>
      </w:pPr>
      <w:r>
        <w:rPr/>
        <w:t>  </w:t>
      </w:r>
    </w:p>
    <w:tbl>
      <w:tblPr>
        <w:tblW w:w="10205" w:type="dxa"/>
        <w:jc w:val="left"/>
        <w:tblInd w:w="0" w:type="dxa"/>
        <w:tblCellMar>
          <w:top w:w="0" w:type="dxa"/>
          <w:left w:w="0" w:type="dxa"/>
          <w:bottom w:w="0" w:type="dxa"/>
          <w:right w:w="0" w:type="dxa"/>
        </w:tblCellMar>
      </w:tblPr>
      <w:tblGrid>
        <w:gridCol w:w="60"/>
        <w:gridCol w:w="159"/>
        <w:gridCol w:w="9986"/>
      </w:tblGrid>
      <w:tr>
        <w:trPr/>
        <w:tc>
          <w:tcPr>
            <w:tcW w:w="60" w:type="dxa"/>
            <w:tcBorders/>
            <w:shd w:fill="auto" w:val="clear"/>
            <w:vAlign w:val="center"/>
          </w:tcPr>
          <w:p>
            <w:pPr>
              <w:pStyle w:val="TableContents"/>
              <w:spacing w:before="0" w:after="283"/>
              <w:rPr/>
            </w:pPr>
            <w:r>
              <w:rPr/>
              <w:t> </w:t>
            </w:r>
          </w:p>
        </w:tc>
        <w:tc>
          <w:tcPr>
            <w:tcW w:w="159"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2.</w:t>
            </w:r>
          </w:p>
        </w:tc>
        <w:tc>
          <w:tcPr>
            <w:tcW w:w="998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The information contained in the Quarterly Report fairly presents, in all material respects, the financial condition and results of operations of the Company.</w:t>
            </w:r>
          </w:p>
        </w:tc>
      </w:tr>
    </w:tbl>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sz w:val="20"/>
        </w:rPr>
      </w:pPr>
      <w:r>
        <w:rPr>
          <w:rFonts w:ascii="Times New Roman;Times;serif" w:hAnsi="Times New Roman;Times;serif"/>
          <w:sz w:val="20"/>
        </w:rPr>
        <w:t>In Witness Whereof, the undersigned have set their hands hereto as of the 4th day of May 2023.</w:t>
      </w:r>
    </w:p>
    <w:p>
      <w:pPr>
        <w:pStyle w:val="TextBody"/>
        <w:spacing w:before="0" w:after="0"/>
        <w:ind w:left="0" w:right="0" w:hanging="0"/>
        <w:jc w:val="center"/>
        <w:rPr/>
      </w:pPr>
      <w:r>
        <w:rPr/>
        <w:t>  </w:t>
      </w:r>
    </w:p>
    <w:tbl>
      <w:tblPr>
        <w:tblW w:w="5230" w:type="dxa"/>
        <w:jc w:val="left"/>
        <w:tblInd w:w="0" w:type="dxa"/>
        <w:tblCellMar>
          <w:top w:w="0" w:type="dxa"/>
          <w:left w:w="0" w:type="dxa"/>
          <w:bottom w:w="28" w:type="dxa"/>
          <w:right w:w="0" w:type="dxa"/>
        </w:tblCellMar>
      </w:tblPr>
      <w:tblGrid>
        <w:gridCol w:w="3080"/>
        <w:gridCol w:w="240"/>
        <w:gridCol w:w="1910"/>
      </w:tblGrid>
      <w:tr>
        <w:trPr/>
        <w:tc>
          <w:tcPr>
            <w:tcW w:w="3080" w:type="dxa"/>
            <w:tcBorders>
              <w:bottom w:val="single" w:sz="2" w:space="0" w:color="000000"/>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/s/ CHIH-HSIANG (THOMPSON) LIN</w:t>
            </w:r>
          </w:p>
        </w:tc>
        <w:tc>
          <w:tcPr>
            <w:tcW w:w="240" w:type="dxa"/>
            <w:tcBorders/>
            <w:shd w:fill="auto" w:val="clear"/>
            <w:tcMar>
              <w:bottom w:w="0" w:type="dxa"/>
            </w:tcMar>
            <w:vAlign w:val="center"/>
          </w:tcPr>
          <w:p>
            <w:pPr>
              <w:pStyle w:val="TableContents"/>
              <w:spacing w:before="0" w:after="0"/>
              <w:ind w:left="0" w:right="0" w:hanging="0"/>
              <w:jc w:val="left"/>
              <w:rPr/>
            </w:pPr>
            <w:r>
              <w:rPr/>
              <w:t>    </w:t>
            </w:r>
          </w:p>
        </w:tc>
        <w:tc>
          <w:tcPr>
            <w:tcW w:w="1910" w:type="dxa"/>
            <w:tcBorders>
              <w:bottom w:val="single" w:sz="2" w:space="0" w:color="000000"/>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/s/ STEFAN J. MURRY</w:t>
            </w:r>
          </w:p>
        </w:tc>
      </w:tr>
      <w:tr>
        <w:trPr/>
        <w:tc>
          <w:tcPr>
            <w:tcW w:w="3080" w:type="dxa"/>
            <w:tcBorders/>
            <w:shd w:fill="auto" w:val="clear"/>
            <w:tcMar>
              <w:bottom w:w="0" w:type="dxa"/>
            </w:tcM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CHIH-HSIANG (THOMPSON) LIN</w:t>
            </w:r>
          </w:p>
        </w:tc>
        <w:tc>
          <w:tcPr>
            <w:tcW w:w="240" w:type="dxa"/>
            <w:tcBorders/>
            <w:shd w:fill="auto" w:val="clear"/>
            <w:tcMar>
              <w:bottom w:w="0" w:type="dxa"/>
            </w:tcMar>
            <w:vAlign w:val="center"/>
          </w:tcPr>
          <w:p>
            <w:pPr>
              <w:pStyle w:val="TableContents"/>
              <w:spacing w:before="0" w:after="0"/>
              <w:ind w:left="0" w:right="0" w:hanging="0"/>
              <w:jc w:val="left"/>
              <w:rPr/>
            </w:pPr>
            <w:r>
              <w:rPr/>
              <w:t> </w:t>
            </w:r>
          </w:p>
        </w:tc>
        <w:tc>
          <w:tcPr>
            <w:tcW w:w="1910" w:type="dxa"/>
            <w:tcBorders/>
            <w:shd w:fill="auto" w:val="clear"/>
            <w:tcMar>
              <w:bottom w:w="0" w:type="dxa"/>
            </w:tcM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STEFAN J. MURRY</w:t>
            </w:r>
          </w:p>
        </w:tc>
      </w:tr>
      <w:tr>
        <w:trPr/>
        <w:tc>
          <w:tcPr>
            <w:tcW w:w="3080" w:type="dxa"/>
            <w:tcBorders/>
            <w:shd w:fill="auto" w:val="clear"/>
            <w:tcMar>
              <w:bottom w:w="0" w:type="dxa"/>
            </w:tcM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c>
          <w:tcPr>
            <w:tcW w:w="240" w:type="dxa"/>
            <w:tcBorders/>
            <w:shd w:fill="auto" w:val="clear"/>
            <w:tcMar>
              <w:bottom w:w="0" w:type="dxa"/>
            </w:tcMar>
            <w:vAlign w:val="center"/>
          </w:tcPr>
          <w:p>
            <w:pPr>
              <w:pStyle w:val="TableContents"/>
              <w:spacing w:before="0" w:after="0"/>
              <w:ind w:left="0" w:right="0" w:hanging="0"/>
              <w:jc w:val="left"/>
              <w:rPr/>
            </w:pPr>
            <w:r>
              <w:rPr/>
              <w:t> </w:t>
            </w:r>
          </w:p>
        </w:tc>
        <w:tc>
          <w:tcPr>
            <w:tcW w:w="1910" w:type="dxa"/>
            <w:tcBorders/>
            <w:shd w:fill="auto" w:val="clear"/>
            <w:tcMar>
              <w:bottom w:w="0" w:type="dxa"/>
            </w:tcM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sz w:val="20"/>
        </w:rPr>
      </w:pPr>
      <w:r>
        <w:rPr>
          <w:rFonts w:ascii="Times New Roman;Times;serif" w:hAnsi="Times New Roman;Times;serif"/>
          <w:sz w:val="20"/>
        </w:rPr>
        <w:t>This certification accompanies the Quarterly Report to which it relates, is not deemed filed with the Securities and Exchange Commission and is not to be incorporated by reference into any filing of Applied Optoelectronics, Inc. under the Securities Act of 1933, as amended, or the Securities Exchange Act of 1934, as amended (whether made before or after the date of the Quarterly Report), irrespective of any general incorporation language contained in such filing.</w:t>
      </w:r>
    </w:p>
    <w:p>
      <w:pPr>
        <w:pStyle w:val="TextBody"/>
        <w:spacing w:before="0" w:after="0"/>
        <w:ind w:left="0" w:right="0" w:hanging="0"/>
        <w:jc w:val="left"/>
        <w:rPr/>
      </w:pPr>
      <w:r>
        <w:rPr/>
        <w:t> </w:t>
      </w:r>
    </w:p>
    <w:p>
      <w:pPr>
        <w:pStyle w:val="TextBody"/>
        <w:spacing w:before="0" w:after="283"/>
        <w:rPr/>
      </w:pPr>
      <w:r>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158114/000110465922100456/tm2225831d1_ex2-1.htm" TargetMode="External"/><Relationship Id="rId3" Type="http://schemas.openxmlformats.org/officeDocument/2006/relationships/hyperlink" Target="http://www.sec.gov/Archives/edgar/data/1158114/000101968713004306/aaoi_10q-ex0301.htm" TargetMode="External"/><Relationship Id="rId4" Type="http://schemas.openxmlformats.org/officeDocument/2006/relationships/hyperlink" Target="http://www.sec.gov/Archives/edgar/data/1158114/000101968713004306/aaoi_10q-ex0302.htm" TargetMode="External"/><Relationship Id="rId5" Type="http://schemas.openxmlformats.org/officeDocument/2006/relationships/hyperlink" Target="http://www.sec.gov/Archives/edgar/data/1158114/000110465915051289/a15-15715_1ex4d1.htm" TargetMode="External"/><Relationship Id="rId6" Type="http://schemas.openxmlformats.org/officeDocument/2006/relationships/hyperlink" Target="http://www.sec.gov/Archives/edgar/data/1158114/000110465919012900/a19-4821_4ex4d1.htm" TargetMode="External"/><Relationship Id="rId7" Type="http://schemas.openxmlformats.org/officeDocument/2006/relationships/hyperlink" Target="http://www.sec.gov/Archives/edgar/data/1158114/000110465919012900/a19-4821_4ex4d1.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7</Pages>
  <Words>16903</Words>
  <CharactersWithSpaces>109202</CharactersWithSpaces>
  <Paragraphs>5851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