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244475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 w:lineRule="exact"/>
        <w:rPr>
          <w:sz w:val="24"/>
          <w:szCs w:val="24"/>
          <w:color w:val="auto"/>
        </w:rPr>
      </w:pPr>
    </w:p>
    <w:p>
      <w:pPr>
        <w:ind w:left="3660" w:right="1920" w:hanging="3653"/>
        <w:spacing w:after="0" w:line="490" w:lineRule="auto"/>
        <w:tabs>
          <w:tab w:leader="none" w:pos="20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3420" w:right="1920" w:hanging="3413"/>
        <w:spacing w:after="0" w:line="498" w:lineRule="auto"/>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001-36083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46" w:right="339" w:bottom="1440" w:gutter="0" w:footer="0" w:header="0"/>
        </w:sectPr>
      </w:pPr>
    </w:p>
    <w:p>
      <w:pPr>
        <w:spacing w:after="0" w:line="204"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1146" w:right="33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4" w:lineRule="exact"/>
        <w:rPr>
          <w:sz w:val="24"/>
          <w:szCs w:val="24"/>
          <w:color w:val="auto"/>
        </w:rPr>
      </w:pPr>
    </w:p>
    <w:p>
      <w:pPr>
        <w:ind w:left="5500" w:hanging="436"/>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6"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3"/>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610"/>
              <w:spacing w:after="0"/>
              <w:rPr>
                <w:sz w:val="20"/>
                <w:szCs w:val="20"/>
                <w:color w:val="auto"/>
              </w:rPr>
            </w:pPr>
            <w:r>
              <w:rPr>
                <w:rFonts w:ascii="Arial" w:cs="Arial" w:eastAsia="Arial" w:hAnsi="Arial"/>
                <w:sz w:val="18"/>
                <w:szCs w:val="18"/>
                <w:color w:val="auto"/>
                <w:w w:val="95"/>
              </w:rPr>
              <w:t>NASDAQ Global Market</w:t>
            </w:r>
          </w:p>
        </w:tc>
      </w:tr>
    </w:tbl>
    <w:p>
      <w:pPr>
        <w:spacing w:after="0" w:line="186" w:lineRule="exact"/>
        <w:rPr>
          <w:sz w:val="24"/>
          <w:szCs w:val="24"/>
          <w:color w:val="auto"/>
        </w:rPr>
      </w:pPr>
    </w:p>
    <w:p>
      <w:pPr>
        <w:jc w:val="both"/>
        <w:ind w:left="280" w:right="260" w:firstLine="414"/>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280" w:right="260" w:firstLine="414"/>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280" w:right="260" w:firstLine="414"/>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0" w:type="dxa"/>
        <w:tblCellMar>
          <w:top w:w="0" w:type="dxa"/>
          <w:left w:w="0" w:type="dxa"/>
          <w:bottom w:w="0" w:type="dxa"/>
          <w:right w:w="0" w:type="dxa"/>
        </w:tblCellMar>
      </w:tblP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3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29" w:lineRule="exact"/>
        <w:rPr>
          <w:sz w:val="24"/>
          <w:szCs w:val="24"/>
          <w:color w:val="auto"/>
        </w:rPr>
      </w:pPr>
    </w:p>
    <w:p>
      <w:pPr>
        <w:ind w:left="280"/>
        <w:spacing w:after="0" w:line="207" w:lineRule="exact"/>
        <w:tabs>
          <w:tab w:leader="none" w:pos="922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8"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October 29, 2021 there were 27,297,647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372745</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8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1"/>
          </w:tcPr>
          <w:p>
            <w:pPr>
              <w:jc w:val="center"/>
              <w:ind w:right="2720"/>
              <w:spacing w:after="0"/>
              <w:rPr>
                <w:sz w:val="20"/>
                <w:szCs w:val="20"/>
                <w:color w:val="auto"/>
              </w:rPr>
            </w:pPr>
            <w:r>
              <w:rPr>
                <w:rFonts w:ascii="Arial" w:cs="Arial" w:eastAsia="Arial" w:hAnsi="Arial"/>
                <w:sz w:val="18"/>
                <w:szCs w:val="18"/>
                <w:b w:val="1"/>
                <w:bCs w:val="1"/>
                <w:color w:val="auto"/>
                <w:w w:val="88"/>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0700" w:type="dxa"/>
            <w:vAlign w:val="bottom"/>
            <w:gridSpan w:val="2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68"/>
        </w:trPr>
        <w:tc>
          <w:tcPr>
            <w:tcW w:w="10700" w:type="dxa"/>
            <w:vAlign w:val="bottom"/>
            <w:gridSpan w:val="2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4240" w:type="dxa"/>
            <w:vAlign w:val="bottom"/>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 (Unaudited)</w:t>
              </w:r>
            </w:hyperlink>
          </w:p>
        </w:tc>
        <w:tc>
          <w:tcPr>
            <w:tcW w:w="550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7460" w:type="dxa"/>
            <w:vAlign w:val="bottom"/>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2021 (Unaudited) and December 31, 2020</w:t>
              </w:r>
            </w:hyperlink>
          </w:p>
        </w:tc>
        <w:tc>
          <w:tcPr>
            <w:tcW w:w="2280" w:type="dxa"/>
            <w:vAlign w:val="bottom"/>
            <w:gridSpan w:val="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9740" w:type="dxa"/>
            <w:vAlign w:val="bottom"/>
            <w:gridSpan w:val="2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and Nine Months ended September 30, 2021 and 2020 (Unaudited)</w:t>
              </w:r>
            </w:hyperlink>
          </w:p>
        </w:tc>
        <w:tc>
          <w:tcPr>
            <w:tcW w:w="5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9600" w:type="dxa"/>
            <w:vAlign w:val="bottom"/>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 September 30, 2021 and</w:t>
              </w:r>
            </w:hyperlink>
          </w:p>
        </w:tc>
        <w:tc>
          <w:tcPr>
            <w:tcW w:w="140" w:type="dxa"/>
            <w:vAlign w:val="bottom"/>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960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2020 (Unaudited)</w:t>
              </w:r>
            </w:hyperlink>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974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Stockholders’ Equity for the Three and Nine Months ended September 30, 2021 and 2020</w:t>
              </w:r>
            </w:hyperlink>
          </w:p>
        </w:tc>
        <w:tc>
          <w:tcPr>
            <w:tcW w:w="5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930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440" w:type="dxa"/>
            <w:vAlign w:val="bottom"/>
            <w:gridSpan w:val="3"/>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2021 and 2020 (Unaudited)</w:t>
              </w:r>
            </w:hyperlink>
          </w:p>
        </w:tc>
        <w:tc>
          <w:tcPr>
            <w:tcW w:w="960" w:type="dxa"/>
            <w:vAlign w:val="bottom"/>
            <w:gridSpan w:val="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494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840" w:type="dxa"/>
            <w:vAlign w:val="bottom"/>
            <w:gridSpan w:val="3"/>
          </w:tcPr>
          <w:p>
            <w:pPr>
              <w:spacing w:after="0"/>
              <w:rPr>
                <w:sz w:val="24"/>
                <w:szCs w:val="24"/>
                <w:color w:val="auto"/>
              </w:rPr>
            </w:pPr>
          </w:p>
        </w:tc>
        <w:tc>
          <w:tcPr>
            <w:tcW w:w="960" w:type="dxa"/>
            <w:vAlign w:val="bottom"/>
            <w:gridSpan w:val="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6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 Other Information</w:t>
              </w:r>
            </w:hyperlink>
          </w:p>
        </w:tc>
        <w:tc>
          <w:tcPr>
            <w:tcW w:w="864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9740" w:type="dxa"/>
            <w:vAlign w:val="bottom"/>
            <w:gridSpan w:val="22"/>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540" w:type="dxa"/>
            <w:vAlign w:val="bottom"/>
            <w:gridSpan w:val="3"/>
          </w:tcPr>
          <w:p>
            <w:pPr>
              <w:jc w:val="right"/>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8420" w:type="dxa"/>
            <w:vAlign w:val="bottom"/>
            <w:gridSpan w:val="13"/>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2.</w:t>
            </w:r>
          </w:p>
        </w:tc>
        <w:tc>
          <w:tcPr>
            <w:tcW w:w="9740" w:type="dxa"/>
            <w:vAlign w:val="bottom"/>
            <w:gridSpan w:val="22"/>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2000" w:type="dxa"/>
            <w:vAlign w:val="bottom"/>
            <w:tcBorders>
              <w:top w:val="single" w:sz="8" w:color="0000EE"/>
            </w:tcBorders>
            <w:gridSpan w:val="2"/>
          </w:tcPr>
          <w:p>
            <w:pPr>
              <w:spacing w:after="0"/>
              <w:rPr>
                <w:sz w:val="16"/>
                <w:szCs w:val="16"/>
                <w:color w:val="auto"/>
              </w:rPr>
            </w:pPr>
          </w:p>
        </w:tc>
        <w:tc>
          <w:tcPr>
            <w:tcW w:w="542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9740" w:type="dxa"/>
            <w:vAlign w:val="bottom"/>
            <w:gridSpan w:val="22"/>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540" w:type="dxa"/>
            <w:vAlign w:val="bottom"/>
            <w:gridSpan w:val="3"/>
          </w:tcPr>
          <w:p>
            <w:pPr>
              <w:jc w:val="right"/>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980" w:type="dxa"/>
            <w:vAlign w:val="bottom"/>
            <w:gridSpan w:val="12"/>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700" w:type="dxa"/>
            <w:vAlign w:val="bottom"/>
            <w:tcBorders>
              <w:top w:val="single" w:sz="8" w:color="0000EE"/>
            </w:tcBorders>
            <w:gridSpan w:val="6"/>
          </w:tcPr>
          <w:p>
            <w:pPr>
              <w:spacing w:after="0"/>
              <w:rPr>
                <w:sz w:val="16"/>
                <w:szCs w:val="16"/>
                <w:color w:val="auto"/>
              </w:rPr>
            </w:pPr>
          </w:p>
        </w:tc>
        <w:tc>
          <w:tcPr>
            <w:tcW w:w="8440" w:type="dxa"/>
            <w:vAlign w:val="bottom"/>
            <w:gridSpan w:val="14"/>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760" w:type="dxa"/>
            <w:vAlign w:val="bottom"/>
            <w:tcBorders>
              <w:bottom w:val="single" w:sz="8" w:color="0000EE"/>
            </w:tcBorders>
            <w:gridSpan w:val="3"/>
          </w:tcPr>
          <w:p>
            <w:pPr>
              <w:spacing w:after="0" w:line="195"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8980" w:type="dxa"/>
            <w:vAlign w:val="bottom"/>
            <w:gridSpan w:val="19"/>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706"/>
        </w:trPr>
        <w:tc>
          <w:tcPr>
            <w:tcW w:w="960" w:type="dxa"/>
            <w:vAlign w:val="bottom"/>
          </w:tcPr>
          <w:p>
            <w:pPr>
              <w:spacing w:after="0"/>
              <w:rPr>
                <w:sz w:val="24"/>
                <w:szCs w:val="24"/>
                <w:color w:val="auto"/>
              </w:rPr>
            </w:pPr>
          </w:p>
        </w:tc>
        <w:tc>
          <w:tcPr>
            <w:tcW w:w="4940" w:type="dxa"/>
            <w:vAlign w:val="bottom"/>
            <w:gridSpan w:val="15"/>
          </w:tcPr>
          <w:p>
            <w:pPr>
              <w:jc w:val="center"/>
              <w:ind w:left="4290"/>
              <w:spacing w:after="0"/>
              <w:rPr>
                <w:sz w:val="20"/>
                <w:szCs w:val="20"/>
                <w:color w:val="auto"/>
              </w:rPr>
            </w:pPr>
            <w:r>
              <w:rPr>
                <w:rFonts w:ascii="Arial" w:cs="Arial" w:eastAsia="Arial" w:hAnsi="Arial"/>
                <w:sz w:val="18"/>
                <w:szCs w:val="18"/>
                <w:color w:val="auto"/>
                <w:w w:val="79"/>
              </w:rPr>
              <w:t>2</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94"/>
              </w:rPr>
              <w:t>Part I. Financial Information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(Unaudited, 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43,534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trade, net of allowance of $62 and $62,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Notes receivable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8,505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Prepaid income tax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200,570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Land use rights,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5,790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right of use asset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Financing right of use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6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Current portion of notes payable and long-term debt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41,254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38,265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Bank acceptance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liability - operating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Current lease liability - financing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93,335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Notes payable and long-term debt, 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78,472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77,854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lease liability - operating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Non-current lease liability - financing</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198,556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Preferred Stock; 5,000 shares authorized at $0.001 par value; no shares issued and outstanding at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September 30, 2021 and December 31, 2020, respectively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5"/>
              </w:rPr>
              <w:t>Common Stock; 45,000 shares authorized at $0.001 par value; 27,175 and 25,110 shares issued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13,865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263,968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(Unaudited, in thousands, except share and per share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8"/>
              </w:rPr>
              <w:t>Three months ended September</w:t>
            </w:r>
          </w:p>
        </w:tc>
        <w:tc>
          <w:tcPr>
            <w:tcW w:w="25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53,267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157,157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127,537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2,783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8,576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72,761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income (expense)</w:t>
            </w:r>
          </w:p>
        </w:tc>
        <w:tc>
          <w:tcPr>
            <w:tcW w:w="3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8"/>
              </w:rPr>
              <w:t>Total other income (expense), net</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(2,249)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Net loss per share</w:t>
            </w:r>
          </w:p>
        </w:tc>
        <w:tc>
          <w:tcPr>
            <w:tcW w:w="3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27,097,372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22,744,361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26,791,415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21,275,778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27,097,372</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22,744,361</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26,791,415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21,275,778</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4"/>
        </w:trPr>
        <w:tc>
          <w:tcPr>
            <w:tcW w:w="1280" w:type="dxa"/>
            <w:vAlign w:val="bottom"/>
            <w:tcBorders>
              <w:top w:val="single" w:sz="8" w:color="0000EE"/>
            </w:tcBorders>
          </w:tcPr>
          <w:p>
            <w:pPr>
              <w:spacing w:after="0"/>
              <w:rPr>
                <w:sz w:val="24"/>
                <w:szCs w:val="24"/>
                <w:color w:val="auto"/>
              </w:rPr>
            </w:pPr>
          </w:p>
        </w:tc>
        <w:tc>
          <w:tcPr>
            <w:tcW w:w="6320" w:type="dxa"/>
            <w:vAlign w:val="bottom"/>
            <w:gridSpan w:val="6"/>
          </w:tcPr>
          <w:p>
            <w:pPr>
              <w:jc w:val="center"/>
              <w:ind w:left="22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874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(Unaudited,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8"/>
              </w:rPr>
              <w:t>Three months ended September</w:t>
            </w:r>
          </w:p>
        </w:tc>
        <w:tc>
          <w:tcPr>
            <w:tcW w:w="25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3"/>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(45,013)</w:t>
            </w:r>
          </w:p>
        </w:tc>
      </w:tr>
      <w:tr>
        <w:trPr>
          <w:trHeight w:val="215"/>
        </w:trPr>
        <w:tc>
          <w:tcPr>
            <w:tcW w:w="4320" w:type="dxa"/>
            <w:vAlign w:val="bottom"/>
            <w:gridSpan w:val="2"/>
          </w:tcPr>
          <w:p>
            <w:pPr>
              <w:spacing w:after="0"/>
              <w:rPr>
                <w:sz w:val="20"/>
                <w:szCs w:val="20"/>
                <w:color w:val="auto"/>
              </w:rPr>
            </w:pPr>
            <w:r>
              <w:rPr>
                <w:rFonts w:ascii="Arial" w:cs="Arial" w:eastAsia="Arial" w:hAnsi="Arial"/>
                <w:sz w:val="18"/>
                <w:szCs w:val="18"/>
                <w:color w:val="auto"/>
                <w:w w:val="98"/>
              </w:rPr>
              <w:t>Gain/ (Loss) on foreign currency translation adjustment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(16,218)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(37,447)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ind w:left="340" w:right="2360"/>
        <w:spacing w:after="0" w:line="262"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Nine Months ended September 30, 2021 and 2020 (Unaudited,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880" w:type="dxa"/>
            <w:vAlign w:val="bottom"/>
            <w:gridSpan w:val="3"/>
          </w:tcPr>
          <w:p>
            <w:pPr>
              <w:jc w:val="center"/>
              <w:ind w:right="100"/>
              <w:spacing w:after="0" w:line="181" w:lineRule="exact"/>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0"/>
              <w:spacing w:after="0" w:line="181" w:lineRule="exact"/>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jc w:val="center"/>
              <w:ind w:right="22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June 30, 2021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26,919</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375,312</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(112,334)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(15,797)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(15,797)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2021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27,175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378,207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(128,131)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880" w:type="dxa"/>
            <w:vAlign w:val="bottom"/>
            <w:gridSpan w:val="3"/>
          </w:tcPr>
          <w:p>
            <w:pPr>
              <w:jc w:val="center"/>
              <w:ind w:right="100"/>
              <w:spacing w:after="0" w:line="181" w:lineRule="exact"/>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0"/>
              <w:spacing w:after="0" w:line="181" w:lineRule="exact"/>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jc w:val="center"/>
              <w:ind w:right="22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June 30, 2020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323,405</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(65,454)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(9,616)</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September 30, 2021</w:t>
            </w:r>
          </w:p>
        </w:tc>
        <w:tc>
          <w:tcPr>
            <w:tcW w:w="12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22,887</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335,035</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5,178</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(75,070)</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265,166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880" w:type="dxa"/>
            <w:vAlign w:val="bottom"/>
            <w:gridSpan w:val="3"/>
          </w:tcPr>
          <w:p>
            <w:pPr>
              <w:jc w:val="center"/>
              <w:ind w:right="120"/>
              <w:spacing w:after="0" w:line="181" w:lineRule="exact"/>
              <w:rPr>
                <w:sz w:val="20"/>
                <w:szCs w:val="20"/>
                <w:color w:val="auto"/>
              </w:rPr>
            </w:pPr>
            <w:r>
              <w:rPr>
                <w:rFonts w:ascii="Arial" w:cs="Arial" w:eastAsia="Arial" w:hAnsi="Arial"/>
                <w:sz w:val="16"/>
                <w:szCs w:val="16"/>
                <w:b w:val="1"/>
                <w:bCs w:val="1"/>
                <w:color w:val="auto"/>
                <w:w w:val="92"/>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40"/>
              <w:spacing w:after="0" w:line="181" w:lineRule="exact"/>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20"/>
              <w:spacing w:after="0" w:line="181"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jc w:val="center"/>
              <w:ind w:right="22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25,110</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354,685</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11,690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(88,509)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15,229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(39,622)</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September 30, 2020</w:t>
            </w:r>
          </w:p>
        </w:tc>
        <w:tc>
          <w:tcPr>
            <w:tcW w:w="120" w:type="dxa"/>
            <w:vAlign w:val="bottom"/>
          </w:tcPr>
          <w:p>
            <w:pPr>
              <w:spacing w:after="0"/>
              <w:rPr>
                <w:sz w:val="16"/>
                <w:szCs w:val="16"/>
                <w:color w:val="auto"/>
              </w:rPr>
            </w:pP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27,175</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378,207</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13,865</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(128,131)</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263,968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w w:val="90"/>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80"/>
              <w:spacing w:after="0" w:line="181"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line="181" w:lineRule="exact"/>
              <w:rPr>
                <w:sz w:val="20"/>
                <w:szCs w:val="20"/>
                <w:color w:val="auto"/>
              </w:rPr>
            </w:pPr>
            <w:r>
              <w:rPr>
                <w:rFonts w:ascii="Arial" w:cs="Arial" w:eastAsia="Arial" w:hAnsi="Arial"/>
                <w:sz w:val="16"/>
                <w:szCs w:val="16"/>
                <w:b w:val="1"/>
                <w:bCs w:val="1"/>
                <w:color w:val="auto"/>
                <w:w w:val="99"/>
              </w:rPr>
              <w:t>paid-in</w:t>
            </w:r>
          </w:p>
        </w:tc>
        <w:tc>
          <w:tcPr>
            <w:tcW w:w="100" w:type="dxa"/>
            <w:vAlign w:val="bottom"/>
          </w:tcPr>
          <w:p>
            <w:pPr>
              <w:spacing w:after="0"/>
              <w:rPr>
                <w:sz w:val="15"/>
                <w:szCs w:val="15"/>
                <w:color w:val="auto"/>
              </w:rPr>
            </w:pPr>
          </w:p>
        </w:tc>
        <w:tc>
          <w:tcPr>
            <w:tcW w:w="1140" w:type="dxa"/>
            <w:vAlign w:val="bottom"/>
            <w:gridSpan w:val="3"/>
          </w:tcPr>
          <w:p>
            <w:pPr>
              <w:jc w:val="center"/>
              <w:ind w:right="8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20"/>
              <w:spacing w:after="0" w:line="181" w:lineRule="exact"/>
              <w:rPr>
                <w:sz w:val="20"/>
                <w:szCs w:val="20"/>
                <w:color w:val="auto"/>
              </w:rPr>
            </w:pPr>
            <w:r>
              <w:rPr>
                <w:rFonts w:ascii="Arial" w:cs="Arial" w:eastAsia="Arial" w:hAnsi="Arial"/>
                <w:sz w:val="16"/>
                <w:szCs w:val="16"/>
                <w:b w:val="1"/>
                <w:bCs w:val="1"/>
                <w:color w:val="auto"/>
                <w:w w:val="88"/>
              </w:rPr>
              <w:t>Retained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2"/>
              </w:rPr>
              <w:t>of shares</w:t>
            </w: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8"/>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gain (loss)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8"/>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20,140</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303,401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(30,057)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2,362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22,629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4,748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(45,013)</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September 30, 2020</w:t>
            </w:r>
          </w:p>
        </w:tc>
        <w:tc>
          <w:tcPr>
            <w:tcW w:w="120" w:type="dxa"/>
            <w:vAlign w:val="bottom"/>
          </w:tcPr>
          <w:p>
            <w:pPr>
              <w:spacing w:after="0"/>
              <w:rPr>
                <w:sz w:val="16"/>
                <w:szCs w:val="16"/>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22,887</w:t>
            </w:r>
          </w:p>
        </w:tc>
        <w:tc>
          <w:tcPr>
            <w:tcW w:w="1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335,035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5,178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(75,070)</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265,166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2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2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thousands)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(39,622)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Lower of cost or market reserve adjustment to inventory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taxes,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Interest for extinguishment of debt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Extinguishment of debt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Unrealized foreign exchange gain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Accounts receivable, trade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(16,799)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Notes receivable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Prepaid income tax</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right of use asset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Lease liability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Proceeds from disposal of equipment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Deposits for equipment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Purchase of intangible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notes payable and long-term debt, net of debt issuance costs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Principal payments of long-term debt and notes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line of credit borrowings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Repayments of line of credit borrowings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(86,922)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(67,430)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bank acceptance payable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Repayments of bank acceptance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convertible senior notes, net of debt issuance costs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Principal payments of financing lease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common stock offering,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18,975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gridSpan w:val="3"/>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48,897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paid (received) for: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Extinguishment of Debt and interest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(6,299)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 with line of credit borrowings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Net change in deposits and prepaid for equipment related to property and equipment additions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7"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left="340" w:right="2680"/>
        <w:spacing w:after="0" w:line="264"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3" w:lineRule="exact"/>
        <w:rPr>
          <w:sz w:val="20"/>
          <w:szCs w:val="20"/>
          <w:color w:val="auto"/>
        </w:rPr>
      </w:pPr>
    </w:p>
    <w:p>
      <w:pPr>
        <w:ind w:right="20" w:firstLine="645"/>
        <w:spacing w:after="0" w:line="258"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5" w:lineRule="exact"/>
        <w:rPr>
          <w:sz w:val="20"/>
          <w:szCs w:val="20"/>
          <w:color w:val="auto"/>
        </w:rPr>
      </w:pPr>
    </w:p>
    <w:p>
      <w:pPr>
        <w:ind w:right="240" w:firstLine="645"/>
        <w:spacing w:after="0" w:line="288"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3"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The unaudited condensed consolidated financial statements of the Company as of September 30, 2021 and December 31, 2020 and for the three and nine months ended September 30, 2021 and September 30, 2020,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2020. The results of operations for the three and nine months ended September 30, 2021 are not necessarily indicative of the results expected for the entire fiscal year. All significant inter-company accounts and transactions have been eliminated.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3" w:lineRule="exact"/>
        <w:rPr>
          <w:sz w:val="20"/>
          <w:szCs w:val="20"/>
          <w:color w:val="auto"/>
        </w:rPr>
      </w:pPr>
    </w:p>
    <w:p>
      <w:pPr>
        <w:ind w:right="40" w:firstLine="645"/>
        <w:spacing w:after="0" w:line="27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7" w:lineRule="exact"/>
        <w:rPr>
          <w:sz w:val="20"/>
          <w:szCs w:val="20"/>
          <w:color w:val="auto"/>
        </w:rPr>
      </w:pPr>
    </w:p>
    <w:p>
      <w:pPr>
        <w:ind w:right="680" w:firstLine="645"/>
        <w:spacing w:after="0" w:line="305" w:lineRule="auto"/>
        <w:rPr>
          <w:sz w:val="20"/>
          <w:szCs w:val="20"/>
          <w:color w:val="auto"/>
        </w:rPr>
      </w:pPr>
      <w:r>
        <w:rPr>
          <w:rFonts w:ascii="Arial" w:cs="Arial" w:eastAsia="Arial" w:hAnsi="Arial"/>
          <w:sz w:val="17"/>
          <w:szCs w:val="17"/>
          <w:color w:val="auto"/>
        </w:rPr>
        <w:t>There have been no changes in the Company’s significant accounting policies for the three and nine months ended September 30, 2021, as compared to the significant accounting policies described in its 2020 Annual Report, except as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3" w:lineRule="exact"/>
        <w:rPr>
          <w:sz w:val="20"/>
          <w:szCs w:val="20"/>
          <w:color w:val="auto"/>
        </w:rPr>
      </w:pPr>
    </w:p>
    <w:p>
      <w:pPr>
        <w:ind w:right="40" w:firstLine="645"/>
        <w:spacing w:after="0" w:line="269"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ASU 2020-04 was further amended in January 2021 by ASU 2021-01, which clarified the applicability of certain provisions. Both ASU 2020-04 and AUC 2021-01 are currently effective prospectively for all entities through December 31, 2022 when the reference rate replacement activity is expected to have completed. The guidance in ASU 2020-04 and AUC 2021-01 is optional and may be elected over time as reference rate reform activities occur. The Company continues to evaluate the impact of the guidance and may apply other selections as applicable as additional changes in the market occur. The Company does not expect the ASU to have a material impact on the consolidated financial statement on a prospective basis.</w:t>
      </w:r>
    </w:p>
    <w:p>
      <w:pPr>
        <w:spacing w:after="0" w:line="178" w:lineRule="exact"/>
        <w:rPr>
          <w:sz w:val="20"/>
          <w:szCs w:val="20"/>
          <w:color w:val="auto"/>
        </w:rPr>
      </w:pPr>
    </w:p>
    <w:p>
      <w:pPr>
        <w:ind w:right="20" w:firstLine="645"/>
        <w:spacing w:after="0" w:line="277"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 - Contracts in Entities Own Equity” (Subtopic 815-40). This ASU simplifies accounting for convertible instruments by eliminating two of the three models in ASC 470-20 that requires separating embedded conversion features from convertible instruments. The guidance is effective for fiscal years beginning after December 15, 2021. The Company does not expect the ASU to have a material impact on the consolidated financial statement.</w:t>
      </w:r>
    </w:p>
    <w:p>
      <w:pPr>
        <w:spacing w:after="0" w:line="172"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In November 2020, the SEC issued a new rule that modernizes and simplifies various aspects and financial disclosure requirements in Regulation S-K, specifically related to Item 301 “Selected Financial Data”, Item 302 “Supplementary Financial Information” and Item 303 “Management’s Discussion and Analysis of Financial Condition and Results of Operations” (“MD&amp;A”). The intent of this new rule is to (i) eliminate duplicative disclosures, (ii) enhance and promote more principles-based MD&amp;A disclosures with the objective of making them more meaningful for investors, all while (iii) simplifying the compliance requirements and efforts for registrants, by providing them with the flexibility to present management’s perspective on the registrant’s financial condition and results of operations. While most of the changes involve reducing or eliminating previously required information and disclosures, the rule does expand the disclosure requirements surrounding certain aspects of the various items in Regulation S-K discussed above. The final rule was published in the Federal Register on January 11, 2021, is effective thirty days after its publication date, or February 10, 2021, and registrants are required to comply with this final rule in the registrant’s first fiscal year ending on or after the date that is 210 days after the publication date. The Company plans to comply with the new disclosure requirements on schedule and currently does not anticipate any material financial impact in complying with these new requirements.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3"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7"/>
              </w:rPr>
              <w:t>Three months ended September 30,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260"/>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1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55,336</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23,101</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11,642</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15.2%</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53,267</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76,608</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Nine months ended September 30,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280"/>
              <w:spacing w:after="0" w:line="190"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72,259</w:t>
            </w:r>
          </w:p>
        </w:tc>
        <w:tc>
          <w:tcPr>
            <w:tcW w:w="1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141,133</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69,339</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22,007</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1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157,157</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182,298</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7" w:lineRule="exact"/>
        <w:rPr>
          <w:sz w:val="20"/>
          <w:szCs w:val="20"/>
          <w:color w:val="auto"/>
        </w:rPr>
      </w:pPr>
    </w:p>
    <w:p>
      <w:pPr>
        <w:ind w:right="60" w:firstLine="645"/>
        <w:spacing w:after="0" w:line="269"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82" w:lineRule="exact"/>
        <w:rPr>
          <w:sz w:val="20"/>
          <w:szCs w:val="20"/>
          <w:color w:val="auto"/>
        </w:rPr>
      </w:pPr>
    </w:p>
    <w:p>
      <w:pPr>
        <w:ind w:firstLine="645"/>
        <w:spacing w:after="0" w:line="284" w:lineRule="auto"/>
        <w:rPr>
          <w:sz w:val="20"/>
          <w:szCs w:val="20"/>
          <w:color w:val="auto"/>
        </w:rPr>
      </w:pPr>
      <w:r>
        <w:rPr>
          <w:rFonts w:ascii="Arial" w:cs="Arial" w:eastAsia="Arial" w:hAnsi="Arial"/>
          <w:sz w:val="17"/>
          <w:szCs w:val="17"/>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3"/>
        </w:trPr>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840" w:type="dxa"/>
            <w:vAlign w:val="bottom"/>
          </w:tcPr>
          <w:p>
            <w:pPr>
              <w:spacing w:after="0"/>
              <w:rPr>
                <w:sz w:val="20"/>
                <w:szCs w:val="20"/>
                <w:color w:val="auto"/>
              </w:rPr>
            </w:pPr>
          </w:p>
        </w:tc>
      </w:tr>
      <w:tr>
        <w:trPr>
          <w:trHeight w:val="208"/>
        </w:trPr>
        <w:tc>
          <w:tcPr>
            <w:tcW w:w="8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20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Financing lease expense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lease expense</w:t>
            </w:r>
          </w:p>
        </w:tc>
        <w:tc>
          <w:tcPr>
            <w:tcW w:w="1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Total lease expense</w:t>
            </w:r>
          </w:p>
        </w:tc>
        <w:tc>
          <w:tcPr>
            <w:tcW w:w="20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1"/>
        </w:trPr>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4"/>
        </w:trPr>
        <w:tc>
          <w:tcPr>
            <w:tcW w:w="8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September 30, 2021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Financing</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2025</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2027 and thereafter</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19"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Nine months ended September 30,</w:t>
      </w:r>
    </w:p>
    <w:p>
      <w:pPr>
        <w:spacing w:after="0" w:line="26" w:lineRule="exact"/>
        <w:rPr>
          <w:sz w:val="20"/>
          <w:szCs w:val="20"/>
          <w:color w:val="auto"/>
        </w:rPr>
      </w:pPr>
    </w:p>
    <w:tbl>
      <w:tblPr>
        <w:tblLayout w:type="fixed"/>
        <w:tblInd w:w="840" w:type="dxa"/>
        <w:tblCellMar>
          <w:top w:w="0" w:type="dxa"/>
          <w:left w:w="0" w:type="dxa"/>
          <w:bottom w:w="0" w:type="dxa"/>
          <w:right w:w="0" w:type="dxa"/>
        </w:tblCellMar>
      </w:tblPr>
      <w:tr>
        <w:trPr>
          <w:trHeight w:val="208"/>
        </w:trPr>
        <w:tc>
          <w:tcPr>
            <w:tcW w:w="6120" w:type="dxa"/>
            <w:vAlign w:val="bottom"/>
            <w:gridSpan w:val="2"/>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7.38</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5"/>
              </w:rPr>
              <w:t>8.41</w:t>
            </w: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(Years) - financing leases</w:t>
            </w:r>
          </w:p>
        </w:tc>
        <w:tc>
          <w:tcPr>
            <w:tcW w:w="460" w:type="dxa"/>
            <w:vAlign w:val="bottom"/>
          </w:tcPr>
          <w:p>
            <w:pPr>
              <w:ind w:left="140"/>
              <w:spacing w:after="0"/>
              <w:rPr>
                <w:sz w:val="20"/>
                <w:szCs w:val="20"/>
                <w:color w:val="auto"/>
              </w:rPr>
            </w:pPr>
            <w:r>
              <w:rPr>
                <w:rFonts w:ascii="Arial" w:cs="Arial" w:eastAsia="Arial" w:hAnsi="Arial"/>
                <w:sz w:val="18"/>
                <w:szCs w:val="18"/>
                <w:color w:val="auto"/>
                <w:w w:val="85"/>
              </w:rPr>
              <w:t>2.33</w:t>
            </w:r>
          </w:p>
        </w:tc>
        <w:tc>
          <w:tcPr>
            <w:tcW w:w="240" w:type="dxa"/>
            <w:vAlign w:val="bottom"/>
          </w:tcPr>
          <w:p>
            <w:pPr>
              <w:spacing w:after="0"/>
              <w:rPr>
                <w:sz w:val="18"/>
                <w:szCs w:val="18"/>
                <w:color w:val="auto"/>
              </w:rPr>
            </w:pPr>
          </w:p>
        </w:tc>
        <w:tc>
          <w:tcPr>
            <w:tcW w:w="1520" w:type="dxa"/>
            <w:vAlign w:val="bottom"/>
          </w:tcPr>
          <w:p>
            <w:pPr>
              <w:ind w:left="1200"/>
              <w:spacing w:after="0"/>
              <w:rPr>
                <w:sz w:val="20"/>
                <w:szCs w:val="20"/>
                <w:color w:val="auto"/>
              </w:rPr>
            </w:pPr>
            <w:r>
              <w:rPr>
                <w:rFonts w:ascii="Arial" w:cs="Arial" w:eastAsia="Arial" w:hAnsi="Arial"/>
                <w:sz w:val="18"/>
                <w:szCs w:val="18"/>
                <w:color w:val="auto"/>
                <w:w w:val="85"/>
              </w:rPr>
              <w:t>3.08</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3.23%</w:t>
            </w:r>
          </w:p>
        </w:tc>
        <w:tc>
          <w:tcPr>
            <w:tcW w:w="16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0"/>
              </w:rPr>
              <w:t>3.23%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Weighted Average Discount Rate - financing leases</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5.00%</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w w:val="90"/>
              </w:rPr>
              <w:t>5.00%</w:t>
            </w: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19"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Nine months ended September 30,</w:t>
      </w:r>
    </w:p>
    <w:p>
      <w:pPr>
        <w:spacing w:after="0" w:line="26" w:lineRule="exact"/>
        <w:rPr>
          <w:sz w:val="20"/>
          <w:szCs w:val="20"/>
          <w:color w:val="auto"/>
        </w:rPr>
      </w:pPr>
    </w:p>
    <w:tbl>
      <w:tblPr>
        <w:tblLayout w:type="fixed"/>
        <w:tblInd w:w="840" w:type="dxa"/>
        <w:tblCellMar>
          <w:top w:w="0" w:type="dxa"/>
          <w:left w:w="0" w:type="dxa"/>
          <w:bottom w:w="0" w:type="dxa"/>
          <w:right w:w="0" w:type="dxa"/>
        </w:tblCellMar>
      </w:tblPr>
      <w:tr>
        <w:trPr>
          <w:trHeight w:val="208"/>
        </w:trPr>
        <w:tc>
          <w:tcPr>
            <w:tcW w:w="624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spacing w:after="0"/>
              <w:rPr>
                <w:sz w:val="20"/>
                <w:szCs w:val="20"/>
                <w:color w:val="auto"/>
              </w:rPr>
            </w:pPr>
            <w:r>
              <w:rPr>
                <w:rFonts w:ascii="Arial" w:cs="Arial" w:eastAsia="Arial" w:hAnsi="Arial"/>
                <w:sz w:val="18"/>
                <w:szCs w:val="18"/>
                <w:color w:val="auto"/>
              </w:rPr>
              <w:t>980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cash flows from financing lease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Financing cash flows from financing lease</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7" w:lineRule="exact"/>
        <w:rPr>
          <w:sz w:val="20"/>
          <w:szCs w:val="20"/>
          <w:color w:val="auto"/>
        </w:rPr>
      </w:pPr>
    </w:p>
    <w:p>
      <w:pPr>
        <w:ind w:right="220" w:firstLine="645"/>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3"/>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cash, cash equivalents and restricted cash shown in the statement of cash flows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Restricted cash includes guarantee deposits for customs duties, China government subsidy fund, and compensating balances required for certain credit facilities. As of September 30, 2021 and December 31, 2020, there was $2.3 million and $4.9 million of restricted cash required for bank acceptance notes issued to vendors, respectively. In addition, there was $2.0 million and $0.5 million certificate of deposit associated with credit facilities with a bank in China as of September 30, 2021 and December 31, 2020, respectively. There was $1.0 million guarantee deposits for customs duties as of September 30, 2021 and December 31,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227" w:lineRule="exact"/>
        <w:rPr>
          <w:sz w:val="20"/>
          <w:szCs w:val="20"/>
          <w:color w:val="auto"/>
        </w:rPr>
      </w:pPr>
    </w:p>
    <w:p>
      <w:pPr>
        <w:ind w:right="120" w:firstLine="645"/>
        <w:spacing w:after="0" w:line="258"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7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8"/>
              </w:rPr>
              <w:t>Three months ended September</w:t>
            </w:r>
          </w:p>
        </w:tc>
        <w:tc>
          <w:tcPr>
            <w:tcW w:w="25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3"/>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(15,797)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(39,622)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(45,013)</w:t>
            </w: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21,276</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27,097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22,744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26,791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21,276</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bl>
    <w:p>
      <w:pPr>
        <w:spacing w:after="0" w:line="201" w:lineRule="exact"/>
        <w:rPr>
          <w:sz w:val="20"/>
          <w:szCs w:val="20"/>
          <w:color w:val="auto"/>
        </w:rPr>
      </w:pPr>
    </w:p>
    <w:p>
      <w:pPr>
        <w:ind w:right="500" w:firstLine="645"/>
        <w:spacing w:after="0" w:line="275"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7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Three months ended September</w:t>
            </w: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Nine months ended September</w:t>
            </w:r>
          </w:p>
        </w:tc>
      </w:tr>
      <w:tr>
        <w:trPr>
          <w:trHeight w:val="233"/>
        </w:trPr>
        <w:tc>
          <w:tcPr>
            <w:tcW w:w="598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59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4,590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4,751</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4,596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31,157</w:t>
            </w:r>
          </w:p>
        </w:tc>
        <w:tc>
          <w:tcPr>
            <w:tcW w:w="7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42,242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52,544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21,108</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24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94,507</w:t>
            </w:r>
          </w:p>
        </w:tc>
        <w:tc>
          <w:tcPr>
            <w:tcW w:w="7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110,397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lower of cost or market adjustment expensed for inventory for the three months ended September 30, 2021 and 2020 was $1.1 million and $0.4 million, respectively. The lower of cost or market adjustment expensed for inventory for the nine months ended September 30, 2021 and 2020 was each $3.3 million.</w:t>
      </w:r>
    </w:p>
    <w:p>
      <w:pPr>
        <w:spacing w:after="0" w:line="182" w:lineRule="exact"/>
        <w:rPr>
          <w:sz w:val="20"/>
          <w:szCs w:val="20"/>
          <w:color w:val="auto"/>
        </w:rPr>
      </w:pPr>
    </w:p>
    <w:p>
      <w:pPr>
        <w:ind w:right="360" w:firstLine="645"/>
        <w:spacing w:after="0" w:line="284" w:lineRule="auto"/>
        <w:rPr>
          <w:sz w:val="20"/>
          <w:szCs w:val="20"/>
          <w:color w:val="auto"/>
        </w:rPr>
      </w:pPr>
      <w:r>
        <w:rPr>
          <w:rFonts w:ascii="Arial" w:cs="Arial" w:eastAsia="Arial" w:hAnsi="Arial"/>
          <w:sz w:val="17"/>
          <w:szCs w:val="17"/>
          <w:color w:val="auto"/>
        </w:rPr>
        <w:t>For the three months ended September 30, 2021 and 2020, the direct inventory write-offs related to scrap, discontinued products, and damaged inventories were $4.2 million and $8.4 million, respectively. For the nine months ended September 30, 2021 and 2020, the direct inventory write-offs related to scrap, discontinued products, and damaged inventories were $15.0 million and $14.7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88,280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253,738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(161,307)</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(142,434)</w:t>
            </w: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240" w:type="dxa"/>
            <w:vAlign w:val="bottom"/>
            <w:gridSpan w:val="2"/>
          </w:tcPr>
          <w:p>
            <w:pPr>
              <w:spacing w:after="0"/>
              <w:rPr>
                <w:sz w:val="20"/>
                <w:szCs w:val="20"/>
                <w:color w:val="auto"/>
              </w:rPr>
            </w:pPr>
            <w:r>
              <w:rPr>
                <w:rFonts w:ascii="Arial" w:cs="Arial" w:eastAsia="Arial" w:hAnsi="Arial"/>
                <w:sz w:val="18"/>
                <w:szCs w:val="18"/>
                <w:color w:val="auto"/>
              </w:rPr>
              <w:t>Total property, plant and equipment, net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242,452</w:t>
            </w:r>
          </w:p>
        </w:tc>
        <w:tc>
          <w:tcPr>
            <w:tcW w:w="120" w:type="dxa"/>
            <w:vAlign w:val="bottom"/>
          </w:tcPr>
          <w:p>
            <w:pPr>
              <w:spacing w:after="0"/>
              <w:rPr>
                <w:sz w:val="18"/>
                <w:szCs w:val="18"/>
                <w:color w:val="auto"/>
              </w:rPr>
            </w:pPr>
          </w:p>
        </w:tc>
        <w:tc>
          <w:tcPr>
            <w:tcW w:w="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252,984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645"/>
        <w:spacing w:after="0" w:line="300" w:lineRule="auto"/>
        <w:rPr>
          <w:sz w:val="20"/>
          <w:szCs w:val="20"/>
          <w:color w:val="auto"/>
        </w:rPr>
      </w:pPr>
      <w:r>
        <w:rPr>
          <w:rFonts w:ascii="Arial" w:cs="Arial" w:eastAsia="Arial" w:hAnsi="Arial"/>
          <w:sz w:val="16"/>
          <w:szCs w:val="16"/>
          <w:color w:val="auto"/>
        </w:rPr>
        <w:t>For the three months ended September 30, 2021 and 2020, the depreciation expense of property, plant and equipment was $6.2 million and $6.1 million, respectively. For the nine months ended September 30, 2021 and 2020, the depreciation expense of property, plant and equipment was $18.7 million and $17.9 million, respectively. For the three months ended September 30, 2021 and 2020, the capitalized interest was $0.3 million and 0.1 million, respectively. For the nine months ended September 30, 2021 and 2020, the capitalized interest was $0.6 million and $0.3 million, respectively.</w:t>
      </w:r>
    </w:p>
    <w:p>
      <w:pPr>
        <w:spacing w:after="0" w:line="155" w:lineRule="exact"/>
        <w:rPr>
          <w:sz w:val="20"/>
          <w:szCs w:val="20"/>
          <w:color w:val="auto"/>
        </w:rPr>
      </w:pPr>
    </w:p>
    <w:p>
      <w:pPr>
        <w:jc w:val="both"/>
        <w:ind w:right="200" w:firstLine="645"/>
        <w:spacing w:after="0" w:line="262" w:lineRule="auto"/>
        <w:rPr>
          <w:sz w:val="20"/>
          <w:szCs w:val="20"/>
          <w:color w:val="auto"/>
        </w:rPr>
      </w:pPr>
      <w:r>
        <w:rPr>
          <w:rFonts w:ascii="Arial" w:cs="Arial" w:eastAsia="Arial" w:hAnsi="Arial"/>
          <w:sz w:val="18"/>
          <w:szCs w:val="18"/>
          <w:color w:val="auto"/>
        </w:rPr>
        <w:t>As of September 30,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8"/>
              </w:rPr>
              <w:t>September 30, 2021</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jc w:val="right"/>
              <w:ind w:right="30"/>
              <w:spacing w:after="0" w:line="190"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80"/>
              <w:spacing w:after="0" w:line="190" w:lineRule="exact"/>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6"/>
                <w:szCs w:val="16"/>
                <w:color w:val="auto"/>
              </w:rPr>
            </w:pPr>
          </w:p>
        </w:tc>
        <w:tc>
          <w:tcPr>
            <w:tcW w:w="1300" w:type="dxa"/>
            <w:vAlign w:val="bottom"/>
          </w:tcPr>
          <w:p>
            <w:pPr>
              <w:jc w:val="right"/>
              <w:ind w:right="290"/>
              <w:spacing w:after="0" w:line="190"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assets, net</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8,494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Trademarks</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8,519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2020</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jc w:val="right"/>
              <w:ind w:right="30"/>
              <w:spacing w:after="0" w:line="190"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6"/>
                <w:szCs w:val="16"/>
                <w:color w:val="auto"/>
              </w:rPr>
            </w:pPr>
          </w:p>
        </w:tc>
        <w:tc>
          <w:tcPr>
            <w:tcW w:w="1300" w:type="dxa"/>
            <w:vAlign w:val="bottom"/>
          </w:tcPr>
          <w:p>
            <w:pPr>
              <w:jc w:val="right"/>
              <w:ind w:right="290"/>
              <w:spacing w:after="0" w:line="190"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amortization</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assets, net</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Trademarks</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200" w:firstLine="645"/>
        <w:spacing w:after="0" w:line="258" w:lineRule="auto"/>
        <w:rPr>
          <w:sz w:val="20"/>
          <w:szCs w:val="20"/>
          <w:color w:val="auto"/>
        </w:rPr>
      </w:pPr>
      <w:r>
        <w:rPr>
          <w:rFonts w:ascii="Arial" w:cs="Arial" w:eastAsia="Arial" w:hAnsi="Arial"/>
          <w:sz w:val="18"/>
          <w:szCs w:val="18"/>
          <w:color w:val="auto"/>
        </w:rPr>
        <w:t>For the three months ended September 30, 2021 and 2020, amortization expense for intangible assets, included in general and administrative expenses on the income statement, was each $0.1 million. For the nine months ended September 30, 2021 and 2020, amortization expense for intangible assets, included in general and administrative expenses on the income statement, was $0.5 million and $0.4 million, respectively. The remaining weighted average amortization period for intangible assets is approximately 7 years.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w w:val="92"/>
              </w:rPr>
              <w:t>At September 30, 2021, future amortization expense for intangible assets is estimated to be (in thousands):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76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7" w:lineRule="exact"/>
        <w:rPr>
          <w:sz w:val="20"/>
          <w:szCs w:val="20"/>
          <w:color w:val="auto"/>
        </w:rPr>
      </w:pPr>
    </w:p>
    <w:p>
      <w:pPr>
        <w:ind w:right="520" w:firstLine="645"/>
        <w:spacing w:after="0" w:line="275"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As of September 30, 2021</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0"/>
              </w:rPr>
              <w:t>As of December 31, 2020</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43,534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Note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50,515</w:t>
            </w:r>
          </w:p>
        </w:tc>
      </w:tr>
      <w:tr>
        <w:trPr>
          <w:trHeight w:val="195"/>
        </w:trPr>
        <w:tc>
          <w:tcPr>
            <w:tcW w:w="20" w:type="dxa"/>
            <w:vAlign w:val="bottom"/>
          </w:tcPr>
          <w:p>
            <w:pPr>
              <w:spacing w:after="0"/>
              <w:rPr>
                <w:sz w:val="16"/>
                <w:szCs w:val="16"/>
                <w:color w:val="auto"/>
              </w:rPr>
            </w:pPr>
          </w:p>
        </w:tc>
        <w:tc>
          <w:tcPr>
            <w:tcW w:w="23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acceptance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67,701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70,225</w:t>
            </w:r>
          </w:p>
        </w:tc>
        <w:tc>
          <w:tcPr>
            <w:tcW w:w="10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70,225</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74,182</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86,085</w:t>
            </w: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240" w:firstLine="645"/>
        <w:spacing w:after="0" w:line="277" w:lineRule="auto"/>
        <w:rPr>
          <w:sz w:val="20"/>
          <w:szCs w:val="20"/>
          <w:color w:val="auto"/>
        </w:rPr>
      </w:pPr>
      <w:r>
        <w:rPr>
          <w:rFonts w:ascii="Arial" w:cs="Arial" w:eastAsia="Arial" w:hAnsi="Arial"/>
          <w:sz w:val="17"/>
          <w:szCs w:val="17"/>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note receivable and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72" w:lineRule="exact"/>
        <w:rPr>
          <w:sz w:val="20"/>
          <w:szCs w:val="20"/>
          <w:color w:val="auto"/>
        </w:rPr>
      </w:pPr>
    </w:p>
    <w:p>
      <w:pPr>
        <w:ind w:left="140" w:right="420" w:firstLine="322"/>
        <w:spacing w:after="0" w:line="275" w:lineRule="auto"/>
        <w:rPr>
          <w:sz w:val="20"/>
          <w:szCs w:val="20"/>
          <w:color w:val="auto"/>
        </w:rPr>
      </w:pPr>
      <w:r>
        <w:rPr>
          <w:rFonts w:ascii="Arial" w:cs="Arial" w:eastAsia="Arial" w:hAnsi="Arial"/>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3"/>
              </w:rPr>
              <w:t>Revolving line of credit with a U.S. bank up to $20,000 with interest at 2.25% , maturing October 15, 2022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19,300</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9"/>
              </w:rPr>
              <w:t>Revolving line of credit with a Taiwan bank up to $3,436 with 2.2% interest, maturing April 14, 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3.5% interest, maturing January 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3.1% interest, maturing January 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3"/>
              </w:rPr>
              <w:t>Revolving line of credit with a China bank up to $8,917 with interest ranging from 4.5%, maturing October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spacing w:after="0"/>
              <w:rPr>
                <w:sz w:val="20"/>
                <w:szCs w:val="20"/>
                <w:color w:val="auto"/>
              </w:rPr>
            </w:pPr>
            <w:r>
              <w:rPr>
                <w:rFonts w:ascii="Arial" w:cs="Arial" w:eastAsia="Arial" w:hAnsi="Arial"/>
                <w:sz w:val="18"/>
                <w:szCs w:val="18"/>
                <w:color w:val="auto"/>
              </w:rPr>
              <w:t>14, 2020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Revolving line of credit with a China bank up to $25,449 with interest from 3.01% to 4.57%, maturing May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24, 2024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Credit facility with a China bank up to $14,125 with interest of 3.5%, maturing January 5, 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14,892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60,554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Grand 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60,525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8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19,271</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6,481</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430"/>
        </w:trPr>
        <w:tc>
          <w:tcPr>
            <w:tcW w:w="7880" w:type="dxa"/>
            <w:vAlign w:val="bottom"/>
            <w:gridSpan w:val="2"/>
          </w:tcPr>
          <w:p>
            <w:pPr>
              <w:jc w:val="right"/>
              <w:ind w:right="20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September 30, 2021.</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 for the future one-year periods ending September 30, (in thousands):</w:t>
      </w:r>
    </w:p>
    <w:p>
      <w:pPr>
        <w:spacing w:after="0" w:line="23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41,254</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2023</w:t>
            </w:r>
          </w:p>
        </w:tc>
        <w:tc>
          <w:tcPr>
            <w:tcW w:w="3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3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60,525</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180" w:firstLine="645"/>
        <w:spacing w:after="0" w:line="255" w:lineRule="auto"/>
        <w:rPr>
          <w:sz w:val="20"/>
          <w:szCs w:val="20"/>
          <w:color w:val="auto"/>
        </w:rPr>
      </w:pPr>
      <w:r>
        <w:rPr>
          <w:rFonts w:ascii="Arial" w:cs="Arial" w:eastAsia="Arial" w:hAnsi="Arial"/>
          <w:sz w:val="18"/>
          <w:szCs w:val="18"/>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(which acquired Branch Banking and Trust Company or BB&amp;T in connection with a merger in December 2019). The Company’s obligations under the Credit Facility are secured by the Company’s accounts receivable, inventory, intellectual property, and all business assets with the exception of real estate and equipment.</w:t>
      </w:r>
    </w:p>
    <w:p>
      <w:pPr>
        <w:spacing w:after="0" w:line="190"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to April 2, 2021; (iii) pricing of the unused line fee was adjusted to 0.30% per annum; and (iv) the Fourth Amendment established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79" w:lineRule="exact"/>
        <w:rPr>
          <w:sz w:val="20"/>
          <w:szCs w:val="20"/>
          <w:color w:val="auto"/>
        </w:rPr>
      </w:pPr>
    </w:p>
    <w:p>
      <w:pPr>
        <w:ind w:right="20" w:firstLine="645"/>
        <w:spacing w:after="0" w:line="272" w:lineRule="auto"/>
        <w:rPr>
          <w:sz w:val="20"/>
          <w:szCs w:val="20"/>
          <w:color w:val="auto"/>
        </w:rPr>
      </w:pPr>
      <w:r>
        <w:rPr>
          <w:rFonts w:ascii="Arial" w:cs="Arial" w:eastAsia="Arial" w:hAnsi="Arial"/>
          <w:sz w:val="17"/>
          <w:szCs w:val="17"/>
          <w:color w:val="auto"/>
        </w:rPr>
        <w:t>On April 5, 2021, the Company executed a Fifth Amendment to the Loan Agreement (the "Fifth Amendment") and a Fourth Amendment to a Security Agreement, a Note Modification Agreement, and an Addendum to a Promissory Note (together with the Fifth Amendment the “Amended Credit Facility”) with Truist Bank. The Amended Credit Facility renews the $20 million line of credit with Truist Bank originally entered into on September 28, 2017. Under the terms of the Amended Credit Facility, the maturity date of the line of credit is extended from April 2, 2021 to October 15, 2022. Borrowings will bear interest at a rate equal to LIBOR plus 1.5%, with a LIBOR floor of 0.75%. As of September 30, 2021, the Company had $19.3 million outstanding and was in compliance with all covenants under the Amended Credit Facility.</w:t>
      </w:r>
    </w:p>
    <w:p>
      <w:pPr>
        <w:spacing w:after="0" w:line="176"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is required to make 18 equal monthly payments of principal and interest with the final payment due in April 2022. The PPP Term Note may be accelerated upon the occurrence of an event of default. The PPP Term Note is unsecured and guaranteed by the United States Small Business Administration ("SBA"). On June 14, 2021, the Company received notification from Truist Bank that the SBA approved the Company's application for forgiveness of the entire principalamount of the PPP Term Note, plus all accrued interest. The forgiveness of the PPP Term Note has been recognized as other income during the second quarter ended June 30, 2021.</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15, 2020, Prime World entered into an Amendment to the Finance Lease Agreements dated November 29, 2018 and January 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(the “Amendment”) with Chailease Finance Co., Ltd. (“Chailease”). The Amendment amends the Finance Lease Agreements, dated November 29,</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2018 and January 21, 2019 (hereafter collectively referred to as the “Original Finance Agreements”). Pursuant to the Amendment, Prime World agrees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pay Chailease NT$22,311,381, or approximately $0.8 million for certain leased equipment listed in the Amendment (the “Leased Equipment”). This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payment will include all outstanding lease payments, costs and expenses; simultaneously, Chailease agrees to transfer title of such Leased Equipment back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to Prime World. Regarding all other equipment contemplated in the Original Finance Agreements but not listed in the Amendment, pursuant to the terms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 conditions made under the Original Finance Agreements, Prime World is obligated to pay Chailease monthly lease payments which total</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NT$159,027,448, or approximately $5.5 million (the “Lease Payments”). The Lease Payments will begin on September 21, 2020 with the last Lease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Payment due on January 21, 2022, title of all other equipment contemplated under the Original Finance Agreements but not listed in the Amendment will</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transfer to Prime World upon completion of the Lease Payments and expiration of the Original Finance Agreements. As of September 30, 2021,</w:t>
      </w:r>
    </w:p>
    <w:p>
      <w:pPr>
        <w:spacing w:after="0" w:line="20" w:lineRule="exact"/>
        <w:rPr>
          <w:sz w:val="20"/>
          <w:szCs w:val="20"/>
          <w:color w:val="auto"/>
        </w:rPr>
      </w:pPr>
    </w:p>
    <w:p>
      <w:pPr>
        <w:ind w:right="380" w:firstLine="645"/>
        <w:spacing w:after="0" w:line="258" w:lineRule="auto"/>
        <w:rPr>
          <w:sz w:val="20"/>
          <w:szCs w:val="20"/>
          <w:color w:val="auto"/>
        </w:rPr>
      </w:pPr>
      <w:r>
        <w:rPr>
          <w:rFonts w:ascii="Arial" w:cs="Arial" w:eastAsia="Arial" w:hAnsi="Arial"/>
          <w:sz w:val="18"/>
          <w:szCs w:val="18"/>
          <w:color w:val="auto"/>
        </w:rPr>
        <w:t>$0.4 million was outstanding under the November 29, 2018 Finance Lease Agreement and $0.7 million was outstanding under the January 21, 2019 Finance Lease Agreement.</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On October 7, 2020, Prime World entered into a revolving credit facility totaling NT$100 million, or approximately $3.44 million (the</w:t>
      </w:r>
    </w:p>
    <w:p>
      <w:pPr>
        <w:spacing w:after="0" w:line="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“NT$100M Credit Line”) and a $1 million USD credit line (the “ US$1M Credit Line”) with Taishin International Bank in Taiwan ("Taishin"). Borrowing under the NT$100M Credit Line will be used for short-term working capital; borrowing under the US$1M Credit Line will be strictly used for spot transactions in the foreign exchange market. The NT$100M Credit Line and the US$1M Credit Line are collectively referred to as the “Taishin Credit Facility”. On January 14, 2021, the NT$100M Credit Line with Taishin was extended for three ( 3) months until April 14, 2021. Prime World may draw upon the Taishin Credit Facility from October 7, 2020 through April 14, 2021. The term of each draw under the NT$100M Credit Line shall be either 90 or 120 days and will bear interest at a rate of 2.15% for each draw; borrowings under the US$1M Credit Line will bear interest equal to Taishin’s foreign exchange rate effective on the day of the applicable draw. At the end of the draw term Prime World will make payment for all principal and accrued interest. Prime World’s obligations under the Taishin Credit Facility will be secured by a promissory note between Prime World and Taishin. As of September 30, 2021 , the Company has fully repaid the Taishin Credit Facility.</w:t>
      </w:r>
    </w:p>
    <w:p>
      <w:pPr>
        <w:sectPr>
          <w:pgSz w:w="11900" w:h="16838" w:orient="portrait"/>
          <w:cols w:equalWidth="0" w:num="1">
            <w:col w:w="11220"/>
          </w:cols>
          <w:pgMar w:left="320" w:top="125" w:right="359" w:bottom="6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687"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right="100" w:firstLine="645"/>
        <w:spacing w:after="0" w:line="287" w:lineRule="auto"/>
        <w:rPr>
          <w:sz w:val="20"/>
          <w:szCs w:val="20"/>
          <w:color w:val="auto"/>
        </w:rPr>
      </w:pPr>
      <w:r>
        <w:rPr>
          <w:rFonts w:ascii="Arial" w:cs="Arial" w:eastAsia="Arial" w:hAnsi="Arial"/>
          <w:sz w:val="16"/>
          <w:szCs w:val="16"/>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Global extended the revolving line of credit agreement with China Merchants by six (6)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The China Merchants Credit Line has been replaced by the Replacement China Merchants Credit Line on October 19, 2020</w:t>
      </w:r>
      <w:r>
        <w:rPr>
          <w:rFonts w:ascii="Arial" w:cs="Arial" w:eastAsia="Arial" w:hAnsi="Arial"/>
          <w:sz w:val="16"/>
          <w:szCs w:val="16"/>
          <w:i w:val="1"/>
          <w:iCs w:val="1"/>
          <w:color w:val="auto"/>
        </w:rPr>
        <w:t>.</w:t>
      </w:r>
    </w:p>
    <w:p>
      <w:pPr>
        <w:spacing w:after="0" w:line="165"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September 30, 2021, $17.9 million was outstanding under the SPD Credit Line and the outstanding balance of bank acceptance notes issued to vendors was $3.9 million.</w:t>
      </w:r>
    </w:p>
    <w:p>
      <w:pPr>
        <w:spacing w:after="0" w:line="179"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On January 6, 2021, the ¥100M Credit Facility with CZB was extended for three (3) years until January 5, 2024. Global may draw upon the ¥100M Credit Facility from June 21, 2019 until January 5, 2024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September 30, 2021, $14.9 million was outstanding under the ¥100M Credit Facility and there was no outstanding balance of bank acceptance notes issued to vendors under this facility.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¥50M Credit Facility on an as-needed basis; however, draws under the ¥50M Credit Facility may become due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repayable to CZB at CZB’s discretion due to changes in Chinese government regulations and/or changes in Global’s financial and operational condition.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Each draw will bear interest equal to CZB’s commercial banking interest rate effective on the day of the applicable draw. Global’s obligations under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¥50M Credit Facility will be secured by machinery and equipment owned by Global and mortgaged to CZB under the terms of the Machinery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Equipment Security Agreement. As of September 30, 2021, $7.4 million was outstanding under the ¥50M Credit Facility.</w:t>
      </w:r>
    </w:p>
    <w:p>
      <w:pPr>
        <w:spacing w:after="0" w:line="208" w:lineRule="exact"/>
        <w:rPr>
          <w:sz w:val="20"/>
          <w:szCs w:val="20"/>
          <w:color w:val="auto"/>
        </w:rPr>
      </w:pPr>
    </w:p>
    <w:p>
      <w:pPr>
        <w:ind w:right="140" w:firstLine="645"/>
        <w:spacing w:after="0" w:line="285" w:lineRule="auto"/>
        <w:rPr>
          <w:sz w:val="20"/>
          <w:szCs w:val="20"/>
          <w:color w:val="auto"/>
        </w:rPr>
      </w:pPr>
      <w:r>
        <w:rPr>
          <w:rFonts w:ascii="Arial" w:cs="Arial" w:eastAsia="Arial" w:hAnsi="Arial"/>
          <w:sz w:val="16"/>
          <w:szCs w:val="16"/>
          <w:color w:val="auto"/>
        </w:rPr>
        <w:t>On October 19, 2020</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Company’s China subsidiary, Global entered into a new twelve (12) month revolving line of credit agreement, totaling 60,000,000 RMB, or approximately $8.9 million (the “Replacement China Merchants Credit Line”), with China Merchants, to replace the original China Merchants Credit Line. The Replacement China Merchants Credit Line will be used by Global for general corporate purposes. Global may draw upon the Replacement China Merchants Credit Line during the period from October 16, 2020 until October 15, 2021. During such period, Global</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may request to draw upon the Replacement China Merchants Credit Line on an as-needed basis; however, the amount of available credit under the Replacement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the China Merchants’ commercial banking interest rate effective on the day of the applicable draw. Global’s obligations under the Replacement China Merchants Credit Line is unsecured. As of September 30, 2021, there was no outstanding amount under the Replacement China Merchants Credit Line and the outstanding balance of bank acceptance notes issued to vendors was $2.6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2021 and December 31, 2020, the Company had $4.9 million and $28.7 million of unused borrowing capacity, respectively.</w:t>
      </w:r>
    </w:p>
    <w:p>
      <w:pPr>
        <w:spacing w:after="0" w:line="246" w:lineRule="exact"/>
        <w:rPr>
          <w:sz w:val="20"/>
          <w:szCs w:val="20"/>
          <w:color w:val="auto"/>
        </w:rPr>
      </w:pPr>
    </w:p>
    <w:p>
      <w:pPr>
        <w:ind w:right="380" w:firstLine="645"/>
        <w:spacing w:after="0" w:line="275" w:lineRule="auto"/>
        <w:rPr>
          <w:sz w:val="20"/>
          <w:szCs w:val="20"/>
          <w:color w:val="auto"/>
        </w:rPr>
      </w:pPr>
      <w:r>
        <w:rPr>
          <w:rFonts w:ascii="Arial" w:cs="Arial" w:eastAsia="Arial" w:hAnsi="Arial"/>
          <w:sz w:val="18"/>
          <w:szCs w:val="18"/>
          <w:color w:val="auto"/>
        </w:rPr>
        <w:t>As of September 30, 2021 and December 31, 2020, there was $4.3 million and $5.4 million of restricted cash, investments or security deposits associated with the loan facilities, respectively.</w:t>
      </w:r>
    </w:p>
    <w:p>
      <w:pPr>
        <w:sectPr>
          <w:pgSz w:w="11900" w:h="16838" w:orient="portrait"/>
          <w:cols w:equalWidth="0" w:num="1">
            <w:col w:w="11220"/>
          </w:cols>
          <w:pgMar w:left="320" w:top="125" w:right="359" w:bottom="1440" w:gutter="0" w:footer="0" w:header="0"/>
        </w:sectPr>
      </w:pP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5, 2019, the Company issued $80.5 million of 5% convertible senior notes due 2024 (the “Notes”). The Notes were issued pursuant to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March 5, 2019 (the “Indenture”), between the Company and Wells Fargo Bank, National Association, as trustee, paying agent, and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conversion agent (the “Trustee”). The Notes bear interest at a rate of 5.00% per year, payable in cash semi-annually in arrears on March 15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September 15 of each year, beginning on September 15, 2019. The Notes will mature on March 15, 2024, unless earlier repurchased, redeemed or converted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their terms.</w:t>
      </w:r>
    </w:p>
    <w:p>
      <w:pPr>
        <w:spacing w:after="0" w:line="208" w:lineRule="exact"/>
        <w:rPr>
          <w:sz w:val="20"/>
          <w:szCs w:val="20"/>
          <w:color w:val="auto"/>
        </w:rPr>
      </w:pPr>
    </w:p>
    <w:p>
      <w:pPr>
        <w:jc w:val="both"/>
        <w:ind w:right="240" w:firstLine="645"/>
        <w:spacing w:after="0" w:line="262"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3"/>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(2,646)</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78,472</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4"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82" w:lineRule="exact"/>
        <w:rPr>
          <w:sz w:val="20"/>
          <w:szCs w:val="20"/>
          <w:color w:val="auto"/>
        </w:rPr>
      </w:pPr>
    </w:p>
    <w:p>
      <w:pPr>
        <w:ind w:right="220" w:firstLine="645"/>
        <w:spacing w:after="0" w:line="275"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1" w:lineRule="exact"/>
        <w:rPr>
          <w:sz w:val="20"/>
          <w:szCs w:val="20"/>
          <w:color w:val="auto"/>
        </w:rPr>
      </w:pPr>
    </w:p>
    <w:p>
      <w:pPr>
        <w:ind w:right="220" w:firstLine="645"/>
        <w:spacing w:after="0" w:line="290"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1" w:lineRule="exact"/>
        <w:rPr>
          <w:sz w:val="20"/>
          <w:szCs w:val="20"/>
          <w:color w:val="auto"/>
        </w:rPr>
      </w:pPr>
    </w:p>
    <w:p>
      <w:pPr>
        <w:ind w:firstLine="645"/>
        <w:spacing w:after="0" w:line="288" w:lineRule="auto"/>
        <w:rPr>
          <w:sz w:val="20"/>
          <w:szCs w:val="20"/>
          <w:color w:val="auto"/>
        </w:rPr>
      </w:pPr>
      <w:r>
        <w:rPr>
          <w:rFonts w:ascii="Arial" w:cs="Arial" w:eastAsia="Arial" w:hAnsi="Arial"/>
          <w:sz w:val="16"/>
          <w:szCs w:val="16"/>
          <w:color w:val="auto"/>
        </w:rPr>
        <w:t xml:space="preserve">Pursuant to the guidance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 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 xml:space="preserve">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7</w:t>
      </w:r>
      <w:r>
        <w:rPr>
          <w:rFonts w:ascii="Arial" w:cs="Arial" w:eastAsia="Arial" w:hAnsi="Arial"/>
          <w:sz w:val="16"/>
          <w:szCs w:val="16"/>
          <w:color w:val="auto"/>
        </w:rPr>
        <w:t xml:space="preserve"> and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10.</w:t>
      </w:r>
      <w:r>
        <w:rPr>
          <w:rFonts w:ascii="Arial" w:cs="Arial" w:eastAsia="Arial" w:hAnsi="Arial"/>
          <w:sz w:val="16"/>
          <w:szCs w:val="16"/>
          <w:color w:val="auto"/>
        </w:rPr>
        <w:t xml:space="preserve">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Fonts w:ascii="Arial" w:cs="Arial" w:eastAsia="Arial" w:hAnsi="Arial"/>
          <w:sz w:val="16"/>
          <w:szCs w:val="16"/>
          <w:i w:val="1"/>
          <w:iCs w:val="1"/>
          <w:color w:val="auto"/>
        </w:rPr>
        <w:t>470</w:t>
      </w:r>
      <w:r>
        <w:rPr>
          <w:rFonts w:ascii="Arial" w:cs="Arial" w:eastAsia="Arial" w:hAnsi="Arial"/>
          <w:sz w:val="16"/>
          <w:szCs w:val="16"/>
          <w:color w:val="auto"/>
        </w:rPr>
        <w:t>-</w:t>
      </w:r>
      <w:r>
        <w:rPr>
          <w:rFonts w:ascii="Arial" w:cs="Arial" w:eastAsia="Arial" w:hAnsi="Arial"/>
          <w:sz w:val="16"/>
          <w:szCs w:val="16"/>
          <w:i w:val="1"/>
          <w:iCs w:val="1"/>
          <w:color w:val="auto"/>
        </w:rPr>
        <w:t>20,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9" w:lineRule="exact"/>
        <w:rPr>
          <w:sz w:val="20"/>
          <w:szCs w:val="20"/>
          <w:color w:val="auto"/>
        </w:rPr>
      </w:pPr>
    </w:p>
    <w:p>
      <w:pPr>
        <w:ind w:right="80" w:firstLine="645"/>
        <w:spacing w:after="0" w:line="339"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10"/>
          </w:tcPr>
          <w:p>
            <w:pPr>
              <w:ind w:left="660"/>
              <w:spacing w:after="0"/>
              <w:rPr>
                <w:sz w:val="20"/>
                <w:szCs w:val="20"/>
                <w:color w:val="auto"/>
              </w:rPr>
            </w:pPr>
            <w:r>
              <w:rPr>
                <w:rFonts w:ascii="Arial" w:cs="Arial" w:eastAsia="Arial" w:hAnsi="Arial"/>
                <w:sz w:val="18"/>
                <w:szCs w:val="18"/>
                <w:color w:val="auto"/>
                <w:w w:val="91"/>
              </w:rPr>
              <w:t>The following table sets forth interest expense information related to the Notes (in thousands):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88"/>
              </w:rPr>
              <w:t>Three months ended September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3,018</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cost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Effective interest rate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00" w:type="dxa"/>
            <w:vAlign w:val="bottom"/>
            <w:gridSpan w:val="3"/>
          </w:tcPr>
          <w:p>
            <w:pPr>
              <w:jc w:val="right"/>
              <w:ind w:right="17"/>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657"/>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560" w:type="dxa"/>
            <w:vAlign w:val="bottom"/>
            <w:gridSpan w:val="10"/>
          </w:tcPr>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September 30, 2021</w:t>
            </w:r>
          </w:p>
        </w:tc>
        <w:tc>
          <w:tcPr>
            <w:tcW w:w="180" w:type="dxa"/>
            <w:vAlign w:val="bottom"/>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state and local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interest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shipping and tariff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78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1"/>
              </w:rPr>
              <w:t>Three months ended September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Nine months ended September</w:t>
            </w:r>
          </w:p>
        </w:tc>
      </w:t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Loan forgiveness</w:t>
            </w:r>
          </w:p>
        </w:tc>
        <w:tc>
          <w:tcPr>
            <w:tcW w:w="8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45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458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860" w:type="dxa"/>
            <w:vAlign w:val="bottom"/>
          </w:tcPr>
          <w:p>
            <w:pPr>
              <w:jc w:val="right"/>
              <w:ind w:right="699"/>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7,628</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5" w:right="419" w:bottom="1440" w:gutter="0" w:footer="0" w:header="0"/>
        </w:sectPr>
      </w:pP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3" w:lineRule="exact"/>
        <w:rPr>
          <w:sz w:val="20"/>
          <w:szCs w:val="20"/>
          <w:color w:val="auto"/>
        </w:rPr>
      </w:pPr>
    </w:p>
    <w:p>
      <w:pPr>
        <w:ind w:left="980" w:hanging="3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2" w:lineRule="exact"/>
        <w:rPr>
          <w:rFonts w:ascii="Arial" w:cs="Arial" w:eastAsia="Arial" w:hAnsi="Arial"/>
          <w:sz w:val="18"/>
          <w:szCs w:val="18"/>
          <w:color w:val="auto"/>
        </w:rPr>
      </w:pPr>
    </w:p>
    <w:p>
      <w:pPr>
        <w:ind w:left="980" w:hanging="3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8" w:lineRule="exact"/>
        <w:rPr>
          <w:rFonts w:ascii="Arial" w:cs="Arial" w:eastAsia="Arial" w:hAnsi="Arial"/>
          <w:sz w:val="18"/>
          <w:szCs w:val="18"/>
          <w:color w:val="auto"/>
        </w:rPr>
      </w:pPr>
    </w:p>
    <w:p>
      <w:pPr>
        <w:ind w:left="980" w:hanging="3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2021 Equity Incentive Plan (“2021 Plan”)</w:t>
      </w:r>
    </w:p>
    <w:p>
      <w:pPr>
        <w:spacing w:after="0" w:line="208" w:lineRule="exact"/>
        <w:rPr>
          <w:sz w:val="20"/>
          <w:szCs w:val="20"/>
          <w:color w:val="auto"/>
        </w:rPr>
      </w:pPr>
    </w:p>
    <w:p>
      <w:pPr>
        <w:ind w:right="80" w:firstLine="645"/>
        <w:spacing w:after="0" w:line="295"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third-party valuation specialists.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3" w:lineRule="exact"/>
        <w:rPr>
          <w:sz w:val="20"/>
          <w:szCs w:val="20"/>
          <w:color w:val="auto"/>
        </w:rPr>
      </w:pPr>
    </w:p>
    <w:p>
      <w:pPr>
        <w:ind w:right="20" w:firstLine="645"/>
        <w:spacing w:after="0" w:line="339"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1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Share Price</w:t>
            </w: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3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Exercise</w:t>
            </w:r>
          </w:p>
        </w:tc>
        <w:tc>
          <w:tcPr>
            <w:tcW w:w="1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on Date of</w:t>
            </w: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r>
      <w:tr>
        <w:trPr>
          <w:trHeight w:val="215"/>
        </w:trPr>
        <w:tc>
          <w:tcPr>
            <w:tcW w:w="326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r>
      <w:tr>
        <w:trPr>
          <w:trHeight w:val="233"/>
        </w:trPr>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(in thousands, except price data)</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0.40</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5.64</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8"/>
        </w:trPr>
        <w:tc>
          <w:tcPr>
            <w:tcW w:w="3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10.32</w:t>
            </w:r>
          </w:p>
        </w:tc>
        <w:tc>
          <w:tcPr>
            <w:tcW w:w="1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5.44</w:t>
            </w:r>
          </w:p>
        </w:tc>
        <w:tc>
          <w:tcPr>
            <w:tcW w:w="13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1.94</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5"/>
        </w:trPr>
        <w:tc>
          <w:tcPr>
            <w:tcW w:w="32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Exercisable, September 30, 2021</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10.32</w:t>
            </w:r>
          </w:p>
        </w:tc>
        <w:tc>
          <w:tcPr>
            <w:tcW w:w="16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6</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270</w:t>
            </w:r>
          </w:p>
        </w:tc>
        <w:tc>
          <w:tcPr>
            <w:tcW w:w="140" w:type="dxa"/>
            <w:vAlign w:val="bottom"/>
          </w:tcPr>
          <w:p>
            <w:pPr>
              <w:spacing w:after="0"/>
              <w:rPr>
                <w:sz w:val="16"/>
                <w:szCs w:val="16"/>
                <w:color w:val="auto"/>
              </w:rPr>
            </w:pP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10.33</w:t>
            </w: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1.94</w:t>
            </w:r>
          </w:p>
        </w:tc>
        <w:tc>
          <w:tcPr>
            <w:tcW w:w="220" w:type="dxa"/>
            <w:vAlign w:val="bottom"/>
          </w:tcPr>
          <w:p>
            <w:pPr>
              <w:spacing w:after="0"/>
              <w:rPr>
                <w:sz w:val="16"/>
                <w:szCs w:val="16"/>
                <w:color w:val="auto"/>
              </w:rPr>
            </w:pP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w:t>
            </w:r>
          </w:p>
        </w:tc>
      </w:tr>
      <w:tr>
        <w:trPr>
          <w:trHeight w:val="20"/>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there was no unrecognized stock option expense.</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Price on Date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Average Fair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3"/>
        </w:trPr>
        <w:tc>
          <w:tcPr>
            <w:tcW w:w="598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of Release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16,007</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48"/>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17,189</w:t>
            </w: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Vested and expected to vest</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2,394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11.30</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17,189</w:t>
            </w:r>
          </w:p>
        </w:tc>
      </w:tr>
      <w:tr>
        <w:trPr>
          <w:trHeight w:val="20"/>
        </w:trPr>
        <w:tc>
          <w:tcPr>
            <w:tcW w:w="5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20" w:firstLine="645"/>
        <w:spacing w:after="0" w:line="275" w:lineRule="auto"/>
        <w:rPr>
          <w:sz w:val="20"/>
          <w:szCs w:val="20"/>
          <w:color w:val="auto"/>
        </w:rPr>
      </w:pPr>
      <w:r>
        <w:rPr>
          <w:rFonts w:ascii="Arial" w:cs="Arial" w:eastAsia="Arial" w:hAnsi="Arial"/>
          <w:sz w:val="18"/>
          <w:szCs w:val="18"/>
          <w:color w:val="auto"/>
        </w:rPr>
        <w:t>As of September 30, 2021, there was $24.5 million of unrecognized compensation expense related to these RSUs and RSAs. This expense is expected to be recognized over 2.65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Incentive Plan</w:t>
      </w:r>
    </w:p>
    <w:p>
      <w:pPr>
        <w:spacing w:after="0" w:line="223"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color w:val="auto"/>
        </w:rPr>
        <w:t xml:space="preserve">In June 2021, the Company approved to grant performance stock units (“PSUs”) to senior executives as a part of our long-term equity compensation program. The number of shares of common stock that will ultimately be issued to settle PSUs granted ranges from 0% to 200% of the number granted and is determined based on certain performance criteria over a </w:t>
      </w:r>
      <w:r>
        <w:rPr>
          <w:rFonts w:ascii="Arial" w:cs="Arial" w:eastAsia="Arial" w:hAnsi="Arial"/>
          <w:sz w:val="17"/>
          <w:szCs w:val="17"/>
          <w:i w:val="1"/>
          <w:iCs w:val="1"/>
          <w:color w:val="auto"/>
        </w:rPr>
        <w:t>three</w:t>
      </w:r>
      <w:r>
        <w:rPr>
          <w:rFonts w:ascii="Arial" w:cs="Arial" w:eastAsia="Arial" w:hAnsi="Arial"/>
          <w:sz w:val="17"/>
          <w:szCs w:val="17"/>
          <w:color w:val="auto"/>
        </w:rPr>
        <w:t xml:space="preserv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w:t>
      </w:r>
      <w:r>
        <w:rPr>
          <w:rFonts w:ascii="Arial" w:cs="Arial" w:eastAsia="Arial" w:hAnsi="Arial"/>
          <w:sz w:val="17"/>
          <w:szCs w:val="17"/>
          <w:i w:val="1"/>
          <w:iCs w:val="1"/>
          <w:color w:val="auto"/>
        </w:rPr>
        <w:t>third</w:t>
      </w:r>
      <w:r>
        <w:rPr>
          <w:rFonts w:ascii="Arial" w:cs="Arial" w:eastAsia="Arial" w:hAnsi="Arial"/>
          <w:sz w:val="17"/>
          <w:szCs w:val="17"/>
          <w:color w:val="auto"/>
        </w:rPr>
        <w:t xml:space="preserve"> anniversary of their grant, assuming achievement of the applicable performance criteria. We estimated the fair value of the PSUs using a Monte Carlo simulation model on the date of grant. Compensation expense is recognized ratably over the explicit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8"/>
                <w:szCs w:val="18"/>
                <w:color w:val="auto"/>
              </w:rPr>
            </w:pPr>
          </w:p>
        </w:tc>
      </w:tr>
      <w:tr>
        <w:trPr>
          <w:trHeight w:val="233"/>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r>
      <w:tr>
        <w:trPr>
          <w:trHeight w:val="208"/>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0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2,146</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2,031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4460" w:type="dxa"/>
            <w:vAlign w:val="bottom"/>
            <w:gridSpan w:val="2"/>
          </w:tcPr>
          <w:p>
            <w:pPr>
              <w:ind w:left="560"/>
              <w:spacing w:after="0"/>
              <w:rPr>
                <w:sz w:val="20"/>
                <w:szCs w:val="20"/>
                <w:color w:val="auto"/>
              </w:rPr>
            </w:pPr>
            <w:r>
              <w:rPr>
                <w:rFonts w:ascii="Arial" w:cs="Arial" w:eastAsia="Arial" w:hAnsi="Arial"/>
                <w:sz w:val="18"/>
                <w:szCs w:val="18"/>
                <w:color w:val="auto"/>
              </w:rPr>
              <w:t>Total share-based compensation expense</w:t>
            </w:r>
          </w:p>
        </w:tc>
        <w:tc>
          <w:tcPr>
            <w:tcW w:w="66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3,129</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3,265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8,922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7"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The Company’s effective tax rate for the three months ended September 30, 2021 and 2020 was 0% and (30.69)%, respectively. For the three months ended September 30, 2021, the effective tax rate varied from the federal statutory rate of 21% primarily due to the change of the valuation allowance on federal, state, Taiwan, and China deferred tax assets ("DTA"). For the three months ended September 30, 2020, the effective tax rate varied from the federal statutory rate of 21% primarily due to the change of valuation allowance on the federal, state, and Taiwan deferred tax assets, and the recording of a valuation allowance on China deferred tax assets.</w:t>
      </w:r>
    </w:p>
    <w:p>
      <w:pPr>
        <w:spacing w:after="0" w:line="190"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The Company's effective tax rate for the nine months ended September 30, 2021 and 2020 was 0% and (19.15%), respectively. For the nine months ended September 30, 2021, the effective tax rate varied from the federal statutory rate of 21% primarily due to the benefit of the nontaxable PPP loan forgiveness, offset by the change of the valuation allowance on federal, state, Taiwan and China deferred tax assets. For the nine months ended September 30, 2020, the effective tax rate varied from the federal statutory rate of 21% primarily due to the change of the valuation allowance on the federal, and state deferred tax assets, and the recording of a valuation allowance on Taiwan and China deferred tax assets.</w:t>
      </w:r>
    </w:p>
    <w:p>
      <w:pPr>
        <w:spacing w:after="0" w:line="174" w:lineRule="exact"/>
        <w:rPr>
          <w:sz w:val="20"/>
          <w:szCs w:val="20"/>
          <w:color w:val="auto"/>
        </w:rPr>
      </w:pPr>
    </w:p>
    <w:p>
      <w:pPr>
        <w:ind w:right="240" w:firstLine="645"/>
        <w:spacing w:after="0" w:line="254" w:lineRule="auto"/>
        <w:rPr>
          <w:sz w:val="20"/>
          <w:szCs w:val="20"/>
          <w:color w:val="auto"/>
        </w:rPr>
      </w:pPr>
      <w:r>
        <w:rPr>
          <w:rFonts w:ascii="Arial" w:cs="Arial" w:eastAsia="Arial" w:hAnsi="Arial"/>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September 30, 2021 was appropriate.</w:t>
      </w:r>
    </w:p>
    <w:p>
      <w:pPr>
        <w:spacing w:after="0" w:line="191" w:lineRule="exact"/>
        <w:rPr>
          <w:sz w:val="20"/>
          <w:szCs w:val="20"/>
          <w:color w:val="auto"/>
        </w:rPr>
      </w:pPr>
    </w:p>
    <w:p>
      <w:pPr>
        <w:ind w:right="60" w:firstLine="645"/>
        <w:spacing w:after="0" w:line="252" w:lineRule="auto"/>
        <w:rPr>
          <w:sz w:val="20"/>
          <w:szCs w:val="20"/>
          <w:color w:val="auto"/>
        </w:rPr>
      </w:pPr>
      <w:r>
        <w:rPr>
          <w:rFonts w:ascii="Arial" w:cs="Arial" w:eastAsia="Arial" w:hAnsi="Arial"/>
          <w:sz w:val="18"/>
          <w:szCs w:val="18"/>
          <w:color w:val="auto"/>
        </w:rPr>
        <w:t>In response to the COVID-19 pandemic, the Coronavirus Aid, Relief, and Economic Stability Act (the "CARES Act") was signed into law on March 27, 2020. The CARES Act, among other things, includes tax provisions relating to refundable payroll tax credits, deferment of employer social security payments, net operating loss utilization and carryback periods, modifications to the net interest deduction limitations and technical corrections to tax depreciation methods for qualified improvement property (“QIP”). On December 27, 2020, the Taxpayer Certainty and Disaster Tax Relief Act of 2020 was enacted as part of the Consolidated Appropriations Act, 2021, followed by the American Rescue Plan Act on March 1, 2021. These recent laws, among many other provisions, expand and extend the Paycheck Protection Program (“PPP”), refundable employee retention tax credits previously made available under the CARES Act and allow a full deduction for business meals for the 2021 and 2022 tax years. At this point we do not believe that these changes will have a material impact on our income tax provision for 2021. We will continue to evaluate the impact of new legislation on our financial position, results of operations, and cash flows.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7" w:lineRule="exact"/>
        <w:rPr>
          <w:sz w:val="20"/>
          <w:szCs w:val="20"/>
          <w:color w:val="auto"/>
        </w:rPr>
      </w:pPr>
    </w:p>
    <w:p>
      <w:pPr>
        <w:jc w:val="both"/>
        <w:ind w:right="240" w:firstLine="645"/>
        <w:spacing w:after="0" w:line="262"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2" w:lineRule="exact"/>
        <w:rPr>
          <w:sz w:val="20"/>
          <w:szCs w:val="20"/>
          <w:color w:val="auto"/>
        </w:rPr>
      </w:pPr>
    </w:p>
    <w:p>
      <w:pPr>
        <w:jc w:val="both"/>
        <w:ind w:right="220" w:firstLine="645"/>
        <w:spacing w:after="0" w:line="339"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1"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88"/>
              </w:rPr>
              <w:t>Three months ended September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4,547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4,887</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11,451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China</w:t>
            </w:r>
          </w:p>
        </w:tc>
        <w:tc>
          <w:tcPr>
            <w:tcW w:w="1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63,719</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76,608</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600"/>
              <w:spacing w:after="0"/>
              <w:rPr>
                <w:sz w:val="20"/>
                <w:szCs w:val="20"/>
                <w:color w:val="auto"/>
              </w:rPr>
            </w:pPr>
            <w:r>
              <w:rPr>
                <w:rFonts w:ascii="Arial" w:cs="Arial" w:eastAsia="Arial" w:hAnsi="Arial"/>
                <w:sz w:val="18"/>
                <w:szCs w:val="18"/>
                <w:b w:val="1"/>
                <w:bCs w:val="1"/>
                <w:color w:val="auto"/>
              </w:rPr>
              <w:t>As of the period ended</w:t>
            </w: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87,241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90,999</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China</w:t>
            </w:r>
          </w:p>
        </w:tc>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108,575</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3" w:lineRule="exact"/>
        <w:rPr>
          <w:sz w:val="20"/>
          <w:szCs w:val="20"/>
          <w:color w:val="auto"/>
        </w:rPr>
      </w:pPr>
    </w:p>
    <w:p>
      <w:pPr>
        <w:ind w:right="280" w:firstLine="645"/>
        <w:spacing w:after="0" w:line="277"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2" w:lineRule="exact"/>
        <w:rPr>
          <w:sz w:val="20"/>
          <w:szCs w:val="20"/>
          <w:color w:val="auto"/>
        </w:rPr>
      </w:pPr>
    </w:p>
    <w:p>
      <w:pPr>
        <w:ind w:right="340" w:firstLine="645"/>
        <w:spacing w:after="0" w:line="275"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3" w:lineRule="exact"/>
        <w:rPr>
          <w:sz w:val="20"/>
          <w:szCs w:val="20"/>
          <w:color w:val="auto"/>
        </w:rPr>
      </w:pPr>
    </w:p>
    <w:p>
      <w:pPr>
        <w:ind w:firstLine="645"/>
        <w:spacing w:after="0" w:line="283"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ofApplied Optoelectronics, Inc. v. 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securities class action captioned </w:t>
      </w:r>
      <w:r>
        <w:rPr>
          <w:rFonts w:ascii="Arial" w:cs="Arial" w:eastAsia="Arial" w:hAnsi="Arial"/>
          <w:sz w:val="16"/>
          <w:szCs w:val="16"/>
          <w:i w:val="1"/>
          <w:iCs w:val="1"/>
          <w:color w:val="auto"/>
        </w:rPr>
        <w:t>Mona Abouzied v. Applied</w:t>
      </w:r>
      <w:r>
        <w:rPr>
          <w:rFonts w:ascii="Arial" w:cs="Arial" w:eastAsia="Arial" w:hAnsi="Arial"/>
          <w:sz w:val="16"/>
          <w:szCs w:val="16"/>
          <w:color w:val="auto"/>
        </w:rPr>
        <w:t xml:space="preserve"> </w:t>
      </w:r>
      <w:r>
        <w:rPr>
          <w:rFonts w:ascii="Arial" w:cs="Arial" w:eastAsia="Arial" w:hAnsi="Arial"/>
          <w:sz w:val="16"/>
          <w:szCs w:val="16"/>
          <w:i w:val="1"/>
          <w:iCs w:val="1"/>
          <w:color w:val="auto"/>
        </w:rPr>
        <w:t>Optoelectronics, Inc., Chih-Hsiang (Thompson) Lin, and Stefan J. Murry, et al.</w:t>
      </w:r>
      <w:r>
        <w:rPr>
          <w:rFonts w:ascii="Arial" w:cs="Arial" w:eastAsia="Arial" w:hAnsi="Arial"/>
          <w:sz w:val="16"/>
          <w:szCs w:val="16"/>
          <w:color w:val="auto"/>
        </w:rPr>
        <w:t>, Case No. 4:17-cv-02399, which had been previously filed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and was dismissed following a settlement in 2020. On December 18, 2018, a second derivative complaint was filed styled </w:t>
      </w:r>
      <w:r>
        <w:rPr>
          <w:rFonts w:ascii="Arial" w:cs="Arial" w:eastAsia="Arial" w:hAnsi="Arial"/>
          <w:sz w:val="16"/>
          <w:szCs w:val="16"/>
          <w:i w:val="1"/>
          <w:iCs w:val="1"/>
          <w:color w:val="auto"/>
        </w:rPr>
        <w:t>Yiu Kwong Ng v.Chih-Hsiang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December 2, 2020. On December 2, 2020, Defendants filed their motion to dismiss the consolidated derivative complaint. On December 7, 2020, Plaintiffs filed a notice alerting the Court that they were intending to file an amended complaint, which was subsequently filed by Plaintiffs on January 13, 2021. Defendants filed a motion to dismiss all claims on March 1, 2021. On June 25, 2021, the parties filed a stipulation indicating that they had reached a settlement-in-principle of the action. On June 28, 2021, the Court stayed all deadlines in the action for 30 days to allow the parties to finalize the settlement. The deadline was extended to late August.On August 30, 2021, the Plaintiffs filed an unopposed Motion for Preliminary Approval of the Settlement agreed to by the parties. This motion was granted on August 31, 2021 and the Court set the Settlement Hearing date for November 4, 2021. The Company has complied with all requirements of the Settlement Agreement and the Settlement Hearing is on schedule to take place on November 4, 2021. The Company has agreed to implement various corporate governance reforms as specified in the Settlement Agreement in addition to having its D&amp;O insurance carrier make a payment to the Plaintiffs in exchange for a full dismissal of all claims and customary releases.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repaid its revolving bank line of credit with Truist Bank in the amount of $19.3 million in October 2021.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645"/>
        <w:spacing w:after="0" w:line="29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2021 and the audited consolidated financial statements and notes thereto and management’s discussion and analysis of financial condition and results of operations for the fiscal year ended December 31, 2020 included in our Annual Report. References to “Applied Optoelectronics,” “we,” “our” and “us” are to Applied Optoelectronics, Inc. and its subsidiaries unless otherwise specified or the context otherwise requires.</w:t>
      </w:r>
    </w:p>
    <w:p>
      <w:pPr>
        <w:spacing w:after="0" w:line="159"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1" w:lineRule="exact"/>
        <w:rPr>
          <w:sz w:val="20"/>
          <w:szCs w:val="20"/>
          <w:color w:val="auto"/>
        </w:rPr>
      </w:pPr>
    </w:p>
    <w:p>
      <w:pPr>
        <w:ind w:right="20" w:firstLine="645"/>
        <w:spacing w:after="0" w:line="269"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2020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82"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40" w:firstLine="645"/>
        <w:spacing w:after="0" w:line="29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62" w:lineRule="exact"/>
        <w:rPr>
          <w:sz w:val="20"/>
          <w:szCs w:val="20"/>
          <w:color w:val="auto"/>
        </w:rPr>
      </w:pPr>
    </w:p>
    <w:p>
      <w:pPr>
        <w:ind w:right="80" w:firstLine="645"/>
        <w:spacing w:after="0" w:line="268"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9" w:lineRule="exact"/>
        <w:rPr>
          <w:sz w:val="20"/>
          <w:szCs w:val="20"/>
          <w:color w:val="auto"/>
        </w:rPr>
      </w:pPr>
    </w:p>
    <w:p>
      <w:pPr>
        <w:ind w:firstLine="645"/>
        <w:spacing w:after="0" w:line="253"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7"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We are subject to risks and uncertainties as a result of the COVID-19 pandemic. 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significant reduction of infections, we have implemented procedures for a safe return to the office environment for all of our employees.</w:t>
      </w:r>
    </w:p>
    <w:p>
      <w:pPr>
        <w:spacing w:after="0" w:line="174" w:lineRule="exact"/>
        <w:rPr>
          <w:sz w:val="20"/>
          <w:szCs w:val="20"/>
          <w:color w:val="auto"/>
        </w:rPr>
      </w:pPr>
    </w:p>
    <w:p>
      <w:pPr>
        <w:ind w:right="140" w:firstLine="645"/>
        <w:spacing w:after="0" w:line="287" w:lineRule="auto"/>
        <w:rPr>
          <w:sz w:val="20"/>
          <w:szCs w:val="20"/>
          <w:color w:val="auto"/>
        </w:rPr>
      </w:pPr>
      <w:r>
        <w:rPr>
          <w:rFonts w:ascii="Arial" w:cs="Arial" w:eastAsia="Arial" w:hAnsi="Arial"/>
          <w:sz w:val="16"/>
          <w:szCs w:val="16"/>
          <w:color w:val="auto"/>
        </w:rPr>
        <w:t>The spread of COVID-19 has impacted our supply chain operations through restrictions, reduced capacity and shutdown of business activities by suppliers whom we rely on for sourcing components and materials and third-party partners whom we rely on for manufacturing, warehousing and logistics services. In the quarter ended September 30, 2021, we estimate the revenue loss associated with these supply chain disruptions was approximately $3 million. We anticipate continued supply chain disruption through the remainder of 2021. Currently, the suppliers who are responsible for most of our supply-chain constraints have begun the process of returning to normal operations and have expressed optimism that their deliveries in 2022 will return to normal. However, this is uncertain and we also cannot predict if other suppliers could encounter similar difficulties. In order to minimize the impact of these and any similar disruptions, we have added additional suppliers for many key components, where it is practical to do so. We believe that these additional suppliers will be able to augment our supply of needed components, although in some cases these new suppliers' materials are more expensive than the pre-existing suppliers so a switch to these alternate suppliers could have a negative impact on gross margins and profitability.</w:t>
      </w:r>
    </w:p>
    <w:p>
      <w:pPr>
        <w:spacing w:after="0" w:line="170" w:lineRule="exact"/>
        <w:rPr>
          <w:sz w:val="20"/>
          <w:szCs w:val="20"/>
          <w:color w:val="auto"/>
        </w:rPr>
      </w:pPr>
    </w:p>
    <w:p>
      <w:pPr>
        <w:jc w:val="both"/>
        <w:ind w:right="20" w:firstLine="645"/>
        <w:spacing w:after="0" w:line="310" w:lineRule="auto"/>
        <w:rPr>
          <w:sz w:val="20"/>
          <w:szCs w:val="20"/>
          <w:color w:val="auto"/>
        </w:rPr>
      </w:pPr>
      <w:r>
        <w:rPr>
          <w:rFonts w:ascii="Arial" w:cs="Arial" w:eastAsia="Arial" w:hAnsi="Arial"/>
          <w:sz w:val="16"/>
          <w:szCs w:val="16"/>
          <w:color w:val="auto"/>
        </w:rPr>
        <w:t>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200" w:firstLine="645"/>
        <w:spacing w:after="0" w:line="275"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40" w:type="dxa"/>
            <w:vAlign w:val="bottom"/>
          </w:tcPr>
          <w:p>
            <w:pPr>
              <w:spacing w:after="0"/>
              <w:rPr>
                <w:sz w:val="18"/>
                <w:szCs w:val="18"/>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21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7"/>
              </w:rPr>
              <w:t>Nine months ended</w:t>
            </w:r>
          </w:p>
        </w:tc>
        <w:tc>
          <w:tcPr>
            <w:tcW w:w="160" w:type="dxa"/>
            <w:vAlign w:val="bottom"/>
          </w:tcPr>
          <w:p>
            <w:pPr>
              <w:spacing w:after="0"/>
              <w:rPr>
                <w:sz w:val="18"/>
                <w:szCs w:val="18"/>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4"/>
              </w:rPr>
              <w:t>2020</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76,608</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157,157</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182,298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45,143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57,418</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127,537</w:t>
            </w: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143,034</w:t>
            </w:r>
          </w:p>
        </w:tc>
        <w:tc>
          <w:tcPr>
            <w:tcW w:w="4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19,190</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39,264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4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4,491</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8,576</w:t>
            </w: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10,858</w:t>
            </w:r>
          </w:p>
        </w:tc>
        <w:tc>
          <w:tcPr>
            <w:tcW w:w="4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10,272</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32,195</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31,520</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23,577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25,969</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72,761</w:t>
            </w: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74,945</w:t>
            </w:r>
          </w:p>
        </w:tc>
        <w:tc>
          <w:tcPr>
            <w:tcW w:w="4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(15,453)</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(43,141)</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(35,681)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4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(1,480)</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(4,158)</w:t>
            </w:r>
          </w:p>
        </w:tc>
        <w:tc>
          <w:tcPr>
            <w:tcW w:w="4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(4,424)</w:t>
            </w:r>
          </w:p>
        </w:tc>
        <w:tc>
          <w:tcPr>
            <w:tcW w:w="4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20" w:type="dxa"/>
            <w:vAlign w:val="bottom"/>
            <w:gridSpan w:val="2"/>
          </w:tcPr>
          <w:p>
            <w:pPr>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4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3,519</w:t>
            </w:r>
          </w:p>
        </w:tc>
        <w:tc>
          <w:tcPr>
            <w:tcW w:w="4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(2,108)</w:t>
            </w:r>
          </w:p>
        </w:tc>
        <w:tc>
          <w:tcPr>
            <w:tcW w:w="4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(39,622)</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(37,789)</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(2,249)</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(7,224)</w:t>
            </w:r>
          </w:p>
        </w:tc>
        <w:tc>
          <w:tcPr>
            <w:tcW w:w="4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w:t>
            </w: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(9,616)</w:t>
            </w:r>
          </w:p>
        </w:tc>
        <w:tc>
          <w:tcPr>
            <w:tcW w:w="4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(39,622)</w:t>
            </w:r>
          </w:p>
        </w:tc>
        <w:tc>
          <w:tcPr>
            <w:tcW w:w="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(45,013)</w:t>
            </w: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ind w:right="300" w:firstLine="645"/>
        <w:spacing w:after="0" w:line="258"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2021 and 2020 (in thousands, except percentages):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1"/>
              </w:rPr>
              <w:t>Three months ended September 30,</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0"/>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90"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3"/>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55,336</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CATV</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23,101</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11,642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11,459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r>
      <w:tr>
        <w:trPr>
          <w:trHeight w:val="21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r>
      <w:tr>
        <w:trPr>
          <w:trHeight w:val="20"/>
        </w:trPr>
        <w:tc>
          <w:tcPr>
            <w:tcW w:w="3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318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53,267</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76,608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(23,341)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b w:val="1"/>
                <w:bCs w:val="1"/>
                <w:color w:val="auto"/>
                <w:w w:val="90"/>
              </w:rPr>
              <w:t>Nine months ended September 30,</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0"/>
        </w:trPr>
        <w:tc>
          <w:tcPr>
            <w:tcW w:w="2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90"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3"/>
        </w:trPr>
        <w:tc>
          <w:tcPr>
            <w:tcW w:w="2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8"/>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72,259</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141,133</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CATV</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69,339</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22,007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47,332</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215.1%</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12,959</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17,600</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FTTH</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0"/>
        </w:trPr>
        <w:tc>
          <w:tcPr>
            <w:tcW w:w="2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18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9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157,157</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182,298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(25,141)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1"/>
        </w:trPr>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4"/>
        </w:trPr>
        <w:tc>
          <w:tcPr>
            <w:tcW w:w="2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80" w:firstLine="645"/>
        <w:spacing w:after="0" w:line="286" w:lineRule="auto"/>
        <w:rPr>
          <w:sz w:val="20"/>
          <w:szCs w:val="20"/>
          <w:color w:val="auto"/>
        </w:rPr>
      </w:pPr>
      <w:r>
        <w:rPr>
          <w:rFonts w:ascii="Arial" w:cs="Arial" w:eastAsia="Arial" w:hAnsi="Arial"/>
          <w:sz w:val="16"/>
          <w:szCs w:val="16"/>
          <w:color w:val="auto"/>
        </w:rPr>
        <w:t>The decrease in revenue during the three and nine months ended September 30, 2021 was driven primarily by decreased demand for the datacenter products; this slowdown was related to inventory normalization following the surge in demand that was driven by the shift to working from home early last year. We believe datacenter demand will improve in 2022. The decreased demand for datacenter products was offset by increased demand for</w:t>
      </w:r>
    </w:p>
    <w:p>
      <w:pPr>
        <w:spacing w:after="0" w:line="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CATV products from several existing customers. The increase in demand from CATV multiple-system operators ("MSOs") resulted in strong demand for our CATV products, especially those products that are related to architecture improvements to enable delivery of additional bandwidth to consumers. This increase in bandwidth demand is particularly acute in the upstream direction, and sales of products associated with increased return-path bandwidth were notably strong in the quarter. Based on forecasts and current order bookings, we believe that this CATV demand will likely continue through 2021 and 2022.</w:t>
      </w:r>
    </w:p>
    <w:p>
      <w:pPr>
        <w:spacing w:after="0" w:line="193" w:lineRule="exact"/>
        <w:rPr>
          <w:sz w:val="20"/>
          <w:szCs w:val="20"/>
          <w:color w:val="auto"/>
        </w:rPr>
      </w:pPr>
    </w:p>
    <w:p>
      <w:pPr>
        <w:ind w:right="240" w:firstLine="645"/>
        <w:spacing w:after="0" w:line="254" w:lineRule="auto"/>
        <w:rPr>
          <w:sz w:val="20"/>
          <w:szCs w:val="20"/>
          <w:color w:val="auto"/>
        </w:rPr>
      </w:pPr>
      <w:r>
        <w:rPr>
          <w:rFonts w:ascii="Arial" w:cs="Arial" w:eastAsia="Arial" w:hAnsi="Arial"/>
          <w:sz w:val="18"/>
          <w:szCs w:val="18"/>
          <w:color w:val="auto"/>
        </w:rPr>
        <w:t>For the three months ended September 30, 2021 and 2020, our top ten customers represented 86.0% and 84.9% of our revenue, respectively. For the nine months ended September 30, 2021 and 2020, our top ten customers represented 86.5% and 84.9%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The growth in revenue from our top ten customers in the six months ended June 30, 2021 is primarily due to growth in sales of our CATV products. We continue to prioritize new customer acquisition and growth of diverse revenue streams.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i w:val="1"/>
                <w:iCs w:val="1"/>
                <w:color w:val="auto"/>
                <w:w w:val="98"/>
              </w:rPr>
              <w:t>Cost of goods sold and gross margin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8"/>
                <w:szCs w:val="18"/>
                <w:b w:val="1"/>
                <w:bCs w:val="1"/>
                <w:color w:val="auto"/>
                <w:w w:val="92"/>
              </w:rPr>
              <w:t>Three months ended September 30,</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45,143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57,418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8,124</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19,190</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Nine months ended September 30,</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127,537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143,034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29,620</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39,264</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80" w:firstLine="645"/>
        <w:spacing w:after="0" w:line="258" w:lineRule="auto"/>
        <w:rPr>
          <w:sz w:val="20"/>
          <w:szCs w:val="20"/>
          <w:color w:val="auto"/>
        </w:rPr>
      </w:pPr>
      <w:r>
        <w:rPr>
          <w:rFonts w:ascii="Arial" w:cs="Arial" w:eastAsia="Arial" w:hAnsi="Arial"/>
          <w:sz w:val="18"/>
          <w:szCs w:val="18"/>
          <w:color w:val="auto"/>
        </w:rPr>
        <w:t>Cost of goods sold decreased by $12.3 million, or 21.4%, for the three months ended September 30, 2021 as compared to the three months ended September 30, 2020, primarily due to a 30.5% decrease in sales during the period. Cost of goods sold decreased by $15.5 million, or 10.8%, for the nine months ended September 30, 2021 as compared to nine months ended September 30, 2020September 30, 2021, primarily due to 13.8% decrease in sales during the period.</w:t>
      </w:r>
    </w:p>
    <w:p>
      <w:pPr>
        <w:spacing w:after="0" w:line="185" w:lineRule="exact"/>
        <w:rPr>
          <w:sz w:val="20"/>
          <w:szCs w:val="20"/>
          <w:color w:val="auto"/>
        </w:rPr>
      </w:pPr>
    </w:p>
    <w:p>
      <w:pPr>
        <w:ind w:right="180" w:firstLine="645"/>
        <w:spacing w:after="0" w:line="300" w:lineRule="auto"/>
        <w:rPr>
          <w:sz w:val="20"/>
          <w:szCs w:val="20"/>
          <w:color w:val="auto"/>
        </w:rPr>
      </w:pPr>
      <w:r>
        <w:rPr>
          <w:rFonts w:ascii="Arial" w:cs="Arial" w:eastAsia="Arial" w:hAnsi="Arial"/>
          <w:sz w:val="16"/>
          <w:szCs w:val="16"/>
          <w:color w:val="auto"/>
        </w:rPr>
        <w:t>Gross margin decreased for the three and nine months ended September 30, 2021 as compared to the three and nine months ended September 30, 2020 primarily as a result of changes in the mix of our datacenter and CATV products. In particular, we saw an increase in sales of certain CATV products relative to sales of transceivers. In addition, we experienced higher costs of certain raw materials and global supply chain disruptions due to COVID-19 closures of ports and factories in Asia (see the section above on the COVID 19 pandemic for more details of these challenges).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w w:val="91"/>
              </w:rPr>
              <w:t>Three months ended September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0"/>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11,206</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(1,708)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10,272</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23,577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25,969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(2,392)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Nine months ended September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0"/>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32,567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10,858</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(2,282)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31,520</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72,761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74,945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(2,184)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3" w:lineRule="exact"/>
        <w:rPr>
          <w:sz w:val="20"/>
          <w:szCs w:val="20"/>
          <w:color w:val="auto"/>
        </w:rPr>
      </w:pPr>
    </w:p>
    <w:p>
      <w:pPr>
        <w:ind w:right="40" w:firstLine="645"/>
        <w:spacing w:after="0" w:line="254" w:lineRule="auto"/>
        <w:rPr>
          <w:sz w:val="20"/>
          <w:szCs w:val="20"/>
          <w:color w:val="auto"/>
        </w:rPr>
      </w:pPr>
      <w:r>
        <w:rPr>
          <w:rFonts w:ascii="Arial" w:cs="Arial" w:eastAsia="Arial" w:hAnsi="Arial"/>
          <w:sz w:val="18"/>
          <w:szCs w:val="18"/>
          <w:color w:val="auto"/>
        </w:rPr>
        <w:t>Research and development expense decreased by $1.1 million, or 9.4% for the three months ended September 30, 2021 as compared to the three months ended September 30, 2020. Research and development expense decreased by $0.6 million, or 1.8% for the nine months ended September 30, 2021 as compared to the nine months ended September 30, 2020. 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These decreases were primarily due to decrease in personnel-related costs,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3" w:lineRule="exact"/>
        <w:rPr>
          <w:sz w:val="20"/>
          <w:szCs w:val="20"/>
          <w:color w:val="auto"/>
        </w:rPr>
      </w:pPr>
    </w:p>
    <w:p>
      <w:pPr>
        <w:jc w:val="both"/>
        <w:ind w:right="60" w:firstLine="645"/>
        <w:spacing w:after="0" w:line="338" w:lineRule="auto"/>
        <w:rPr>
          <w:sz w:val="20"/>
          <w:szCs w:val="20"/>
          <w:color w:val="auto"/>
        </w:rPr>
      </w:pPr>
      <w:r>
        <w:rPr>
          <w:rFonts w:ascii="Arial" w:cs="Arial" w:eastAsia="Arial" w:hAnsi="Arial"/>
          <w:sz w:val="15"/>
          <w:szCs w:val="15"/>
          <w:color w:val="auto"/>
        </w:rPr>
        <w:t>Sales and marketing expense decreased by $1.7 million, or 38.0% for the three months ended September 30, 2021 as compared to the three months ended September 30, 2020. Selling and marketing expense decreased by 2.3 million, or 21.0% for the nine months ended September 30, 2021 as compared to the nine months ended September 30, 2020. These decreases were primarily due to decrease in shipping and handling charges and tradeshow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3" w:lineRule="exact"/>
        <w:rPr>
          <w:sz w:val="20"/>
          <w:szCs w:val="20"/>
          <w:color w:val="auto"/>
        </w:rPr>
      </w:pPr>
    </w:p>
    <w:p>
      <w:pPr>
        <w:ind w:right="100" w:firstLine="645"/>
        <w:spacing w:after="0" w:line="300" w:lineRule="auto"/>
        <w:rPr>
          <w:sz w:val="20"/>
          <w:szCs w:val="20"/>
          <w:color w:val="auto"/>
        </w:rPr>
      </w:pPr>
      <w:r>
        <w:rPr>
          <w:rFonts w:ascii="Arial" w:cs="Arial" w:eastAsia="Arial" w:hAnsi="Arial"/>
          <w:sz w:val="16"/>
          <w:szCs w:val="16"/>
          <w:color w:val="auto"/>
        </w:rPr>
        <w:t>General and administrative expense increased by $0.4 million, or 3.6% for the three months ended September 30, 2021 compared to the three months ended September 30, 2020. General and administrative expense increased by $0.7 million, or 2.1% for the nine months ended September 30, 2021 compared to the nine months ended September 30, 2020. These increases were primarily due to an increase in depreciation expense and expenses related to winter storm Uri.These increases were partially offset by a decrease in personnel-related costs and professional service fees.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312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8"/>
                <w:szCs w:val="18"/>
                <w:b w:val="1"/>
                <w:bCs w:val="1"/>
                <w:color w:val="auto"/>
                <w:w w:val="92"/>
              </w:rPr>
              <w:t>Three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tcPr>
          <w:p>
            <w:pPr>
              <w:ind w:left="1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8"/>
                <w:szCs w:val="18"/>
                <w:b w:val="1"/>
                <w:bCs w:val="1"/>
                <w:color w:val="auto"/>
                <w:w w:val="94"/>
              </w:rPr>
              <w:t>Nine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(4,158)</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(4,424)</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tcPr>
          <w:p>
            <w:pPr>
              <w:ind w:left="1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5,627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60" w:firstLine="645"/>
        <w:spacing w:after="0" w:line="284" w:lineRule="auto"/>
        <w:rPr>
          <w:sz w:val="20"/>
          <w:szCs w:val="20"/>
          <w:color w:val="auto"/>
        </w:rPr>
      </w:pPr>
      <w:r>
        <w:rPr>
          <w:rFonts w:ascii="Arial" w:cs="Arial" w:eastAsia="Arial" w:hAnsi="Arial"/>
          <w:sz w:val="17"/>
          <w:szCs w:val="17"/>
          <w:color w:val="auto"/>
        </w:rPr>
        <w:t>Interest income decreased slightly for the three months ended September 30, 2021 compared to the three months ended September 30, 2020. Interest income decreased by $0.2 million, or 77.7% for the nine months ended September 30, 2021 compared to the three months ended September 30, 2020. The changes are similar to expected rates of fluctuation with the interest rates and cash balances.</w:t>
      </w:r>
    </w:p>
    <w:p>
      <w:pPr>
        <w:spacing w:after="0" w:line="166" w:lineRule="exact"/>
        <w:rPr>
          <w:sz w:val="20"/>
          <w:szCs w:val="20"/>
          <w:color w:val="auto"/>
        </w:rPr>
      </w:pPr>
    </w:p>
    <w:p>
      <w:pPr>
        <w:jc w:val="both"/>
        <w:ind w:right="400" w:firstLine="645"/>
        <w:spacing w:after="0" w:line="262" w:lineRule="auto"/>
        <w:rPr>
          <w:sz w:val="20"/>
          <w:szCs w:val="20"/>
          <w:color w:val="auto"/>
        </w:rPr>
      </w:pPr>
      <w:r>
        <w:rPr>
          <w:rFonts w:ascii="Arial" w:cs="Arial" w:eastAsia="Arial" w:hAnsi="Arial"/>
          <w:sz w:val="18"/>
          <w:szCs w:val="18"/>
          <w:color w:val="auto"/>
        </w:rPr>
        <w:t>Interest expense decreased slightly for the three months ended September 30, 2021 compared to the three months ended September 30, 2020. Interest expense decreased by $0.3 million, or 6.0% for the nine months ended September 30, 2021 compared to the three months ended September 30, 2020. This decrease was due to lower average debt balances during the period.</w:t>
      </w:r>
    </w:p>
    <w:p>
      <w:pPr>
        <w:spacing w:after="0" w:line="182" w:lineRule="exact"/>
        <w:rPr>
          <w:sz w:val="20"/>
          <w:szCs w:val="20"/>
          <w:color w:val="auto"/>
        </w:rPr>
      </w:pPr>
    </w:p>
    <w:p>
      <w:pPr>
        <w:ind w:right="80" w:firstLine="645"/>
        <w:spacing w:after="0" w:line="258" w:lineRule="auto"/>
        <w:rPr>
          <w:sz w:val="20"/>
          <w:szCs w:val="20"/>
          <w:color w:val="auto"/>
        </w:rPr>
      </w:pPr>
      <w:r>
        <w:rPr>
          <w:rFonts w:ascii="Arial" w:cs="Arial" w:eastAsia="Arial" w:hAnsi="Arial"/>
          <w:sz w:val="18"/>
          <w:szCs w:val="18"/>
          <w:color w:val="auto"/>
        </w:rPr>
        <w:t>Other income (expense), net increased slightly for the three months ended September 30, 2021 as compared to the three months ended September 30, 2020. Other income (expense), net increased by $5.5 million, or 263.9% for the nine months ended September 30, 2021 as compared to the nine months ended September 30, 2020. The increase was primarily due to forgiveness by the SBA of the Company's PPP Loan forgiveness application for the entire PPP Loan balance of $6.23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660"/>
              <w:spacing w:after="0"/>
              <w:rPr>
                <w:sz w:val="20"/>
                <w:szCs w:val="20"/>
                <w:color w:val="auto"/>
              </w:rPr>
            </w:pPr>
            <w:r>
              <w:rPr>
                <w:rFonts w:ascii="Arial" w:cs="Arial" w:eastAsia="Arial" w:hAnsi="Arial"/>
                <w:sz w:val="18"/>
                <w:szCs w:val="18"/>
                <w:i w:val="1"/>
                <w:iCs w:val="1"/>
                <w:color w:val="auto"/>
              </w:rPr>
              <w:t>Benefit (provision) for income taxes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0"/>
        </w:trPr>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w w:val="90"/>
              </w:rPr>
              <w:t>Three months ended September 30,</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(2,249)</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2,249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30"/>
        </w:trPr>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2"/>
              </w:rPr>
              <w:t>Nine months ended September 30,</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(7,224)</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7,224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1"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The Company’s effective tax rate for the three months ended September 30, 2021 and 2020 was 0% and (30.69)%, respectively. For the three months ended September 30, 2021, the effective tax rate varied from the federal statutory rate of 21% primarily due to the change of the valuation allowance on federal, state, Taiwan, and China deferred tax assets ("DTA"). For the three months ended September 30, 2020, the effective tax rate varied from the federal statutory rate of 21% primarily due to the change of valuation allowance on the federal, state, and Taiwan deferred tax assets, and the recording of a valuation allowance on China deferred tax assets.</w:t>
      </w:r>
    </w:p>
    <w:p>
      <w:pPr>
        <w:spacing w:after="0" w:line="190"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The Company's effective tax rate for the nine months ended September 30, 2021 and 2020 was 0% and (19.15%), respectively. For the nine months ended September 30, 2021, the effective tax rate varied from the federal statutory rate of 21% primarily due to the benefit of the nontaxable PPP loan forgiveness, offset by the change of the valuation allowance on federal, state, Taiwan and China deferred tax assets. For the nine months ended September 30, 2020, the effective tax rate varied from the federal statutory rate of 21% primarily due to the change of the valuation allowance on the federal, and state deferred tax assets, and the recording of a valuation on Taiwan and China deferred tax assets.</w:t>
      </w:r>
    </w:p>
    <w:p>
      <w:pPr>
        <w:sectPr>
          <w:pgSz w:w="11900" w:h="16838" w:orient="portrait"/>
          <w:cols w:equalWidth="0" w:num="1">
            <w:col w:w="11240"/>
          </w:cols>
          <w:pgMar w:left="320" w:top="107" w:right="3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80" w:firstLine="645"/>
        <w:spacing w:after="0" w:line="262" w:lineRule="auto"/>
        <w:rPr>
          <w:sz w:val="20"/>
          <w:szCs w:val="20"/>
          <w:color w:val="auto"/>
        </w:rPr>
      </w:pPr>
      <w:r>
        <w:rPr>
          <w:rFonts w:ascii="Arial" w:cs="Arial" w:eastAsia="Arial" w:hAnsi="Arial"/>
          <w:sz w:val="18"/>
          <w:szCs w:val="18"/>
          <w:color w:val="auto"/>
        </w:rPr>
        <w:t>As of September 30, 2021, we had $4.9 million of unused borrowing capacity from all of our loan agreements. As of September 30, 2021, our cash, cash equivalents and restricted cash totaled $48.9 million. Cash and cash equivalents are held for working capital purposes and are invested primarily in money market or time deposit funds. We do not enter into investments for trading or speculative purposes.</w:t>
      </w:r>
    </w:p>
    <w:p>
      <w:pPr>
        <w:spacing w:after="0" w:line="182" w:lineRule="exact"/>
        <w:rPr>
          <w:sz w:val="20"/>
          <w:szCs w:val="20"/>
          <w:color w:val="auto"/>
        </w:rPr>
      </w:pPr>
    </w:p>
    <w:p>
      <w:pPr>
        <w:ind w:right="140" w:firstLine="690"/>
        <w:spacing w:after="0" w:line="262"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2" w:lineRule="exact"/>
        <w:rPr>
          <w:sz w:val="20"/>
          <w:szCs w:val="20"/>
          <w:color w:val="auto"/>
        </w:rPr>
      </w:pPr>
    </w:p>
    <w:p>
      <w:pPr>
        <w:ind w:right="180" w:firstLine="645"/>
        <w:spacing w:after="0" w:line="300" w:lineRule="auto"/>
        <w:rPr>
          <w:sz w:val="20"/>
          <w:szCs w:val="20"/>
          <w:color w:val="auto"/>
        </w:rPr>
      </w:pPr>
      <w:r>
        <w:rPr>
          <w:rFonts w:ascii="Arial" w:cs="Arial" w:eastAsia="Arial" w:hAnsi="Arial"/>
          <w:sz w:val="16"/>
          <w:szCs w:val="16"/>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55" w:lineRule="exact"/>
        <w:rPr>
          <w:sz w:val="20"/>
          <w:szCs w:val="20"/>
          <w:color w:val="auto"/>
        </w:rPr>
      </w:pPr>
    </w:p>
    <w:p>
      <w:pPr>
        <w:ind w:right="180" w:firstLine="645"/>
        <w:spacing w:after="0" w:line="267" w:lineRule="auto"/>
        <w:rPr>
          <w:sz w:val="20"/>
          <w:szCs w:val="20"/>
          <w:color w:val="auto"/>
        </w:rPr>
      </w:pPr>
      <w:r>
        <w:rPr>
          <w:rFonts w:ascii="Arial" w:cs="Arial" w:eastAsia="Arial" w:hAnsi="Arial"/>
          <w:sz w:val="17"/>
          <w:szCs w:val="17"/>
          <w:color w:val="auto"/>
        </w:rPr>
        <w:t>On February 26, 2021, we entered into another Equity Distribution Agreement (the “Agreement”) with the Sales Agent pursuant to which the Company may issue and sell shares of the Company’s common stock, par value $0.001 per share (the “Shares”) having an aggregate offering price of up to $35 million (the “Second ATM Offering”), respectively,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85" w:lineRule="exact"/>
        <w:rPr>
          <w:sz w:val="20"/>
          <w:szCs w:val="20"/>
          <w:color w:val="auto"/>
        </w:rPr>
      </w:pPr>
    </w:p>
    <w:p>
      <w:pPr>
        <w:ind w:right="120" w:firstLine="645"/>
        <w:spacing w:after="0" w:line="288"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9" w:lineRule="exact"/>
        <w:rPr>
          <w:sz w:val="20"/>
          <w:szCs w:val="20"/>
          <w:color w:val="auto"/>
        </w:rPr>
      </w:pPr>
    </w:p>
    <w:p>
      <w:pPr>
        <w:ind w:right="140" w:firstLine="645"/>
        <w:spacing w:after="0" w:line="305" w:lineRule="auto"/>
        <w:rPr>
          <w:sz w:val="20"/>
          <w:szCs w:val="20"/>
          <w:color w:val="auto"/>
        </w:rPr>
      </w:pPr>
      <w:r>
        <w:rPr>
          <w:rFonts w:ascii="Arial" w:cs="Arial" w:eastAsia="Arial" w:hAnsi="Arial"/>
          <w:sz w:val="17"/>
          <w:szCs w:val="17"/>
          <w:color w:val="auto"/>
        </w:rPr>
        <w:t>In March 2021, we commenced sales of common stock through the Second ATM Offering. The details of the shares of common stock sold through the Second ATM Offering through September 30, 2021 are as follows (in thousands, except shares and weighted average per share price):</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 Per</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to Distribution</w:t>
            </w:r>
          </w:p>
        </w:tc>
        <w:tc>
          <w:tcPr>
            <w:tcW w:w="0" w:type="dxa"/>
            <w:vAlign w:val="bottom"/>
          </w:tcPr>
          <w:p>
            <w:pPr>
              <w:spacing w:after="0"/>
              <w:rPr>
                <w:sz w:val="1"/>
                <w:szCs w:val="1"/>
                <w:color w:val="auto"/>
              </w:rPr>
            </w:pPr>
          </w:p>
        </w:tc>
      </w:tr>
      <w:tr>
        <w:trPr>
          <w:trHeight w:val="23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Distribution Agent</w:t>
            </w:r>
          </w:p>
        </w:tc>
        <w:tc>
          <w:tcPr>
            <w:tcW w:w="10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Share Price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Sold</w:t>
            </w:r>
          </w:p>
        </w:tc>
        <w:tc>
          <w:tcPr>
            <w:tcW w:w="1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Proceeds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Agent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March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9.0622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June 2021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9.1115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34,686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9.1061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right="340" w:firstLine="323"/>
        <w:spacing w:after="0" w:line="275" w:lineRule="auto"/>
        <w:rPr>
          <w:sz w:val="20"/>
          <w:szCs w:val="20"/>
          <w:color w:val="auto"/>
        </w:rPr>
      </w:pPr>
      <w:r>
        <w:rPr>
          <w:rFonts w:ascii="Arial" w:cs="Arial" w:eastAsia="Arial" w:hAnsi="Arial"/>
          <w:sz w:val="18"/>
          <w:szCs w:val="18"/>
          <w:color w:val="auto"/>
        </w:rPr>
        <w:t>As of September 30, 2021, the total gross sales were $1.0 million and thus remaining amount of common stock we have available to sell under the ATM Offering is $34.0 million.</w:t>
      </w:r>
    </w:p>
    <w:p>
      <w:pPr>
        <w:spacing w:after="0" w:line="171" w:lineRule="exact"/>
        <w:rPr>
          <w:sz w:val="20"/>
          <w:szCs w:val="20"/>
          <w:color w:val="auto"/>
        </w:rPr>
      </w:pPr>
    </w:p>
    <w:p>
      <w:pPr>
        <w:ind w:right="120" w:firstLine="645"/>
        <w:spacing w:after="0" w:line="310"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1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(11,383)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(29,905)</w:t>
            </w: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(7,909)</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(15,075)</w:t>
            </w: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18,975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(8,960)</w:t>
            </w: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ind w:right="200" w:firstLine="645"/>
        <w:spacing w:after="0" w:line="277" w:lineRule="auto"/>
        <w:rPr>
          <w:sz w:val="20"/>
          <w:szCs w:val="20"/>
          <w:color w:val="auto"/>
        </w:rPr>
      </w:pPr>
      <w:r>
        <w:rPr>
          <w:rFonts w:ascii="Arial" w:cs="Arial" w:eastAsia="Arial" w:hAnsi="Arial"/>
          <w:sz w:val="17"/>
          <w:szCs w:val="17"/>
          <w:color w:val="auto"/>
        </w:rPr>
        <w:t>For the nine months ended September 30, 2021, net cash used in operating activities was $11.4 million. Net cash used in operating activities consisted of our net loss of $39.6 million after exclusion of non-cash items of $33.0 million. Cash decreased due to an increase in accounts receivable and note receivables from our customers of $0.9 million and $8.1 million, respectively, a decrease in accrued liabilities of $2.4 million, a decrease in accounts payable to our vendors of $1.1 million, offset by a decrease in inventory of $13.6 million.</w:t>
      </w:r>
    </w:p>
    <w:p>
      <w:pPr>
        <w:spacing w:after="0" w:line="172" w:lineRule="exact"/>
        <w:rPr>
          <w:sz w:val="20"/>
          <w:szCs w:val="20"/>
          <w:color w:val="auto"/>
        </w:rPr>
      </w:pPr>
    </w:p>
    <w:p>
      <w:pPr>
        <w:ind w:right="60" w:firstLine="645"/>
        <w:spacing w:after="0" w:line="310" w:lineRule="auto"/>
        <w:rPr>
          <w:sz w:val="20"/>
          <w:szCs w:val="20"/>
          <w:color w:val="auto"/>
        </w:rPr>
      </w:pPr>
      <w:r>
        <w:rPr>
          <w:rFonts w:ascii="Arial" w:cs="Arial" w:eastAsia="Arial" w:hAnsi="Arial"/>
          <w:sz w:val="16"/>
          <w:szCs w:val="16"/>
          <w:color w:val="auto"/>
        </w:rPr>
        <w:t>For the nine months ended September 30, 2020, net cash used in operating activities was $29.9 million. Net cash used in operating activities consisted of our net loss of $45.0 million after exclusion of non-cash items of $39.2 million, cash decreased due to an increase in inventory of $27.3 million and accounts receivable from our customers of $16.8 million, offset by an increase in accounts payable to our vendors of $23.3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For the nine months ended September 30, 2021, net cash used in investing activities was $7.9 million, mainly from the purchase of additional plant, machinery and equipment.</w:t>
      </w:r>
    </w:p>
    <w:p>
      <w:pPr>
        <w:spacing w:after="0" w:line="171" w:lineRule="exact"/>
        <w:rPr>
          <w:sz w:val="20"/>
          <w:szCs w:val="20"/>
          <w:color w:val="auto"/>
        </w:rPr>
      </w:pPr>
    </w:p>
    <w:p>
      <w:pPr>
        <w:ind w:right="360" w:firstLine="645"/>
        <w:spacing w:after="0" w:line="275" w:lineRule="auto"/>
        <w:rPr>
          <w:sz w:val="20"/>
          <w:szCs w:val="20"/>
          <w:color w:val="auto"/>
        </w:rPr>
      </w:pPr>
      <w:r>
        <w:rPr>
          <w:rFonts w:ascii="Arial" w:cs="Arial" w:eastAsia="Arial" w:hAnsi="Arial"/>
          <w:sz w:val="18"/>
          <w:szCs w:val="18"/>
          <w:color w:val="auto"/>
        </w:rPr>
        <w:t>For the nine months ended September 30, 2020, net cash used in investing activities was $15.1 million, mainly from the purchase of additional plant, machinery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ind w:right="380" w:firstLine="645"/>
        <w:spacing w:after="0" w:line="262" w:lineRule="auto"/>
        <w:rPr>
          <w:sz w:val="20"/>
          <w:szCs w:val="20"/>
          <w:color w:val="auto"/>
        </w:rPr>
      </w:pPr>
      <w:r>
        <w:rPr>
          <w:rFonts w:ascii="Arial" w:cs="Arial" w:eastAsia="Arial" w:hAnsi="Arial"/>
          <w:sz w:val="18"/>
          <w:szCs w:val="18"/>
          <w:color w:val="auto"/>
        </w:rPr>
        <w:t>For the nine months ended September 30, 2021, our financing activities provided $19.0 million in cash. This increase in cash was due to $15.4 million of net proceeds from our At The Market (ATM) Offerings, $17.0 million proceeds from line of credit, offset by repayment of loan and bank acceptance of $3.3 million and $9.4 million, respectively.</w:t>
      </w:r>
    </w:p>
    <w:p>
      <w:pPr>
        <w:spacing w:after="0" w:line="182" w:lineRule="exact"/>
        <w:rPr>
          <w:sz w:val="20"/>
          <w:szCs w:val="20"/>
          <w:color w:val="auto"/>
        </w:rPr>
      </w:pPr>
    </w:p>
    <w:p>
      <w:pPr>
        <w:ind w:right="140" w:firstLine="645"/>
        <w:spacing w:after="0" w:line="262" w:lineRule="auto"/>
        <w:rPr>
          <w:sz w:val="20"/>
          <w:szCs w:val="20"/>
          <w:color w:val="auto"/>
        </w:rPr>
      </w:pPr>
      <w:r>
        <w:rPr>
          <w:rFonts w:ascii="Arial" w:cs="Arial" w:eastAsia="Arial" w:hAnsi="Arial"/>
          <w:sz w:val="18"/>
          <w:szCs w:val="18"/>
          <w:color w:val="auto"/>
        </w:rPr>
        <w:t>For the nine months ended September 30, 2020, our financing activities provided $37.0 million in cash. This increase in cash was due to $22.6 million of net proceeds from our At The Market (ATM) Offering, $6.2 million proceeds from PPP term loan, $6.3 million net proceeds from lines of credit and $6.7 million net proceeds from acceptances payable.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3" w:lineRule="exact"/>
        <w:rPr>
          <w:sz w:val="20"/>
          <w:szCs w:val="20"/>
          <w:color w:val="auto"/>
        </w:rPr>
      </w:pPr>
    </w:p>
    <w:p>
      <w:pPr>
        <w:ind w:right="100" w:firstLine="645"/>
        <w:spacing w:after="0" w:line="262"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with Truist Bank. The line of credit contains financial covenants that may limit the amount and types of debt that we may incur. As of September 30, 2021, we were in compliance with these covenants.</w:t>
      </w:r>
    </w:p>
    <w:p>
      <w:pPr>
        <w:spacing w:after="0" w:line="182" w:lineRule="exact"/>
        <w:rPr>
          <w:sz w:val="20"/>
          <w:szCs w:val="20"/>
          <w:color w:val="auto"/>
        </w:rPr>
      </w:pPr>
    </w:p>
    <w:p>
      <w:pPr>
        <w:ind w:right="60" w:firstLine="645"/>
        <w:spacing w:after="0" w:line="262" w:lineRule="auto"/>
        <w:rPr>
          <w:sz w:val="20"/>
          <w:szCs w:val="20"/>
          <w:color w:val="auto"/>
        </w:rPr>
      </w:pPr>
      <w:r>
        <w:rPr>
          <w:rFonts w:ascii="Arial" w:cs="Arial" w:eastAsia="Arial" w:hAnsi="Arial"/>
          <w:sz w:val="18"/>
          <w:szCs w:val="18"/>
          <w:color w:val="auto"/>
        </w:rPr>
        <w:t>In Taiwan, we have equipment finance agreements with Chailease Finance Co., Ltd. for Prime World’s Taiwan Branch. In China, we have revolving lines of credit with China Merchants Bank Co., Ltd. and Shanghai Pudong Development Bank Co., Ltd. and credit facilities with China Zheshang Bank Co., Ltd. for our China Subsidiary, Global.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we had $4.9 million of unused borrowing capacity.</w:t>
      </w:r>
    </w:p>
    <w:p>
      <w:pPr>
        <w:spacing w:after="0" w:line="223" w:lineRule="exact"/>
        <w:rPr>
          <w:sz w:val="20"/>
          <w:szCs w:val="20"/>
          <w:color w:val="auto"/>
        </w:rPr>
      </w:pPr>
    </w:p>
    <w:p>
      <w:pPr>
        <w:ind w:right="400" w:firstLine="645"/>
        <w:spacing w:after="0" w:line="275" w:lineRule="auto"/>
        <w:rPr>
          <w:sz w:val="20"/>
          <w:szCs w:val="20"/>
          <w:color w:val="auto"/>
        </w:rPr>
      </w:pPr>
      <w:r>
        <w:rPr>
          <w:rFonts w:ascii="Arial" w:cs="Arial" w:eastAsia="Arial" w:hAnsi="Arial"/>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71" w:lineRule="exact"/>
        <w:rPr>
          <w:sz w:val="20"/>
          <w:szCs w:val="20"/>
          <w:color w:val="auto"/>
        </w:rPr>
      </w:pPr>
    </w:p>
    <w:p>
      <w:pPr>
        <w:ind w:right="180" w:firstLine="645"/>
        <w:spacing w:after="0" w:line="275"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8, 2018, we entered into a construction contract with Zhejiang Xinyu Construction Group Co., Ltd. for the construction of a new</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factory and other facilities at our Ningbo, China location. Construction costs for these facilities under this contract are estimated to total approximately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$27.5 million. As of September 30, 2021, construction of the building is complete, and approximately $27.4 million of this total cost has been paid and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remaining portion will be paid in yearly installments for three years after final inspection. We anticipate additional expenses for building improvements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factory and we are in the process of evaluating the timing of these expenditures and obtaining bids for any such work. Based on forecasts, we believe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factory will be placed in service in first half of 2022, property will be transferred from construction in progress to building and improvement at that time.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3" w:lineRule="exact"/>
        <w:rPr>
          <w:sz w:val="20"/>
          <w:szCs w:val="20"/>
          <w:color w:val="auto"/>
        </w:rPr>
      </w:pPr>
    </w:p>
    <w:p>
      <w:pPr>
        <w:ind w:right="60" w:firstLine="645"/>
        <w:spacing w:after="0" w:line="253" w:lineRule="auto"/>
        <w:rPr>
          <w:sz w:val="20"/>
          <w:szCs w:val="20"/>
          <w:color w:val="auto"/>
        </w:rPr>
      </w:pPr>
      <w:r>
        <w:rPr>
          <w:rFonts w:ascii="Arial" w:cs="Arial" w:eastAsia="Arial" w:hAnsi="Arial"/>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2021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88"/>
              </w:rPr>
              <w:t>Less than 1</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0"/>
              <w:spacing w:after="0" w:line="190"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3"/>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1-3 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3-5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08"/>
        </w:trPr>
        <w:tc>
          <w:tcPr>
            <w:tcW w:w="362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Notes payable and long-term debt</w:t>
            </w:r>
            <w:r>
              <w:rPr>
                <w:rFonts w:ascii="Arial" w:cs="Arial" w:eastAsia="Arial" w:hAnsi="Arial"/>
                <w:sz w:val="24"/>
                <w:szCs w:val="24"/>
                <w:color w:val="auto"/>
                <w:vertAlign w:val="superscript"/>
              </w:rPr>
              <w:t>(1)</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gridSpan w:val="2"/>
          </w:tcPr>
          <w:p>
            <w:pPr>
              <w:spacing w:after="0" w:line="214" w:lineRule="exact"/>
              <w:rPr>
                <w:sz w:val="20"/>
                <w:szCs w:val="20"/>
                <w:color w:val="auto"/>
              </w:rPr>
            </w:pPr>
            <w:r>
              <w:rPr>
                <w:rFonts w:ascii="Arial" w:cs="Arial" w:eastAsia="Arial" w:hAnsi="Arial"/>
                <w:sz w:val="15"/>
                <w:szCs w:val="15"/>
                <w:color w:val="auto"/>
              </w:rPr>
              <w:t>Convertible senior notes</w:t>
            </w:r>
            <w:r>
              <w:rPr>
                <w:rFonts w:ascii="Arial" w:cs="Arial" w:eastAsia="Arial" w:hAnsi="Arial"/>
                <w:sz w:val="24"/>
                <w:szCs w:val="24"/>
                <w:color w:val="auto"/>
                <w:vertAlign w:val="superscript"/>
              </w:rPr>
              <w:t>(2)</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86,236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gridSpan w:val="2"/>
            <w:shd w:val="clear" w:color="auto" w:fill="CCEEFF"/>
          </w:tcPr>
          <w:p>
            <w:pPr>
              <w:spacing w:after="0" w:line="214" w:lineRule="exact"/>
              <w:rPr>
                <w:sz w:val="20"/>
                <w:szCs w:val="20"/>
                <w:color w:val="auto"/>
              </w:rPr>
            </w:pPr>
            <w:r>
              <w:rPr>
                <w:rFonts w:ascii="Arial" w:cs="Arial" w:eastAsia="Arial" w:hAnsi="Arial"/>
                <w:sz w:val="15"/>
                <w:szCs w:val="15"/>
                <w:color w:val="auto"/>
              </w:rPr>
              <w:t>Operating leases</w:t>
            </w:r>
            <w:r>
              <w:rPr>
                <w:rFonts w:ascii="Arial" w:cs="Arial" w:eastAsia="Arial" w:hAnsi="Arial"/>
                <w:sz w:val="24"/>
                <w:szCs w:val="24"/>
                <w:color w:val="auto"/>
                <w:vertAlign w:val="superscript"/>
              </w:rPr>
              <w:t>(3)</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8"/>
                <w:szCs w:val="18"/>
                <w:color w:val="auto"/>
              </w:rPr>
            </w:pPr>
          </w:p>
        </w:tc>
      </w:tr>
      <w:tr>
        <w:trPr>
          <w:trHeight w:val="215"/>
        </w:trPr>
        <w:tc>
          <w:tcPr>
            <w:tcW w:w="3620" w:type="dxa"/>
            <w:vAlign w:val="bottom"/>
            <w:gridSpan w:val="2"/>
          </w:tcPr>
          <w:p>
            <w:pPr>
              <w:spacing w:after="0" w:line="214" w:lineRule="exact"/>
              <w:rPr>
                <w:sz w:val="20"/>
                <w:szCs w:val="20"/>
                <w:color w:val="auto"/>
              </w:rPr>
            </w:pPr>
            <w:r>
              <w:rPr>
                <w:rFonts w:ascii="Arial" w:cs="Arial" w:eastAsia="Arial" w:hAnsi="Arial"/>
                <w:sz w:val="15"/>
                <w:szCs w:val="15"/>
                <w:color w:val="auto"/>
              </w:rPr>
              <w:t>Financing leases</w:t>
            </w:r>
            <w:r>
              <w:rPr>
                <w:rFonts w:ascii="Arial" w:cs="Arial" w:eastAsia="Arial" w:hAnsi="Arial"/>
                <w:sz w:val="24"/>
                <w:szCs w:val="24"/>
                <w:color w:val="auto"/>
                <w:vertAlign w:val="superscript"/>
              </w:rPr>
              <w:t>(3)</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8"/>
                <w:szCs w:val="18"/>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39" w:lineRule="exact"/>
        <w:rPr>
          <w:sz w:val="20"/>
          <w:szCs w:val="20"/>
          <w:color w:val="auto"/>
        </w:rPr>
      </w:pPr>
    </w:p>
    <w:p>
      <w:pPr>
        <w:ind w:left="660" w:right="260" w:hanging="330"/>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 in Taiwan and in the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0" w:lineRule="exact"/>
        <w:rPr>
          <w:sz w:val="20"/>
          <w:szCs w:val="20"/>
          <w:color w:val="auto"/>
        </w:rPr>
      </w:pPr>
    </w:p>
    <w:p>
      <w:pPr>
        <w:spacing w:after="0" w:line="242" w:lineRule="exact"/>
        <w:rPr>
          <w:sz w:val="20"/>
          <w:szCs w:val="20"/>
          <w:color w:val="auto"/>
        </w:rPr>
      </w:pPr>
    </w:p>
    <w:p>
      <w:pPr>
        <w:ind w:right="40" w:firstLine="645"/>
        <w:spacing w:after="0" w:line="295"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net sales and revenues or on income from continuing operations or on the prices of raw materials. However, recently we have begun to see increases in shipping costs and in costs of some raw materials. We currently believe these increases are related to the COVID-19 pandemic ( please refer to our discussion on COVID-19 in the MD&amp;A section of this document), however we cannot be sure when or if prices will return to pre-pandemic levels. In addition, to the extent we expand our operations in China and Taiwan, such actions may result in inflation having a more significant impact on our operating results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nine months ended September 30, 2021, we did not, and do not currently, have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ind w:right="80" w:firstLine="645"/>
        <w:spacing w:after="0" w:line="269" w:lineRule="auto"/>
        <w:rPr>
          <w:sz w:val="20"/>
          <w:szCs w:val="20"/>
          <w:color w:val="auto"/>
        </w:rPr>
      </w:pPr>
      <w:r>
        <w:rPr>
          <w:rFonts w:ascii="Arial" w:cs="Arial" w:eastAsia="Arial" w:hAnsi="Arial"/>
          <w:sz w:val="17"/>
          <w:szCs w:val="17"/>
          <w:color w:val="auto"/>
        </w:rPr>
        <w:t>In our Annual Report for the year ended December 31, 2020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ind w:right="20" w:firstLine="645"/>
        <w:spacing w:after="0" w:line="262"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2020. We do not believe the Company’s exposure to market risk has changed materially since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1" w:lineRule="exact"/>
        <w:rPr>
          <w:sz w:val="20"/>
          <w:szCs w:val="20"/>
          <w:color w:val="auto"/>
        </w:rPr>
      </w:pPr>
    </w:p>
    <w:p>
      <w:pPr>
        <w:jc w:val="both"/>
        <w:ind w:right="160" w:firstLine="6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2021. Based upon that evaluation, our Chief Executive Officer and Chief Financial Officer concluded that, as of the end of the period covered by this report, our disclosure controls and procedures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ind w:right="40" w:firstLine="645"/>
        <w:spacing w:after="0" w:line="310"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Information with respect to legal proceedings can be found under the heading "Contingencies" in Note 18 to the Condensed Consolidated Financial Statements contained in Part 1, Item 1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140" w:firstLine="645"/>
        <w:spacing w:after="0" w:line="262" w:lineRule="auto"/>
        <w:rPr>
          <w:sz w:val="20"/>
          <w:szCs w:val="20"/>
          <w:color w:val="auto"/>
        </w:rPr>
      </w:pPr>
      <w:r>
        <w:rPr>
          <w:rFonts w:ascii="Arial" w:cs="Arial" w:eastAsia="Arial" w:hAnsi="Arial"/>
          <w:sz w:val="18"/>
          <w:szCs w:val="18"/>
          <w:color w:val="auto"/>
        </w:rPr>
        <w:t>Investing in our common stock involves a high degree of risk. See Part I, Item 1A, Risk Factors, of our Annual Report on Form 10-K for the year ended December 31, 2020 for a detailed discussion of the risk factors affecting our Company. As of September 30, 2021, there have been no material changes to those risk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gridSpan w:val="10"/>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645"/>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4"/>
                <w:szCs w:val="24"/>
                <w:color w:val="auto"/>
              </w:rPr>
            </w:pPr>
          </w:p>
        </w:tc>
        <w:tc>
          <w:tcPr>
            <w:tcW w:w="958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200" w:type="dxa"/>
            <w:vAlign w:val="bottom"/>
          </w:tcPr>
          <w:p>
            <w:pPr>
              <w:spacing w:after="0" w:line="168"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9580" w:type="dxa"/>
            <w:vAlign w:val="bottom"/>
            <w:gridSpan w:val="14"/>
          </w:tcPr>
          <w:p>
            <w:pPr>
              <w:spacing w:after="0" w:line="168"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Amended and Restated Certificate of Incorporation, as currently in effect (filed as Exhibit 3.1 to the Registrant’s Quarterly Report on</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36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Form 10-Q filed with the Securities and Exchange Commission on November 14, 2013).</w:t>
              </w:r>
            </w:hyperlink>
          </w:p>
        </w:tc>
        <w:tc>
          <w:tcPr>
            <w:tcW w:w="318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340" w:type="dxa"/>
            <w:vAlign w:val="bottom"/>
            <w:tcBorders>
              <w:bottom w:val="single" w:sz="8" w:color="0000EE"/>
            </w:tcBorders>
            <w:gridSpan w:val="9"/>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240" w:type="dxa"/>
            <w:vAlign w:val="bottom"/>
            <w:gridSpan w:val="5"/>
          </w:tcPr>
          <w:p>
            <w:pPr>
              <w:spacing w:after="0"/>
              <w:rPr>
                <w:sz w:val="24"/>
                <w:szCs w:val="24"/>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4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with the Securities and Exchange Commission on November 14, 2013).</w:t>
              </w:r>
            </w:hyperlink>
          </w:p>
        </w:tc>
        <w:tc>
          <w:tcPr>
            <w:tcW w:w="4440" w:type="dxa"/>
            <w:vAlign w:val="bottom"/>
            <w:gridSpan w:val="9"/>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w w:val="98"/>
              </w:rPr>
            </w:pPr>
            <w:hyperlink r:id="rId40">
              <w:r>
                <w:rPr>
                  <w:rFonts w:ascii="Arial" w:cs="Arial" w:eastAsia="Arial" w:hAnsi="Arial"/>
                  <w:sz w:val="18"/>
                  <w:szCs w:val="18"/>
                  <w:color w:val="0000EE"/>
                  <w:w w:val="98"/>
                </w:rPr>
                <w:t>Common Stock Specimen (filed as Exhibit 4.1 to the Registrant’s Current Report on Form 8-K filed with the Securities and</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Exchange Commission on July 15, 2015).</w:t>
              </w:r>
            </w:hyperlink>
          </w:p>
        </w:tc>
        <w:tc>
          <w:tcPr>
            <w:tcW w:w="5840" w:type="dxa"/>
            <w:vAlign w:val="bottom"/>
            <w:tcBorders>
              <w:top w:val="single" w:sz="8" w:color="0000EE"/>
            </w:tcBorders>
            <w:gridSpan w:val="4"/>
          </w:tcPr>
          <w:p>
            <w:pPr>
              <w:spacing w:after="0"/>
              <w:rPr>
                <w:sz w:val="16"/>
                <w:szCs w:val="16"/>
                <w:color w:val="auto"/>
              </w:rPr>
            </w:pPr>
          </w:p>
        </w:tc>
        <w:tc>
          <w:tcPr>
            <w:tcW w:w="740" w:type="dxa"/>
            <w:vAlign w:val="bottom"/>
            <w:gridSpan w:val="7"/>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Indenture, dated as of March 5, 2019 between Applied Optoelectronics, Inc. and Wells Fargo Bank, National Association, as trustee,</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14"/>
          </w:tcPr>
          <w:p>
            <w:pPr>
              <w:spacing w:after="0" w:line="195"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paying agent, and conversion agent (filed as Exhibit 4.1 to the Registrant’s Current Report on Form 8-K filed with the Securities and</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8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Exchange Commission on March 5, 2019).</w:t>
              </w:r>
            </w:hyperlink>
          </w:p>
        </w:tc>
        <w:tc>
          <w:tcPr>
            <w:tcW w:w="6420" w:type="dxa"/>
            <w:vAlign w:val="bottom"/>
            <w:tcBorders>
              <w:top w:val="single" w:sz="8" w:color="0000EE"/>
            </w:tcBorders>
            <w:gridSpan w:val="7"/>
          </w:tcPr>
          <w:p>
            <w:pPr>
              <w:spacing w:after="0"/>
              <w:rPr>
                <w:sz w:val="16"/>
                <w:szCs w:val="16"/>
                <w:color w:val="auto"/>
              </w:rPr>
            </w:pPr>
          </w:p>
        </w:tc>
        <w:tc>
          <w:tcPr>
            <w:tcW w:w="80" w:type="dxa"/>
            <w:vAlign w:val="bottom"/>
            <w:gridSpan w:val="3"/>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9520" w:type="dxa"/>
            <w:vAlign w:val="bottom"/>
            <w:tcBorders>
              <w:bottom w:val="single" w:sz="8" w:color="0000EE"/>
            </w:tcBorders>
            <w:gridSpan w:val="12"/>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Form of Note representing the Company’s 5.00% Convertible Senior Notes due 2024 (included as Exhibit A to the Indenture filed as</w:t>
              </w:r>
            </w:hyperlink>
          </w:p>
        </w:tc>
        <w:tc>
          <w:tcPr>
            <w:tcW w:w="60" w:type="dxa"/>
            <w:vAlign w:val="bottom"/>
            <w:gridSpan w:val="2"/>
          </w:tcPr>
          <w:p>
            <w:pPr>
              <w:spacing w:after="0"/>
              <w:rPr>
                <w:sz w:val="24"/>
                <w:szCs w:val="24"/>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14"/>
          </w:tcPr>
          <w:p>
            <w:pPr>
              <w:spacing w:after="0" w:line="195"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Exhibit 4.1 to the Registrant’s Current Report on Form 8-K filed with the Securities and Exchange Commission on March 5, 2019).</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7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5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Chief Executive Officer pursuant to Exchange Act Rule, 13a-14(a) and 15d-14(a), as adopted pursuant to Section 302</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14"/>
          </w:tcPr>
          <w:p>
            <w:pPr>
              <w:spacing w:after="0" w:line="195" w:lineRule="exact"/>
              <w:rPr>
                <w:rFonts w:ascii="Arial" w:cs="Arial" w:eastAsia="Arial" w:hAnsi="Arial"/>
                <w:sz w:val="18"/>
                <w:szCs w:val="18"/>
                <w:color w:val="0000EE"/>
              </w:rPr>
            </w:pPr>
            <w:hyperlink w:anchor="page36">
              <w:r>
                <w:rPr>
                  <w:rFonts w:ascii="Arial" w:cs="Arial" w:eastAsia="Arial" w:hAnsi="Arial"/>
                  <w:sz w:val="18"/>
                  <w:szCs w:val="18"/>
                  <w:color w:val="0000EE"/>
                </w:rPr>
                <w:t>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Certification of Chief Financial Officer pursuant to Exchange Act Rule, 13a-14(a) and 15d-14(a), as adopted pursuant to Section 302</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2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37">
              <w:r>
                <w:rPr>
                  <w:rFonts w:ascii="Arial" w:cs="Arial" w:eastAsia="Arial" w:hAnsi="Arial"/>
                  <w:sz w:val="18"/>
                  <w:szCs w:val="18"/>
                  <w:color w:val="0000EE"/>
                </w:rPr>
                <w:t>of the Sarbanes-Oxley Act of 2002.</w:t>
              </w:r>
            </w:hyperlink>
          </w:p>
        </w:tc>
        <w:tc>
          <w:tcPr>
            <w:tcW w:w="60" w:type="dxa"/>
            <w:vAlign w:val="bottom"/>
            <w:gridSpan w:val="2"/>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Certification pursuant to 18 U.S.C. 1350, adopted pursuant to Section 906 of the Sarbanes-Oxley Act of 2002, by Chief Executive</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2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38">
              <w:r>
                <w:rPr>
                  <w:rFonts w:ascii="Arial" w:cs="Arial" w:eastAsia="Arial" w:hAnsi="Arial"/>
                  <w:sz w:val="18"/>
                  <w:szCs w:val="18"/>
                  <w:color w:val="0000EE"/>
                </w:rPr>
                <w:t>Officer and Chief Financial Officer.</w:t>
              </w:r>
            </w:hyperlink>
          </w:p>
        </w:tc>
        <w:tc>
          <w:tcPr>
            <w:tcW w:w="260" w:type="dxa"/>
            <w:vAlign w:val="bottom"/>
            <w:gridSpan w:val="6"/>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r>
      <w:tr>
        <w:trPr>
          <w:trHeight w:val="436"/>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w w:val="93"/>
              </w:rPr>
              <w:t>Inline XBRL Instance – the instance document does not appear in the Interactive Data File because its XBRL tags are embedded</w:t>
            </w:r>
          </w:p>
        </w:tc>
      </w:tr>
      <w:tr>
        <w:trPr>
          <w:trHeight w:val="230"/>
        </w:trPr>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69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86" w:lineRule="exact"/>
        <w:rPr>
          <w:sz w:val="20"/>
          <w:szCs w:val="20"/>
          <w:color w:val="auto"/>
        </w:rPr>
      </w:pPr>
    </w:p>
    <w:p>
      <w:pPr>
        <w:ind w:right="6720" w:firstLine="7"/>
        <w:spacing w:after="0" w:line="257" w:lineRule="auto"/>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compensatory plan or arrangement.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APPLIED OPTOELECTRONICS, INC.</w:t>
            </w:r>
          </w:p>
        </w:tc>
      </w:tr>
      <w:tr>
        <w:trPr>
          <w:trHeight w:val="430"/>
        </w:trPr>
        <w:tc>
          <w:tcPr>
            <w:tcW w:w="3700" w:type="dxa"/>
            <w:vAlign w:val="bottom"/>
          </w:tcPr>
          <w:p>
            <w:pPr>
              <w:spacing w:after="0"/>
              <w:rPr>
                <w:sz w:val="20"/>
                <w:szCs w:val="20"/>
                <w:color w:val="auto"/>
              </w:rPr>
            </w:pPr>
            <w:r>
              <w:rPr>
                <w:rFonts w:ascii="Arial" w:cs="Arial" w:eastAsia="Arial" w:hAnsi="Arial"/>
                <w:sz w:val="18"/>
                <w:szCs w:val="18"/>
                <w:color w:val="auto"/>
              </w:rPr>
              <w:t>Date: November 4, 2021</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STEFAN J. MURRY</w:t>
            </w:r>
          </w:p>
        </w:tc>
      </w:tr>
      <w:tr>
        <w:trPr>
          <w:trHeight w:val="194"/>
        </w:trPr>
        <w:tc>
          <w:tcPr>
            <w:tcW w:w="37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5"/>
        </w:trPr>
        <w:tc>
          <w:tcPr>
            <w:tcW w:w="3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3" w:lineRule="exact"/>
        <w:rPr>
          <w:sz w:val="20"/>
          <w:szCs w:val="20"/>
          <w:color w:val="auto"/>
        </w:rPr>
      </w:pPr>
    </w:p>
    <w:p>
      <w:pPr>
        <w:ind w:left="660" w:hanging="65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2" w:lineRule="exact"/>
        <w:rPr>
          <w:rFonts w:ascii="Arial" w:cs="Arial" w:eastAsia="Arial" w:hAnsi="Arial"/>
          <w:sz w:val="18"/>
          <w:szCs w:val="18"/>
          <w:color w:val="auto"/>
        </w:rPr>
      </w:pPr>
    </w:p>
    <w:p>
      <w:pPr>
        <w:jc w:val="both"/>
        <w:ind w:left="660" w:right="120" w:hanging="653"/>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00" w:hanging="653"/>
        <w:spacing w:after="0" w:line="30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8" w:lineRule="exact"/>
        <w:rPr>
          <w:rFonts w:ascii="Arial" w:cs="Arial" w:eastAsia="Arial" w:hAnsi="Arial"/>
          <w:sz w:val="17"/>
          <w:szCs w:val="17"/>
          <w:color w:val="auto"/>
        </w:rPr>
      </w:pPr>
    </w:p>
    <w:p>
      <w:pPr>
        <w:ind w:left="660" w:right="120" w:hanging="653"/>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140" w:hanging="648"/>
        <w:spacing w:after="0" w:line="26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60" w:hanging="648"/>
        <w:spacing w:after="0" w:line="26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20" w:hanging="648"/>
        <w:spacing w:after="0" w:line="339"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1300" w:right="220" w:hanging="648"/>
        <w:spacing w:after="0" w:line="26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20" w:hanging="653"/>
        <w:spacing w:after="0" w:line="30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1300" w:right="460" w:hanging="648"/>
        <w:spacing w:after="0" w:line="339"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300" w:right="160" w:hanging="648"/>
        <w:spacing w:after="0" w:line="27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3566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121"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3" w:lineRule="exact"/>
        <w:rPr>
          <w:sz w:val="20"/>
          <w:szCs w:val="20"/>
          <w:color w:val="auto"/>
        </w:rPr>
      </w:pPr>
    </w:p>
    <w:p>
      <w:pPr>
        <w:ind w:left="660" w:hanging="65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2" w:lineRule="exact"/>
        <w:rPr>
          <w:rFonts w:ascii="Arial" w:cs="Arial" w:eastAsia="Arial" w:hAnsi="Arial"/>
          <w:sz w:val="18"/>
          <w:szCs w:val="18"/>
          <w:color w:val="auto"/>
        </w:rPr>
      </w:pPr>
    </w:p>
    <w:p>
      <w:pPr>
        <w:jc w:val="both"/>
        <w:ind w:left="660" w:right="120" w:hanging="653"/>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00" w:hanging="653"/>
        <w:spacing w:after="0" w:line="30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8" w:lineRule="exact"/>
        <w:rPr>
          <w:rFonts w:ascii="Arial" w:cs="Arial" w:eastAsia="Arial" w:hAnsi="Arial"/>
          <w:sz w:val="17"/>
          <w:szCs w:val="17"/>
          <w:color w:val="auto"/>
        </w:rPr>
      </w:pPr>
    </w:p>
    <w:p>
      <w:pPr>
        <w:ind w:left="660" w:right="120" w:hanging="653"/>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140" w:hanging="648"/>
        <w:spacing w:after="0" w:line="26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60" w:hanging="648"/>
        <w:spacing w:after="0" w:line="26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20" w:hanging="648"/>
        <w:spacing w:after="0" w:line="339"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1300" w:right="220" w:hanging="648"/>
        <w:spacing w:after="0" w:line="26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20" w:hanging="653"/>
        <w:spacing w:after="0" w:line="30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1300" w:right="460" w:hanging="648"/>
        <w:spacing w:after="0" w:line="339"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300" w:right="160" w:hanging="648"/>
        <w:spacing w:after="0" w:line="27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35667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21" w:right="379" w:bottom="1440" w:gutter="0" w:footer="0" w:header="0"/>
        </w:sectPr>
      </w:pPr>
    </w:p>
    <w:bookmarkStart w:id="37" w:name="page38"/>
    <w:bookmarkEnd w:id="37"/>
    <w:p>
      <w:pPr>
        <w:ind w:left="10280"/>
        <w:spacing w:after="0"/>
        <w:rPr>
          <w:sz w:val="20"/>
          <w:szCs w:val="20"/>
          <w:color w:val="auto"/>
        </w:rPr>
      </w:pPr>
      <w:r>
        <w:rPr>
          <w:rFonts w:ascii="Arial" w:cs="Arial" w:eastAsia="Arial" w:hAnsi="Arial"/>
          <w:sz w:val="17"/>
          <w:szCs w:val="17"/>
          <w:b w:val="1"/>
          <w:bCs w:val="1"/>
          <w:color w:val="auto"/>
        </w:rPr>
        <w:t>Exhibit 32.1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ind w:right="180" w:firstLine="645"/>
        <w:spacing w:after="0" w:line="25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5" w:lineRule="exact"/>
        <w:rPr>
          <w:sz w:val="20"/>
          <w:szCs w:val="20"/>
          <w:color w:val="auto"/>
        </w:rPr>
      </w:pPr>
    </w:p>
    <w:p>
      <w:pPr>
        <w:ind w:left="660" w:hanging="330"/>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4th day of November 2021.</w:t>
      </w:r>
    </w:p>
    <w:p>
      <w:pPr>
        <w:sectPr>
          <w:pgSz w:w="11900" w:h="16838" w:orient="portrait"/>
          <w:cols w:equalWidth="0" w:num="1">
            <w:col w:w="11240"/>
          </w:cols>
          <w:pgMar w:left="320" w:top="121"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2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3455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45567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8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38" Type="http://schemas.openxmlformats.org/officeDocument/2006/relationships/hyperlink" Target="http://www.sec.gov/Archives/edgar/data/1158114/000101968713004306/aaoi_10q-ex0301.htm" TargetMode="External"/><Relationship Id="rId39" Type="http://schemas.openxmlformats.org/officeDocument/2006/relationships/hyperlink" Target="http://www.sec.gov/Archives/edgar/data/1158114/000101968713004306/aaoi_10q-ex0302.htm" TargetMode="External"/><Relationship Id="rId40" Type="http://schemas.openxmlformats.org/officeDocument/2006/relationships/hyperlink" Target="http://www.sec.gov/Archives/edgar/data/1158114/000110465915051289/a15-15715_1ex4d1.htm" TargetMode="External"/><Relationship Id="rId41" Type="http://schemas.openxmlformats.org/officeDocument/2006/relationships/hyperlink" Target="http://www.sec.gov/Archives/edgar/data/1158114/000110465919012900/a19-4821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2021-11-04T16:23:49Z</dcterms:created>
  <dcterms:modified xsi:type="dcterms:W3CDTF">2021-11-04T16:23:49Z</dcterms:modified>
</cp:coreProperties>
</file>