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12, 2026</w:t>
      </w: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Applied Optoelectronics,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556"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001-36083</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76-0533927</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(IRS Employer Identification</w:t>
      </w:r>
    </w:p>
    <w:p>
      <w:pPr>
        <w:spacing w:after="0" w:line="9"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0" w:lineRule="exact"/>
        <w:rPr>
          <w:sz w:val="24"/>
          <w:szCs w:val="24"/>
          <w:color w:val="auto"/>
        </w:rPr>
      </w:pPr>
    </w:p>
    <w:p>
      <w:pPr>
        <w:sectPr>
          <w:pgSz w:w="11900" w:h="16838" w:orient="portrait"/>
          <w:cols w:equalWidth="0" w:num="3">
            <w:col w:w="3860" w:space="720"/>
            <w:col w:w="2940" w:space="720"/>
            <w:col w:w="3000"/>
          </w:cols>
          <w:pgMar w:left="320" w:top="556"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13139 Jess Pirtle Blvd.</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Sugar Land, Texas</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77478</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55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(281) 295-1800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Name of each exchange on which</w:t>
            </w:r>
          </w:p>
        </w:tc>
      </w:tr>
      <w:tr>
        <w:trPr>
          <w:trHeight w:val="238"/>
        </w:trPr>
        <w:tc>
          <w:tcPr>
            <w:tcW w:w="3960" w:type="dxa"/>
            <w:vAlign w:val="bottom"/>
            <w:tcBorders>
              <w:left w:val="single" w:sz="8" w:color="auto"/>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09"/>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AAOI</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March 12, 2026, Applied Optoelectronics, Inc. (the “Company”) entered into Amendment No. 1 to the Equity Distribution Agreement (the “Amendment”) with Raymond James &amp; Associates, Inc. and Needham &amp; Company, LLC (collectively, the “Sales Agents”), amending the Equity Distribution Agreement dated as of February 26, 2026 among the Company and the Sales Agents (the “Original Agreement” and, together with the Amendment, the “Agreement”). Pursuant to the Agreement, the Company may issue and sell shares of the Company’s common stock, par value $0.001 per share (the “Shares”) having an aggregate offering price of up to $500 million from time to time through the Sales Agents. The Original Agreement was amended to increase the total amount of Shares that the Company may offer and sell under the Agreement from $250,000,000 to $500,000,000 (which amount includes what we have already sold pursuant to the Agreement prior to the date of the Amendment). As of March 12, 2026, the Company has sold 2,476,307 shares of the Company’s common stock with an aggregate offering price of approximately $249,999,983, and the Company may offer and sell an additional aggregate offering price of approximately $250,000,017 following the Amendment.</w:t>
      </w:r>
    </w:p>
    <w:p>
      <w:pPr>
        <w:spacing w:after="0" w:line="18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Upon delivery of a placement notice and subject to the terms and conditions of the Agreement, sales, if any, of the Shares will be made through the Sales Agents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Agents. In the placement notice, the Company will designate the maximum number of Shares to be sold through the Sales Agents, the time period during which sales are requested to be made, the minimum price for the Shares to be sold, and any limitation on the number of Shares that may be sold in any one day. Subject to the terms and conditions of the Agreement, the Sales Agents will use their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Agreement provides that the Sales Agents will be entitled to compensation of 2% of the gross sales price of the Shares sold through the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Agents from time to time. The Company has also agreed to reimburse the Sales Agents for certain specified expenses in connection with the registration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under state blue sky laws and any filing with, and clearance of the offering by, the Financial Industry Regulatory Authority Inc., not to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 in the aggregate, and any associated application fees incurred. Additionally, if the Agreement is terminated under certain circumstances,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fails to sell a minimum amount of the Shares as set forth in the Agreement, then the Company has agreed to reimburse the Sales Agents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out-of-pocket expenses, including the reasonable fees and disbursements of counsel incurred by the Sales Agents, up to a maximum of $30,000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aggregate. The Company agreed to indemnify the Sales Agents against certain liabilities, including liabilities under the Securities Act, 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contribute to payments that the Sales Agents may be required to make because of any of those liabilities.</w:t>
      </w:r>
    </w:p>
    <w:p>
      <w:pPr>
        <w:spacing w:after="0" w:line="207"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offering pursuant to the Agreement will terminate upon the sale of all Shares subject to the Agreement. The Agreement may also be terminated by the Company or by the Sales Agents at any time.</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Shares to be issued and sold have been registered under the Securities Act, pursuant to the Company’s automatic shelf registration statement on Form S-3ASR (Registration No. 333-283905), including the prospectus contained therein, as supplemented by the prospectus supplement filed with the Securities and Exchange Commission (the “SEC”) pursuant to Rule 424(b) under the Securities Act on February 26, 2026 and the amendment to the prospectus supplement dated March 12, 2026.</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complete text of the Original Agreement, which was filed as Exhibit 1.1 to the Current Report on Form 8-K filed on February 26, 2026 and incorporated herein by reference, and the Amendment, which is filed as Exhibit 1.1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32"/>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1</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20" w:type="dxa"/>
            <w:vAlign w:val="bottom"/>
            <w:tcBorders>
              <w:top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EE"/>
              </w:rPr>
              <w:t>Amendment No. 1 to Equity Distribution Agreement, dated March 12, 2026, among Applied Optoelectronics, Inc., Raymond James &amp;</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Associates, Inc., and Needham &amp; Company, LLC.</w:t>
            </w:r>
          </w:p>
        </w:tc>
        <w:tc>
          <w:tcPr>
            <w:tcW w:w="6060" w:type="dxa"/>
            <w:vAlign w:val="bottom"/>
            <w:tcBorders>
              <w:top w:val="single" w:sz="8" w:color="0000EE"/>
            </w:tcBorders>
            <w:gridSpan w:val="2"/>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Opinion of Haynes and Boone, LLP.</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r>
      <w:tr>
        <w:trPr>
          <w:trHeight w:val="41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102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Consent of Haynes and Boone, LLP (included in Exhibit 5.1).</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gridSpan w:val="3"/>
            <w:shd w:val="clear" w:color="auto" w:fill="0000EE"/>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r>
      <w:tr>
        <w:trPr>
          <w:trHeight w:val="453"/>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File (the cover page tags are embedded within the Inline XBRL document).</w:t>
            </w:r>
          </w:p>
        </w:tc>
      </w:tr>
      <w:tr>
        <w:trPr>
          <w:trHeight w:val="648"/>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2026</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 Kuo</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David C. Kuo</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and Chief Legal Officer</w:t>
            </w:r>
          </w:p>
        </w:tc>
      </w:tr>
      <w:tr>
        <w:trPr>
          <w:trHeight w:val="648"/>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 </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 NO. 1 TO EQUITY DISTRIBUTION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March 12, 2026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James &amp; Associates,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880 Carillon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Petersburg, Florida 33716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Needham &amp;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Reference is made to the Equity Distribution Agreement, dated February 26, 2026 (the “</w:t>
      </w:r>
      <w:r>
        <w:rPr>
          <w:rFonts w:ascii="Times New Roman" w:cs="Times New Roman" w:eastAsia="Times New Roman" w:hAnsi="Times New Roman"/>
          <w:sz w:val="18"/>
          <w:szCs w:val="18"/>
          <w:b w:val="1"/>
          <w:bCs w:val="1"/>
          <w:u w:val="single" w:color="auto"/>
          <w:color w:val="auto"/>
        </w:rPr>
        <w:t>Sales Agreement</w:t>
      </w:r>
      <w:r>
        <w:rPr>
          <w:rFonts w:ascii="Times New Roman" w:cs="Times New Roman" w:eastAsia="Times New Roman" w:hAnsi="Times New Roman"/>
          <w:sz w:val="18"/>
          <w:szCs w:val="18"/>
          <w:color w:val="auto"/>
        </w:rPr>
        <w:t>”), by and among Applied Optoelectronics,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Raymond James &amp; Associates, Inc. (“</w:t>
      </w:r>
      <w:r>
        <w:rPr>
          <w:rFonts w:ascii="Times New Roman" w:cs="Times New Roman" w:eastAsia="Times New Roman" w:hAnsi="Times New Roman"/>
          <w:sz w:val="18"/>
          <w:szCs w:val="18"/>
          <w:b w:val="1"/>
          <w:bCs w:val="1"/>
          <w:u w:val="single" w:color="auto"/>
          <w:color w:val="auto"/>
        </w:rPr>
        <w:t>Raymond James</w:t>
      </w:r>
      <w:r>
        <w:rPr>
          <w:rFonts w:ascii="Times New Roman" w:cs="Times New Roman" w:eastAsia="Times New Roman" w:hAnsi="Times New Roman"/>
          <w:sz w:val="18"/>
          <w:szCs w:val="18"/>
          <w:color w:val="auto"/>
        </w:rPr>
        <w:t>”) and Needham &amp; Company, LLC (“</w:t>
      </w:r>
      <w:r>
        <w:rPr>
          <w:rFonts w:ascii="Times New Roman" w:cs="Times New Roman" w:eastAsia="Times New Roman" w:hAnsi="Times New Roman"/>
          <w:sz w:val="18"/>
          <w:szCs w:val="18"/>
          <w:b w:val="1"/>
          <w:bCs w:val="1"/>
          <w:u w:val="single" w:color="auto"/>
          <w:color w:val="auto"/>
        </w:rPr>
        <w:t>Needham</w:t>
      </w:r>
      <w:r>
        <w:rPr>
          <w:rFonts w:ascii="Times New Roman" w:cs="Times New Roman" w:eastAsia="Times New Roman" w:hAnsi="Times New Roman"/>
          <w:sz w:val="18"/>
          <w:szCs w:val="18"/>
          <w:color w:val="auto"/>
        </w:rPr>
        <w:t>” and together with Raymond James, the “</w:t>
      </w:r>
      <w:r>
        <w:rPr>
          <w:rFonts w:ascii="Times New Roman" w:cs="Times New Roman" w:eastAsia="Times New Roman" w:hAnsi="Times New Roman"/>
          <w:sz w:val="18"/>
          <w:szCs w:val="18"/>
          <w:b w:val="1"/>
          <w:bCs w:val="1"/>
          <w:u w:val="single" w:color="auto"/>
          <w:color w:val="auto"/>
        </w:rPr>
        <w:t>Agents</w:t>
      </w:r>
      <w:r>
        <w:rPr>
          <w:rFonts w:ascii="Times New Roman" w:cs="Times New Roman" w:eastAsia="Times New Roman" w:hAnsi="Times New Roman"/>
          <w:sz w:val="18"/>
          <w:szCs w:val="18"/>
          <w:color w:val="auto"/>
        </w:rPr>
        <w:t>”). Capitalized terms used herein but not otherwise defined are used herein as defined in the Sales Agreement.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Agents (collectively, the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color w:val="auto"/>
        </w:rPr>
        <w:t>”) wish to amend the Sales Agreement, pursuant to Section 17 of the Sales Agreement,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and conditions set forth in this letter (this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Therefore, for and in consideration of the mutual covenants and agreements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and contained in the Sales Agreement, the Company, on the one hand, and the Agents, on the other hand, the Parties therefore hereby agree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Increase in the Aggregate Gross Proceeds of Shares</w:t>
      </w:r>
      <w:r>
        <w:rPr>
          <w:rFonts w:ascii="Times New Roman" w:cs="Times New Roman" w:eastAsia="Times New Roman" w:hAnsi="Times New Roman"/>
          <w:sz w:val="18"/>
          <w:szCs w:val="18"/>
          <w:color w:val="auto"/>
        </w:rPr>
        <w:t>. The reference to “$250,000,000” in Section 1 of the Sales Agreement regarding the aggregate gross proceeds of shares of the Company’s common stock is hereby amended and replaced with “$500,000,000.”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2.                  </w:t>
      </w:r>
      <w:r>
        <w:rPr>
          <w:rFonts w:ascii="Times New Roman" w:cs="Times New Roman" w:eastAsia="Times New Roman" w:hAnsi="Times New Roman"/>
          <w:sz w:val="17"/>
          <w:szCs w:val="17"/>
          <w:u w:val="single" w:color="auto"/>
          <w:color w:val="auto"/>
        </w:rPr>
        <w:t>Definition of Prospectus Supplement</w:t>
      </w:r>
      <w:r>
        <w:rPr>
          <w:rFonts w:ascii="Times New Roman" w:cs="Times New Roman" w:eastAsia="Times New Roman" w:hAnsi="Times New Roman"/>
          <w:sz w:val="17"/>
          <w:szCs w:val="17"/>
          <w:color w:val="auto"/>
        </w:rPr>
        <w:t>. The Parties agree that the definition of Prospectus Supplement under Section 1 of the Sales Agreement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the amendment to the prospectus supplement dated March 12,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3.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AMENDMENT SHALL BE SUBJECT TO THE PROVISIONS REGARDING APPLICABLE LAW AND WAIVER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JURY TRIAL SET FORTH IN SECTIONS 18 AND 19 OF THE SALES AGREEMENT, AND SUCH PROVISIONS ARE INCORPORATED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THIS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4.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Amendment may be executed in two or more counterparts, each of which shall be deemed an original, but all of which together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constitute one and the same instrument. Delivery of an executed Amendment by one party to the other may be made by facsimile or electronic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5.                  </w:t>
      </w:r>
      <w:r>
        <w:rPr>
          <w:rFonts w:ascii="Times New Roman" w:cs="Times New Roman" w:eastAsia="Times New Roman" w:hAnsi="Times New Roman"/>
          <w:sz w:val="17"/>
          <w:szCs w:val="17"/>
          <w:u w:val="single" w:color="auto"/>
          <w:color w:val="auto"/>
        </w:rPr>
        <w:t>Agreement Remains in Effect</w:t>
      </w:r>
      <w:r>
        <w:rPr>
          <w:rFonts w:ascii="Times New Roman" w:cs="Times New Roman" w:eastAsia="Times New Roman" w:hAnsi="Times New Roman"/>
          <w:sz w:val="17"/>
          <w:szCs w:val="17"/>
          <w:color w:val="auto"/>
        </w:rPr>
        <w:t>. Except as provided herein, all provisions, terms and conditions of the Sales Agreement shall remain in full force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As amended hereby, the Sales Agreement is ratified and confirmed in all respects. On and after the date of this Amendment, each reference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Agreement to the “Agreement”, “hereinafter”, “herein”, “hereinafter”, “hereunder”, “hereof”, or words of like import shall mean and be a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Sales Agreement as amended by this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spacing w:after="0"/>
        <w:tabs>
          <w:tab w:leader="none" w:pos="3700" w:val="left"/>
          <w:tab w:leader="none" w:pos="75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the Agents, please so indicate in the space provided below for that purpose, whereupon this letter shall constitute a binding agreement between the Company and the Agents.</w:t>
      </w:r>
    </w:p>
    <w:tbl>
      <w:tblPr>
        <w:tblLayout w:type="fixed"/>
        <w:tblInd w:w="0" w:type="dxa"/>
        <w:tblCellMar>
          <w:top w:w="0" w:type="dxa"/>
          <w:left w:w="0" w:type="dxa"/>
          <w:bottom w:w="0" w:type="dxa"/>
          <w:right w:w="0" w:type="dxa"/>
        </w:tblCellMar>
      </w:tblPr>
      <w:tr>
        <w:trPr>
          <w:trHeight w:val="198"/>
        </w:trPr>
        <w:tc>
          <w:tcPr>
            <w:tcW w:w="3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160" w:type="dxa"/>
            <w:vAlign w:val="bottom"/>
          </w:tcPr>
          <w:p>
            <w:pPr>
              <w:spacing w:after="0"/>
              <w:rPr>
                <w:sz w:val="17"/>
                <w:szCs w:val="17"/>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Very truly yours,</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APPLIED OPTOELECTRONICS, INC.</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By: /s/ Chih-Hsiang (Thompson) Lin</w:t>
            </w: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6"/>
                <w:szCs w:val="16"/>
                <w:color w:val="auto"/>
              </w:rPr>
            </w:pPr>
          </w:p>
        </w:tc>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Chih-Hsiang (Thompson) Lin</w:t>
            </w: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Title: President, CEO &amp; Chairman</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foregoing Amendment No. 1 to the Sales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 is hereby confirmed and accepted as</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date first written above.</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Geoffrey M. Tobin</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Geoffrey M. Tobin</w:t>
            </w:r>
          </w:p>
        </w:tc>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6"/>
                <w:szCs w:val="16"/>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Title: Managing Director – Investment Banking</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NEEDHAM &amp; COMPANY, LLC</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Matthew Castrovince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Matthew Castrovince</w:t>
            </w:r>
          </w:p>
        </w:tc>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60" w:type="dxa"/>
            <w:vAlign w:val="bottom"/>
          </w:tcPr>
          <w:p>
            <w:pPr>
              <w:jc w:val="center"/>
              <w:ind w:right="3650"/>
              <w:spacing w:after="0" w:line="198"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1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460" w:type="dxa"/>
            <w:vAlign w:val="bottom"/>
          </w:tcPr>
          <w:p>
            <w:pPr>
              <w:jc w:val="center"/>
              <w:ind w:right="3670"/>
              <w:spacing w:after="0"/>
              <w:rPr>
                <w:sz w:val="20"/>
                <w:szCs w:val="20"/>
                <w:color w:val="auto"/>
              </w:rPr>
            </w:pPr>
            <w:r>
              <w:rPr>
                <w:rFonts w:ascii="Times New Roman" w:cs="Times New Roman" w:eastAsia="Times New Roman" w:hAnsi="Times New Roman"/>
                <w:sz w:val="18"/>
                <w:szCs w:val="18"/>
                <w:color w:val="auto"/>
                <w:w w:val="99"/>
              </w:rPr>
              <w:t>[Signature Page to AOI ATM – Amendment No. 1]</w:t>
            </w:r>
          </w:p>
        </w:tc>
      </w:tr>
      <w:tr>
        <w:trPr>
          <w:trHeight w:val="234"/>
        </w:trPr>
        <w:tc>
          <w:tcPr>
            <w:tcW w:w="1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460" w:type="dxa"/>
            <w:vAlign w:val="bottom"/>
          </w:tcPr>
          <w:p>
            <w:pPr>
              <w:jc w:val="center"/>
              <w:ind w:right="3650"/>
              <w:spacing w:after="0"/>
              <w:rPr>
                <w:sz w:val="20"/>
                <w:szCs w:val="20"/>
                <w:color w:val="auto"/>
              </w:rPr>
            </w:pPr>
            <w:r>
              <w:rPr>
                <w:rFonts w:ascii="Times New Roman" w:cs="Times New Roman" w:eastAsia="Times New Roman" w:hAnsi="Times New Roman"/>
                <w:sz w:val="18"/>
                <w:szCs w:val="18"/>
                <w:color w:val="auto"/>
              </w:rPr>
              <w:t> </w:t>
            </w:r>
          </w:p>
        </w:tc>
      </w:tr>
      <w:tr>
        <w:trPr>
          <w:trHeight w:val="43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7460" w:type="dxa"/>
            <w:vAlign w:val="bottom"/>
            <w:tcBorders>
              <w:bottom w:val="single" w:sz="8" w:color="auto"/>
            </w:tcBorders>
          </w:tcPr>
          <w:p>
            <w:pPr>
              <w:ind w:left="3760"/>
              <w:spacing w:after="0"/>
              <w:rPr>
                <w:sz w:val="20"/>
                <w:szCs w:val="20"/>
                <w:color w:val="auto"/>
              </w:rPr>
            </w:pPr>
            <w:r>
              <w:rPr>
                <w:rFonts w:ascii="Times New Roman" w:cs="Times New Roman" w:eastAsia="Times New Roman" w:hAnsi="Times New Roman"/>
                <w:sz w:val="18"/>
                <w:szCs w:val="18"/>
                <w:color w:val="auto"/>
              </w:rPr>
              <w:t> </w:t>
            </w:r>
          </w:p>
        </w:tc>
      </w:tr>
      <w:tr>
        <w:trPr>
          <w:trHeight w:val="318"/>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24"/>
                <w:szCs w:val="24"/>
                <w:color w:val="auto"/>
              </w:rPr>
            </w:pPr>
          </w:p>
        </w:tc>
        <w:tc>
          <w:tcPr>
            <w:tcW w:w="7460" w:type="dxa"/>
            <w:vAlign w:val="bottom"/>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March 12,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Applied Optoelectronics,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13139 Jess Pirtle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Sugar Land, TX 77478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color w:val="auto"/>
        </w:rPr>
        <w:t>We have acted as counsel for Applied Optoelectronics,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issuance and sale by the Company from time to time on a delayed continuous basis pursuant to Rule 415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of</w:t>
      </w:r>
    </w:p>
    <w:p>
      <w:pPr>
        <w:spacing w:after="0" w:line="1" w:lineRule="exact"/>
        <w:rPr>
          <w:sz w:val="20"/>
          <w:szCs w:val="20"/>
          <w:color w:val="auto"/>
        </w:rPr>
      </w:pPr>
    </w:p>
    <w:p>
      <w:pPr>
        <w:jc w:val="both"/>
        <w:ind w:firstLine="8"/>
        <w:spacing w:after="0" w:line="251" w:lineRule="auto"/>
        <w:tabs>
          <w:tab w:leader="none" w:pos="21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including shares of the Company’s common stock, $0.001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registered pursuant to the Registration Statement on Form S-3 (File No. 333-283905) (including the prospectus contained therein,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and (ii) the prospectus supplement, dated February 26, 2026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as amended by Amendment No. 1 to the Prospectus Supplement, as filed with the Commission pursuant to Rule 424(b) under the Securities Act on March 12, 2026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relating to the issuance and sale from time to time by the Company of shares of Common Stock with an aggregate offering price of up to $500,000,000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The Shares are to be issued and sold by the Company pursuant to an Equity Distribution Agreement, dated February 26, 2026 (the “</w:t>
      </w:r>
      <w:r>
        <w:rPr>
          <w:rFonts w:ascii="Times New Roman" w:cs="Times New Roman" w:eastAsia="Times New Roman" w:hAnsi="Times New Roman"/>
          <w:sz w:val="18"/>
          <w:szCs w:val="18"/>
          <w:b w:val="1"/>
          <w:bCs w:val="1"/>
          <w:i w:val="1"/>
          <w:iCs w:val="1"/>
          <w:color w:val="auto"/>
        </w:rPr>
        <w:t>Original Agreement</w:t>
      </w:r>
      <w:r>
        <w:rPr>
          <w:rFonts w:ascii="Times New Roman" w:cs="Times New Roman" w:eastAsia="Times New Roman" w:hAnsi="Times New Roman"/>
          <w:sz w:val="18"/>
          <w:szCs w:val="18"/>
          <w:color w:val="auto"/>
        </w:rPr>
        <w:t>”) and amended on March 12, 2026 (the “</w:t>
      </w:r>
      <w:r>
        <w:rPr>
          <w:rFonts w:ascii="Times New Roman" w:cs="Times New Roman" w:eastAsia="Times New Roman" w:hAnsi="Times New Roman"/>
          <w:sz w:val="18"/>
          <w:szCs w:val="18"/>
          <w:b w:val="1"/>
          <w:bCs w:val="1"/>
          <w:i w:val="1"/>
          <w:iCs w:val="1"/>
          <w:color w:val="auto"/>
        </w:rPr>
        <w:t>Distribution Amendment</w:t>
      </w:r>
      <w:r>
        <w:rPr>
          <w:rFonts w:ascii="Times New Roman" w:cs="Times New Roman" w:eastAsia="Times New Roman" w:hAnsi="Times New Roman"/>
          <w:sz w:val="18"/>
          <w:szCs w:val="18"/>
          <w:color w:val="auto"/>
        </w:rPr>
        <w:t>” and collectively with the Original Agreement, the “</w:t>
      </w:r>
      <w:r>
        <w:rPr>
          <w:rFonts w:ascii="Times New Roman" w:cs="Times New Roman" w:eastAsia="Times New Roman" w:hAnsi="Times New Roman"/>
          <w:sz w:val="18"/>
          <w:szCs w:val="18"/>
          <w:b w:val="1"/>
          <w:bCs w:val="1"/>
          <w:i w:val="1"/>
          <w:iCs w:val="1"/>
          <w:color w:val="auto"/>
        </w:rPr>
        <w:t>Distribution Agreement</w:t>
      </w:r>
      <w:r>
        <w:rPr>
          <w:rFonts w:ascii="Times New Roman" w:cs="Times New Roman" w:eastAsia="Times New Roman" w:hAnsi="Times New Roman"/>
          <w:sz w:val="18"/>
          <w:szCs w:val="18"/>
          <w:color w:val="auto"/>
        </w:rPr>
        <w:t>”), among the Company, Raymond James &amp; Associates, Inc. and Needham &amp; Company, LLC. The Original Agreement was filed with the Commission as Exhibit 1.1 to the Company’s Current Report, dated February 26, 2026 and the Distribution Amendment will be filed with the Commission as Exhibit 1.1 to the Company’s Current Report on Form 8-K, dated March 12, 2026.</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the opinion we express below, we have examined originals, or copies certified or otherwise identified, of (i) the certificate of incorporation and bylaws, each as amended to date, of the Company (the “</w:t>
      </w:r>
      <w:r>
        <w:rPr>
          <w:rFonts w:ascii="Times New Roman" w:cs="Times New Roman" w:eastAsia="Times New Roman" w:hAnsi="Times New Roman"/>
          <w:sz w:val="18"/>
          <w:szCs w:val="18"/>
          <w:b w:val="1"/>
          <w:bCs w:val="1"/>
          <w:i w:val="1"/>
          <w:iCs w:val="1"/>
          <w:color w:val="auto"/>
        </w:rPr>
        <w:t>Company Charter Documents</w:t>
      </w:r>
      <w:r>
        <w:rPr>
          <w:rFonts w:ascii="Times New Roman" w:cs="Times New Roman" w:eastAsia="Times New Roman" w:hAnsi="Times New Roman"/>
          <w:sz w:val="18"/>
          <w:szCs w:val="18"/>
          <w:color w:val="auto"/>
        </w:rPr>
        <w:t>”); (ii) the Registration Statement and all exhibits thereto; (iii) the Prospectus Supplement and all exhibits thereto, (iv) the Amendment and all exhibits thereto; (v) the Distribution Agreement and all exhibits thereto; (vi) the minutes and records of the corporate proceedings of the Company with respect to the filing of the Registration Statement, the Prospectus Supplement and the Amendment and the entering into of the Distribution Agreement; and (vii) such other corporate records of the Company as we have deemed necessary or appropriate for purposes of the opinion hereafter expressed.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to questions of fact material to the opinion expressed below, we have, without independent verification of their accuracy, relied to the extent we deem reasonably appropriate upon the representations and warranties of the Company contained in such documents, records, certificates, instruments or representations furnished or made available to us by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making the foregoing examination, we have assumed (i) the genuineness of all signatures, (ii) the authenticity of all documents submitted to us as originals, (iii) the conformity to original documents of all documents submitted to us as certified or photostatic copies, (iv) that all agreements or instruments we have examined are the valid, binding and enforceable obligations of the parties thereto, and (v) that all factual information on which we have relied was accurate and complete.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also assumed that (i) the Amendment has been timely filed with the Commission; (ii) the Company will issue and deliver the Shares in the manner contemplated by the Registration Statement, the Prospectus Supplement, the Amendment and the Distribution Agreement; (iii) the Shares will be issued in compliance with applicable federal and state securities law; (iv) no stop orders of the Commission preventing or suspending the use of the Prospectus Supplement and/or the Amendment will have been issued; and (v) the Company will receive consideration for the issuance of the Shares that is at least equal to the par value of the Common Stock.</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and subject to the limitations and qualifications set forth herein, we are of the opinion that when issued and paid for in accordance with the terms and conditions of the Distribution Agreement, the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Applied Optoelectronics,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opinion expressed herein is limited to the Delaware General Corporation Law as in effect on the date hereof.</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letter as Exhibit 5.1 to the Current Report on Form 8-K to be filed by the Company in connection with the issuance and sale of the Shares in accordance with the requirements of Item 601(b)(5) of Regulation S-K under the Securities Act and to the reference to our firm therein and in the Prospectus Supplement under the caption “Legal Matters.” In giving this consent, we do not hereby admit we are in the category of persons whose consent is required under Section 7 of the Act or the rules and regulations of the Commission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Haynes and Boone,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2026-03-12T15:47:48Z</dcterms:created>
  <dcterms:modified xsi:type="dcterms:W3CDTF">2026-03-12T15:47:48Z</dcterms:modified>
</cp:coreProperties>
</file>