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aaoi20240630_10q.htm"/>
      <w:bookmarkStart w:id="1" w:name="ksaaoi20240630_10q"/>
      <w:bookmarkEnd w:id="0"/>
      <w:bookmarkEnd w:id="1"/>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FORM 10-Q​</w:t>
      </w:r>
    </w:p>
    <w:p>
      <w:pPr>
        <w:pStyle w:val="TextBody"/>
        <w:bidi w:val="0"/>
        <w:spacing w:before="0" w:after="0"/>
        <w:ind w:left="0" w:right="0" w:hanging="0"/>
        <w:jc w:val="left"/>
        <w:rPr>
          <w:rFonts w:ascii="Times New Roman" w:hAnsi="Times New Roman"/>
          <w:sz w:val="20"/>
        </w:rPr>
      </w:pPr>
      <w:r>
        <w:rPr>
          <w:rFonts w:ascii="Times New Roman" w:hAnsi="Times New Roman"/>
          <w:sz w:val="20"/>
        </w:rPr>
        <w:t>(Mark One)</w:t>
      </w:r>
    </w:p>
    <w:p>
      <w:pPr>
        <w:pStyle w:val="TextBody"/>
        <w:bidi w:val="0"/>
        <w:spacing w:before="0" w:after="0"/>
        <w:ind w:left="0" w:right="0" w:hanging="0"/>
        <w:jc w:val="left"/>
        <w:rPr/>
      </w:pPr>
      <w:r>
        <w:rPr/>
        <w:t xml:space="preserve">☒ </w:t>
      </w:r>
      <w:r>
        <w:rPr>
          <w:rFonts w:ascii="Times New Roman" w:hAnsi="Times New Roman"/>
          <w:b/>
          <w:sz w:val="20"/>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 the quarterly period ended June 30, 2024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OR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 xml:space="preserve">☐ </w:t>
      </w:r>
      <w:r>
        <w:rPr>
          <w:rFonts w:ascii="Times New Roman" w:hAnsi="Times New Roman"/>
          <w:b/>
          <w:sz w:val="20"/>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 xml:space="preserve">For the transition period from __________ to </w:t>
      </w:r>
      <w:r>
        <w:rPr>
          <w:rFonts w:ascii="Times New Roman" w:hAnsi="Times New Roman"/>
          <w:sz w:val="20"/>
        </w:rPr>
        <w:t>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001-36083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Applied Optoelectronics,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ind w:left="0" w:right="0" w:hanging="0"/>
        <w:jc w:val="center"/>
        <w:rPr/>
      </w:pPr>
      <w:r>
        <w:rPr/>
        <w:t>​</w:t>
      </w:r>
    </w:p>
    <w:tbl>
      <w:tblPr>
        <w:tblW w:w="8140" w:type="dxa"/>
        <w:jc w:val="left"/>
        <w:tblInd w:w="0" w:type="dxa"/>
        <w:tblLayout w:type="fixed"/>
        <w:tblCellMar>
          <w:top w:w="0" w:type="dxa"/>
          <w:left w:w="0" w:type="dxa"/>
          <w:bottom w:w="0" w:type="dxa"/>
          <w:right w:w="0" w:type="dxa"/>
        </w:tblCellMar>
      </w:tblPr>
      <w:tblGrid>
        <w:gridCol w:w="5135"/>
        <w:gridCol w:w="3005"/>
      </w:tblGrid>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76-0533927</w:t>
            </w:r>
          </w:p>
        </w:tc>
      </w:tr>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(State or other jurisdiction of incorporation or organization)</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13139 Jess Pirtle Blvd.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Sugar Land, TX 77478</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(281) 295-1800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(Registrant’s telephone number)</w:t>
      </w:r>
    </w:p>
    <w:p>
      <w:pPr>
        <w:pStyle w:val="TextBody"/>
        <w:bidi w:val="0"/>
        <w:spacing w:before="0" w:after="0"/>
        <w:ind w:left="0" w:right="0" w:hanging="0"/>
        <w:jc w:val="left"/>
        <w:rPr/>
      </w:pPr>
      <w:r>
        <w:rPr/>
        <w:t>​</w:t>
      </w:r>
    </w:p>
    <w:p>
      <w:pPr>
        <w:pStyle w:val="TextBody"/>
        <w:bidi w:val="0"/>
        <w:spacing w:before="0" w:after="0"/>
        <w:ind w:left="0" w:right="0" w:firstLine="462"/>
        <w:jc w:val="both"/>
        <w:rPr/>
      </w:pPr>
      <w:r>
        <w:rPr/>
        <w:t> </w:t>
      </w:r>
    </w:p>
    <w:p>
      <w:pPr>
        <w:pStyle w:val="TextBody"/>
        <w:bidi w:val="0"/>
        <w:spacing w:before="0" w:after="0"/>
        <w:ind w:left="729" w:right="294"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left"/>
        <w:rPr/>
      </w:pPr>
      <w:r>
        <w:rPr/>
        <w:t> </w:t>
      </w:r>
    </w:p>
    <w:tbl>
      <w:tblPr>
        <w:tblW w:w="8535" w:type="dxa"/>
        <w:jc w:val="left"/>
        <w:tblInd w:w="0" w:type="dxa"/>
        <w:tblLayout w:type="fixed"/>
        <w:tblCellMar>
          <w:top w:w="0" w:type="dxa"/>
          <w:left w:w="0" w:type="dxa"/>
          <w:bottom w:w="28" w:type="dxa"/>
          <w:right w:w="0" w:type="dxa"/>
        </w:tblCellMar>
      </w:tblPr>
      <w:tblGrid>
        <w:gridCol w:w="2735"/>
        <w:gridCol w:w="1535"/>
        <w:gridCol w:w="426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Symbol(s)</w:t>
            </w:r>
          </w:p>
        </w:tc>
        <w:tc>
          <w:tcPr>
            <w:tcW w:w="426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Par value $0.001</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AAOI</w:t>
            </w:r>
          </w:p>
        </w:tc>
        <w:tc>
          <w:tcPr>
            <w:tcW w:w="426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685" w:type="dxa"/>
        <w:jc w:val="left"/>
        <w:tblInd w:w="0" w:type="dxa"/>
        <w:tblLayout w:type="fixed"/>
        <w:tblCellMar>
          <w:top w:w="0" w:type="dxa"/>
          <w:left w:w="0" w:type="dxa"/>
          <w:bottom w:w="0" w:type="dxa"/>
          <w:right w:w="0" w:type="dxa"/>
        </w:tblCellMar>
      </w:tblPr>
      <w:tblGrid>
        <w:gridCol w:w="60"/>
        <w:gridCol w:w="1820"/>
        <w:gridCol w:w="290"/>
        <w:gridCol w:w="2225"/>
        <w:gridCol w:w="290"/>
      </w:tblGrid>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Large 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Accelerated filer</w:t>
            </w:r>
          </w:p>
        </w:tc>
        <w:tc>
          <w:tcPr>
            <w:tcW w:w="290" w:type="dxa"/>
            <w:tcBorders/>
            <w:vAlign w:val="center"/>
          </w:tcPr>
          <w:p>
            <w:pPr>
              <w:pStyle w:val="TableContents"/>
              <w:bidi w:val="0"/>
              <w:spacing w:before="0" w:after="283"/>
              <w:jc w:val="left"/>
              <w:rPr/>
            </w:pPr>
            <w:r>
              <w:rPr/>
              <w:t>☒</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29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Emerging growth company</w:t>
            </w:r>
          </w:p>
        </w:tc>
        <w:tc>
          <w:tcPr>
            <w:tcW w:w="29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ind w:left="0" w:right="0" w:hanging="0"/>
        <w:jc w:val="left"/>
        <w:rPr/>
      </w:pPr>
      <w:r>
        <w:rPr/>
        <w:t> </w:t>
      </w:r>
    </w:p>
    <w:p>
      <w:pPr>
        <w:pStyle w:val="TextBody"/>
        <w:bidi w:val="0"/>
        <w:spacing w:before="0" w:after="0"/>
        <w:ind w:left="294" w:right="294" w:firstLine="461"/>
        <w:jc w:val="both"/>
        <w:rPr>
          <w:rFonts w:ascii="Times New Roman" w:hAnsi="Times New Roman"/>
          <w:sz w:val="20"/>
        </w:rPr>
      </w:pPr>
      <w:r>
        <w:rPr>
          <w:rFonts w:ascii="Times New Roman" w:hAnsi="Times New Roman"/>
          <w:sz w:val="20"/>
        </w:rPr>
        <w:t>As of August 1, 2024, there were 40,895,715 shares of the registrant’s Common Stock outstanding.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Applied Optoelectronics, Inc.</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44"/>
        <w:gridCol w:w="9150"/>
        <w:gridCol w:w="411"/>
      </w:tblGrid>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b/>
                  <w:sz w:val="20"/>
                </w:rPr>
                <w:t>Part I. Financial Information</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50"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item1">
              <w:r>
                <w:rPr>
                  <w:rStyle w:val="InternetLink"/>
                  <w:rFonts w:ascii="Times New Roman;Times;serif" w:hAnsi="Times New Roman;Times;serif"/>
                  <w:sz w:val="20"/>
                </w:rPr>
                <w:t>3</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bs">
              <w:r>
                <w:rPr>
                  <w:rStyle w:val="InternetLink"/>
                  <w:rFonts w:ascii="Times New Roman;Times;serif" w:hAnsi="Times New Roman;Times;serif"/>
                  <w:sz w:val="20"/>
                </w:rPr>
                <w:t>Condensed Consolidated Balance Sheets as of June 30, 2024 (Unaudited) and December 31, 2023</w:t>
              </w:r>
            </w:hyperlink>
          </w:p>
        </w:tc>
        <w:tc>
          <w:tcPr>
            <w:tcW w:w="411" w:type="dxa"/>
            <w:tcBorders/>
            <w:vAlign w:val="center"/>
          </w:tcPr>
          <w:p>
            <w:pPr>
              <w:pStyle w:val="TableContents"/>
              <w:bidi w:val="0"/>
              <w:spacing w:before="0" w:after="0"/>
              <w:ind w:left="0" w:right="0" w:hanging="0"/>
              <w:jc w:val="right"/>
              <w:rPr/>
            </w:pPr>
            <w:hyperlink w:anchor="bs">
              <w:r>
                <w:rPr>
                  <w:rStyle w:val="InternetLink"/>
                  <w:rFonts w:ascii="Times New Roman;Times;serif" w:hAnsi="Times New Roman;Times;serif"/>
                  <w:sz w:val="20"/>
                </w:rPr>
                <w:t>3</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ops">
              <w:r>
                <w:rPr>
                  <w:rStyle w:val="InternetLink"/>
                  <w:rFonts w:ascii="Times New Roman;Times;serif" w:hAnsi="Times New Roman;Times;serif"/>
                  <w:sz w:val="20"/>
                </w:rPr>
                <w:t>Condensed Consolidated Statements of Operations for the Three and Six Months ended June 30, 2024 and 2023 (Unaudited)</w:t>
              </w:r>
            </w:hyperlink>
          </w:p>
        </w:tc>
        <w:tc>
          <w:tcPr>
            <w:tcW w:w="411" w:type="dxa"/>
            <w:tcBorders/>
            <w:vAlign w:val="center"/>
          </w:tcPr>
          <w:p>
            <w:pPr>
              <w:pStyle w:val="TableContents"/>
              <w:bidi w:val="0"/>
              <w:spacing w:before="0" w:after="0"/>
              <w:ind w:left="0" w:right="0" w:hanging="0"/>
              <w:jc w:val="right"/>
              <w:rPr/>
            </w:pPr>
            <w:hyperlink w:anchor="ops">
              <w:r>
                <w:rPr>
                  <w:rStyle w:val="InternetLink"/>
                  <w:rFonts w:ascii="Times New Roman;Times;serif" w:hAnsi="Times New Roman;Times;serif"/>
                  <w:sz w:val="20"/>
                </w:rPr>
                <w:t>4</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compincome">
              <w:r>
                <w:rPr>
                  <w:rStyle w:val="InternetLink"/>
                  <w:rFonts w:ascii="Times New Roman;Times;serif" w:hAnsi="Times New Roman;Times;serif"/>
                  <w:sz w:val="20"/>
                </w:rPr>
                <w:t>Condensed Consolidated Statements of Comprehensive Income (Loss) for the Three and Six Months ended June 30, 2024 and 2023 (Unaudited)</w:t>
              </w:r>
            </w:hyperlink>
          </w:p>
        </w:tc>
        <w:tc>
          <w:tcPr>
            <w:tcW w:w="411" w:type="dxa"/>
            <w:tcBorders/>
            <w:vAlign w:val="center"/>
          </w:tcPr>
          <w:p>
            <w:pPr>
              <w:pStyle w:val="TableContents"/>
              <w:bidi w:val="0"/>
              <w:spacing w:before="0" w:after="0"/>
              <w:ind w:left="0" w:right="0" w:hanging="0"/>
              <w:jc w:val="right"/>
              <w:rPr/>
            </w:pPr>
            <w:hyperlink w:anchor="compincome">
              <w:r>
                <w:rPr>
                  <w:rStyle w:val="InternetLink"/>
                  <w:rFonts w:ascii="Times New Roman;Times;serif" w:hAnsi="Times New Roman;Times;serif"/>
                  <w:sz w:val="20"/>
                </w:rPr>
                <w:t>5</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eq">
              <w:r>
                <w:rPr>
                  <w:rStyle w:val="InternetLink"/>
                  <w:rFonts w:ascii="Times New Roman;Times;serif" w:hAnsi="Times New Roman;Times;serif"/>
                  <w:sz w:val="20"/>
                </w:rPr>
                <w:t>Condensed Consolidated Statements of Stockholders’ Equity for the Three and Six Months ended June 30, 2024 and 2023 (Unaudited)</w:t>
              </w:r>
            </w:hyperlink>
          </w:p>
        </w:tc>
        <w:tc>
          <w:tcPr>
            <w:tcW w:w="411" w:type="dxa"/>
            <w:tcBorders/>
            <w:vAlign w:val="center"/>
          </w:tcPr>
          <w:p>
            <w:pPr>
              <w:pStyle w:val="TableContents"/>
              <w:bidi w:val="0"/>
              <w:spacing w:before="0" w:after="0"/>
              <w:ind w:left="0" w:right="0" w:hanging="0"/>
              <w:jc w:val="right"/>
              <w:rPr/>
            </w:pPr>
            <w:hyperlink w:anchor="eq">
              <w:r>
                <w:rPr>
                  <w:rStyle w:val="InternetLink"/>
                  <w:rFonts w:ascii="Times New Roman;Times;serif" w:hAnsi="Times New Roman;Times;serif"/>
                  <w:sz w:val="20"/>
                </w:rPr>
                <w:t>6</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cf">
              <w:r>
                <w:rPr>
                  <w:rStyle w:val="InternetLink"/>
                  <w:rFonts w:ascii="Times New Roman;Times;serif" w:hAnsi="Times New Roman;Times;serif"/>
                  <w:sz w:val="20"/>
                </w:rPr>
                <w:t>Condensed Consolidated Statements of Cash Flows for the Six Months ended June 30, 2024 and 2023 (Unaudited)</w:t>
              </w:r>
            </w:hyperlink>
          </w:p>
        </w:tc>
        <w:tc>
          <w:tcPr>
            <w:tcW w:w="411" w:type="dxa"/>
            <w:tcBorders/>
            <w:vAlign w:val="center"/>
          </w:tcPr>
          <w:p>
            <w:pPr>
              <w:pStyle w:val="TableContents"/>
              <w:bidi w:val="0"/>
              <w:spacing w:before="0" w:after="0"/>
              <w:ind w:left="0" w:right="0" w:hanging="0"/>
              <w:jc w:val="right"/>
              <w:rPr/>
            </w:pPr>
            <w:hyperlink w:anchor="cf">
              <w:r>
                <w:rPr>
                  <w:rStyle w:val="InternetLink"/>
                  <w:rFonts w:ascii="Times New Roman;Times;serif" w:hAnsi="Times New Roman;Times;serif"/>
                  <w:sz w:val="20"/>
                </w:rPr>
                <w:t>8</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sz w:val="20"/>
                </w:rPr>
                <w:t>9</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9150"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411" w:type="dxa"/>
            <w:tcBorders/>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sz w:val="20"/>
                </w:rPr>
                <w:t>20</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915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411"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28</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915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411"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28</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10205" w:type="dxa"/>
            <w:gridSpan w:val="3"/>
            <w:tcBorders/>
            <w:vAlign w:val="center"/>
          </w:tcPr>
          <w:p>
            <w:pPr>
              <w:pStyle w:val="TableContents"/>
              <w:bidi w:val="0"/>
              <w:spacing w:before="0" w:after="0"/>
              <w:ind w:left="0" w:right="0" w:hanging="0"/>
              <w:jc w:val="left"/>
              <w:rPr/>
            </w:pPr>
            <w:hyperlink w:anchor="part2">
              <w:r>
                <w:rPr>
                  <w:rStyle w:val="InternetLink"/>
                  <w:rFonts w:ascii="Times New Roman;Times;serif" w:hAnsi="Times New Roman;Times;serif"/>
                  <w:b/>
                  <w:sz w:val="20"/>
                </w:rPr>
                <w:t>Part II. Other Information</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50"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sz w:val="20"/>
                </w:rPr>
                <w:t>Legal Proceedings</w:t>
              </w:r>
            </w:hyperlink>
          </w:p>
        </w:tc>
        <w:tc>
          <w:tcPr>
            <w:tcW w:w="411"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sz w:val="20"/>
                </w:rPr>
                <w:t>28</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9150"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sz w:val="20"/>
                </w:rPr>
                <w:t>Risk Factors</w:t>
              </w:r>
            </w:hyperlink>
          </w:p>
        </w:tc>
        <w:tc>
          <w:tcPr>
            <w:tcW w:w="411" w:type="dxa"/>
            <w:tcBorders/>
            <w:vAlign w:val="center"/>
          </w:tcPr>
          <w:p>
            <w:pPr>
              <w:pStyle w:val="TableContents"/>
              <w:bidi w:val="0"/>
              <w:spacing w:before="0" w:after="0"/>
              <w:ind w:left="0" w:right="0" w:hanging="0"/>
              <w:jc w:val="right"/>
              <w:rPr/>
            </w:pPr>
            <w:hyperlink w:anchor="risk">
              <w:r>
                <w:rPr>
                  <w:rStyle w:val="InternetLink"/>
                  <w:rFonts w:ascii="Times New Roman;Times;serif" w:hAnsi="Times New Roman;Times;serif"/>
                  <w:sz w:val="20"/>
                </w:rPr>
                <w:t>28</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4" w:type="dxa"/>
            <w:tcBorders/>
            <w:vAlign w:val="center"/>
          </w:tcPr>
          <w:p>
            <w:pPr>
              <w:pStyle w:val="TableContents"/>
              <w:bidi w:val="0"/>
              <w:spacing w:before="0" w:after="283"/>
              <w:jc w:val="left"/>
              <w:rPr/>
            </w:pPr>
            <w:r>
              <w:rPr/>
              <w:t>Item 5.</w:t>
            </w:r>
          </w:p>
        </w:tc>
        <w:tc>
          <w:tcPr>
            <w:tcW w:w="9150" w:type="dxa"/>
            <w:tcBorders/>
            <w:vAlign w:val="center"/>
          </w:tcPr>
          <w:p>
            <w:pPr>
              <w:pStyle w:val="TableContents"/>
              <w:bidi w:val="0"/>
              <w:spacing w:before="0" w:after="283"/>
              <w:jc w:val="left"/>
              <w:rPr/>
            </w:pPr>
            <w:hyperlink w:anchor="item5">
              <w:r>
                <w:rPr>
                  <w:rStyle w:val="InternetLink"/>
                </w:rPr>
                <w:t>Other Information</w:t>
              </w:r>
            </w:hyperlink>
          </w:p>
        </w:tc>
        <w:tc>
          <w:tcPr>
            <w:tcW w:w="411" w:type="dxa"/>
            <w:tcBorders/>
            <w:vAlign w:val="center"/>
          </w:tcPr>
          <w:p>
            <w:pPr>
              <w:pStyle w:val="TableContents"/>
              <w:bidi w:val="0"/>
              <w:spacing w:before="0" w:after="283"/>
              <w:jc w:val="right"/>
              <w:rPr/>
            </w:pPr>
            <w:hyperlink w:anchor="item5">
              <w:r>
                <w:rPr>
                  <w:rStyle w:val="InternetLink"/>
                </w:rPr>
                <w:t>29</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9150"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sz w:val="20"/>
                </w:rPr>
                <w:t>Exhibits</w:t>
              </w:r>
            </w:hyperlink>
          </w:p>
        </w:tc>
        <w:tc>
          <w:tcPr>
            <w:tcW w:w="411" w:type="dxa"/>
            <w:tcBorders/>
            <w:vAlign w:val="center"/>
          </w:tcPr>
          <w:p>
            <w:pPr>
              <w:pStyle w:val="TableContents"/>
              <w:bidi w:val="0"/>
              <w:spacing w:before="0" w:after="0"/>
              <w:ind w:left="0" w:right="0" w:hanging="0"/>
              <w:jc w:val="right"/>
              <w:rPr/>
            </w:pPr>
            <w:hyperlink w:anchor="exhibits">
              <w:r>
                <w:rPr>
                  <w:rStyle w:val="InternetLink"/>
                  <w:rFonts w:ascii="Times New Roman;Times;serif" w:hAnsi="Times New Roman;Times;serif"/>
                  <w:sz w:val="20"/>
                </w:rPr>
                <w:t>29</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sz w:val="20"/>
                </w:rPr>
                <w:t>Signatures</w:t>
              </w:r>
            </w:hyperlink>
          </w:p>
        </w:tc>
        <w:tc>
          <w:tcPr>
            <w:tcW w:w="411"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sz w:val="20"/>
                </w:rPr>
                <w:t>30</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4" w:name="item1"/>
      <w:bookmarkEnd w:id="4"/>
      <w:r>
        <w:rPr>
          <w:rFonts w:ascii="Times New Roman;Times;serif" w:hAnsi="Times New Roman;Times;serif"/>
          <w:b/>
          <w:sz w:val="20"/>
        </w:rPr>
        <w:t>Item 1.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 w:name="bs"/>
      <w:bookmarkEnd w:id="5"/>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024"/>
        <w:gridCol w:w="60"/>
        <w:gridCol w:w="125"/>
        <w:gridCol w:w="755"/>
        <w:gridCol w:w="80"/>
        <w:gridCol w:w="60"/>
        <w:gridCol w:w="144"/>
        <w:gridCol w:w="875"/>
        <w:gridCol w:w="82"/>
      </w:tblGrid>
      <w:tr>
        <w:trPr/>
        <w:tc>
          <w:tcPr>
            <w:tcW w:w="80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45,366</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9,731</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 trade, net of allowance of $1,839 and $3,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48,071</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63,866</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income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5,349</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172,605</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200,317</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use rights,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5,030</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right of use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5,026</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348,040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389,186</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32,892</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acceptance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15,482</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18,549</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lease liability - operating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notes payable and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23,197</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Current portion of convertible senior notes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286</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93,358</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lease liability - operating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4,726</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senior notes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76,233</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174,317</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Preferred Stock; 5,000 shares authorized at $0.001 par value; no shares issued and outstanding at June 30,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80,000 shares authorized at $0.001 par value; 40,645 and 38,148 shares issued and outstanding at June 30, 2024 and December 31, 2023,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478,972</w:t>
            </w:r>
          </w:p>
        </w:tc>
        <w:tc>
          <w:tcPr>
            <w:tcW w:w="82" w:type="dxa"/>
            <w:tcBorders/>
            <w:shd w:fill="CCEEFF" w:val="clear"/>
            <w:vAlign w:val="center"/>
          </w:tcPr>
          <w:p>
            <w:pPr>
              <w:pStyle w:val="TableContents"/>
              <w:bidi w:val="0"/>
              <w:spacing w:before="0" w:after="283"/>
              <w:jc w:val="left"/>
              <w:rPr/>
            </w:pPr>
            <w:r>
              <w:rPr/>
              <w:t> </w:t>
            </w:r>
          </w:p>
        </w:tc>
      </w:tr>
      <w:tr>
        <w:trPr/>
        <w:tc>
          <w:tcPr>
            <w:tcW w:w="8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36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(314,403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(265,116</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24"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214,869</w:t>
            </w:r>
          </w:p>
        </w:tc>
        <w:tc>
          <w:tcPr>
            <w:tcW w:w="82" w:type="dxa"/>
            <w:tcBorders/>
            <w:shd w:fill="FFFFFF" w:val="clear"/>
            <w:vAlign w:val="center"/>
          </w:tcPr>
          <w:p>
            <w:pPr>
              <w:pStyle w:val="TableContents"/>
              <w:bidi w:val="0"/>
              <w:spacing w:before="0" w:after="283"/>
              <w:jc w:val="left"/>
              <w:rPr/>
            </w:pPr>
            <w:r>
              <w:rPr/>
              <w:t> </w:t>
            </w:r>
          </w:p>
        </w:tc>
      </w:tr>
      <w:tr>
        <w:trPr/>
        <w:tc>
          <w:tcPr>
            <w:tcW w:w="8024"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348,040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389,186</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i/>
          <w:sz w:val="20"/>
        </w:rPr>
        <w:t>The accompanying notes are an integral part of these condensed consolidated financial statements.</w:t>
      </w:r>
      <w:r>
        <w:rPr>
          <w:rFonts w:ascii="Times New Roman" w:hAnsi="Times New Roman"/>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ops"/>
      <w:bookmarkEnd w:id="6"/>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data)</w:t>
      </w:r>
    </w:p>
    <w:p>
      <w:pPr>
        <w:pStyle w:val="TextBody"/>
        <w:bidi w:val="0"/>
        <w:spacing w:before="0" w:after="0"/>
        <w:ind w:left="0" w:right="0" w:hanging="0"/>
        <w:jc w:val="center"/>
        <w:rPr/>
      </w:pPr>
      <w:r>
        <w:rPr/>
        <w:t>​</w:t>
      </w:r>
    </w:p>
    <w:tbl>
      <w:tblPr>
        <w:tblW w:w="9897" w:type="dxa"/>
        <w:jc w:val="left"/>
        <w:tblInd w:w="0" w:type="dxa"/>
        <w:tblLayout w:type="fixed"/>
        <w:tblCellMar>
          <w:top w:w="0" w:type="dxa"/>
          <w:left w:w="0" w:type="dxa"/>
          <w:bottom w:w="0" w:type="dxa"/>
          <w:right w:w="0" w:type="dxa"/>
        </w:tblCellMar>
      </w:tblPr>
      <w:tblGrid>
        <w:gridCol w:w="4895"/>
        <w:gridCol w:w="60"/>
        <w:gridCol w:w="132"/>
        <w:gridCol w:w="1010"/>
        <w:gridCol w:w="85"/>
        <w:gridCol w:w="63"/>
        <w:gridCol w:w="132"/>
        <w:gridCol w:w="1010"/>
        <w:gridCol w:w="80"/>
        <w:gridCol w:w="60"/>
        <w:gridCol w:w="125"/>
        <w:gridCol w:w="950"/>
        <w:gridCol w:w="80"/>
        <w:gridCol w:w="60"/>
        <w:gridCol w:w="125"/>
        <w:gridCol w:w="950"/>
        <w:gridCol w:w="80"/>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43,270</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94,645</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33,708</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77,503</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9,562</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17,142</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17,176</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4,596</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25,502</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35,806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47,274</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(26,244</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(26,115</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(26,115</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4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14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7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7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39,364,720</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29,488,561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38,863,694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29,181,913</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39,364,720</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29,488,561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38,863,694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29,181,913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compincome"/>
      <w:bookmarkEnd w:id="7"/>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8824" w:type="dxa"/>
        <w:jc w:val="left"/>
        <w:tblInd w:w="0" w:type="dxa"/>
        <w:tblLayout w:type="fixed"/>
        <w:tblCellMar>
          <w:top w:w="0" w:type="dxa"/>
          <w:left w:w="0" w:type="dxa"/>
          <w:bottom w:w="0" w:type="dxa"/>
          <w:right w:w="0" w:type="dxa"/>
        </w:tblCellMar>
      </w:tblPr>
      <w:tblGrid>
        <w:gridCol w:w="3890"/>
        <w:gridCol w:w="60"/>
        <w:gridCol w:w="180"/>
        <w:gridCol w:w="936"/>
        <w:gridCol w:w="115"/>
        <w:gridCol w:w="86"/>
        <w:gridCol w:w="180"/>
        <w:gridCol w:w="936"/>
        <w:gridCol w:w="80"/>
        <w:gridCol w:w="60"/>
        <w:gridCol w:w="164"/>
        <w:gridCol w:w="855"/>
        <w:gridCol w:w="105"/>
        <w:gridCol w:w="78"/>
        <w:gridCol w:w="164"/>
        <w:gridCol w:w="855"/>
        <w:gridCol w:w="80"/>
      </w:tblGrid>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(26,115</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(49,285</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(26,958</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(51,791</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8" w:name="eq"/>
      <w:bookmarkEnd w:id="8"/>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and Six Months ended June 30, 2024 and 2023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for share amount)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184"/>
        <w:gridCol w:w="60"/>
        <w:gridCol w:w="71"/>
        <w:gridCol w:w="624"/>
        <w:gridCol w:w="63"/>
        <w:gridCol w:w="63"/>
        <w:gridCol w:w="184"/>
        <w:gridCol w:w="436"/>
        <w:gridCol w:w="60"/>
        <w:gridCol w:w="60"/>
        <w:gridCol w:w="120"/>
        <w:gridCol w:w="665"/>
        <w:gridCol w:w="80"/>
        <w:gridCol w:w="60"/>
        <w:gridCol w:w="205"/>
        <w:gridCol w:w="910"/>
        <w:gridCol w:w="80"/>
        <w:gridCol w:w="60"/>
        <w:gridCol w:w="139"/>
        <w:gridCol w:w="841"/>
        <w:gridCol w:w="80"/>
        <w:gridCol w:w="60"/>
        <w:gridCol w:w="155"/>
        <w:gridCol w:w="861"/>
        <w:gridCol w:w="84"/>
      </w:tblGrid>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4" w:type="dxa"/>
            <w:tcBorders/>
            <w:shd w:fill="FFFF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4"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2024</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38,729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(288,288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195,726</w:t>
            </w:r>
          </w:p>
        </w:tc>
        <w:tc>
          <w:tcPr>
            <w:tcW w:w="84"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(1,661</w:t>
            </w:r>
          </w:p>
        </w:tc>
        <w:tc>
          <w:tcPr>
            <w:tcW w:w="8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3,267</w:t>
            </w:r>
          </w:p>
        </w:tc>
        <w:tc>
          <w:tcPr>
            <w:tcW w:w="84"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16,120</w:t>
            </w:r>
          </w:p>
        </w:tc>
        <w:tc>
          <w:tcPr>
            <w:tcW w:w="84"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(843</w:t>
            </w:r>
          </w:p>
        </w:tc>
        <w:tc>
          <w:tcPr>
            <w:tcW w:w="8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1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(26,115</w:t>
            </w:r>
          </w:p>
        </w:tc>
        <w:tc>
          <w:tcPr>
            <w:tcW w:w="8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2024</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40,645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502,387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(314,403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186,494</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180"/>
        <w:gridCol w:w="60"/>
        <w:gridCol w:w="72"/>
        <w:gridCol w:w="623"/>
        <w:gridCol w:w="65"/>
        <w:gridCol w:w="65"/>
        <w:gridCol w:w="184"/>
        <w:gridCol w:w="436"/>
        <w:gridCol w:w="60"/>
        <w:gridCol w:w="60"/>
        <w:gridCol w:w="120"/>
        <w:gridCol w:w="665"/>
        <w:gridCol w:w="80"/>
        <w:gridCol w:w="60"/>
        <w:gridCol w:w="205"/>
        <w:gridCol w:w="910"/>
        <w:gridCol w:w="80"/>
        <w:gridCol w:w="60"/>
        <w:gridCol w:w="139"/>
        <w:gridCol w:w="841"/>
        <w:gridCol w:w="80"/>
        <w:gridCol w:w="60"/>
        <w:gridCol w:w="154"/>
        <w:gridCol w:w="861"/>
        <w:gridCol w:w="85"/>
      </w:tblGrid>
      <w:tr>
        <w:trPr/>
        <w:tc>
          <w:tcPr>
            <w:tcW w:w="4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xml:space="preserve">Common Stock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5" w:type="dxa"/>
            <w:tcBorders/>
            <w:shd w:fill="FFFF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5"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2023</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29,072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394,148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(225,362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172,638</w:t>
            </w:r>
          </w:p>
        </w:tc>
        <w:tc>
          <w:tcPr>
            <w:tcW w:w="85"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rStyle w:val="Emphasis"/>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3,062</w:t>
            </w:r>
          </w:p>
        </w:tc>
        <w:tc>
          <w:tcPr>
            <w:tcW w:w="85"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9,879</w:t>
            </w:r>
          </w:p>
        </w:tc>
        <w:tc>
          <w:tcPr>
            <w:tcW w:w="85"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rStyle w:val="Emphasis"/>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(5,293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(5,293</w:t>
            </w:r>
          </w:p>
        </w:tc>
        <w:tc>
          <w:tcPr>
            <w:tcW w:w="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(16,944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(16,944</w:t>
            </w:r>
          </w:p>
        </w:tc>
        <w:tc>
          <w:tcPr>
            <w:tcW w:w="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2023</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31,785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163,259</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184"/>
        <w:gridCol w:w="60"/>
        <w:gridCol w:w="71"/>
        <w:gridCol w:w="624"/>
        <w:gridCol w:w="63"/>
        <w:gridCol w:w="63"/>
        <w:gridCol w:w="184"/>
        <w:gridCol w:w="436"/>
        <w:gridCol w:w="60"/>
        <w:gridCol w:w="60"/>
        <w:gridCol w:w="120"/>
        <w:gridCol w:w="665"/>
        <w:gridCol w:w="80"/>
        <w:gridCol w:w="60"/>
        <w:gridCol w:w="205"/>
        <w:gridCol w:w="910"/>
        <w:gridCol w:w="80"/>
        <w:gridCol w:w="60"/>
        <w:gridCol w:w="139"/>
        <w:gridCol w:w="841"/>
        <w:gridCol w:w="80"/>
        <w:gridCol w:w="60"/>
        <w:gridCol w:w="155"/>
        <w:gridCol w:w="861"/>
        <w:gridCol w:w="84"/>
      </w:tblGrid>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4" w:type="dxa"/>
            <w:tcBorders/>
            <w:shd w:fill="FFFF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4"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January 1, 2024</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38,148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478,972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(265,116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214,869</w:t>
            </w:r>
          </w:p>
        </w:tc>
        <w:tc>
          <w:tcPr>
            <w:tcW w:w="84"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options exercised,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(2,670</w:t>
            </w:r>
          </w:p>
        </w:tc>
        <w:tc>
          <w:tcPr>
            <w:tcW w:w="8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1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6,107</w:t>
            </w:r>
          </w:p>
        </w:tc>
        <w:tc>
          <w:tcPr>
            <w:tcW w:w="84"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Public offering of common stock, net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19,946</w:t>
            </w:r>
          </w:p>
        </w:tc>
        <w:tc>
          <w:tcPr>
            <w:tcW w:w="84"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converted by Notes Holder</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84"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(2,508</w:t>
            </w:r>
          </w:p>
        </w:tc>
        <w:tc>
          <w:tcPr>
            <w:tcW w:w="8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1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(49,285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(49,285</w:t>
            </w:r>
          </w:p>
        </w:tc>
        <w:tc>
          <w:tcPr>
            <w:tcW w:w="8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2024</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40,645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502,387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(314,403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186,494</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383"/>
        <w:gridCol w:w="60"/>
        <w:gridCol w:w="72"/>
        <w:gridCol w:w="628"/>
        <w:gridCol w:w="63"/>
        <w:gridCol w:w="63"/>
        <w:gridCol w:w="184"/>
        <w:gridCol w:w="436"/>
        <w:gridCol w:w="60"/>
        <w:gridCol w:w="60"/>
        <w:gridCol w:w="120"/>
        <w:gridCol w:w="665"/>
        <w:gridCol w:w="80"/>
        <w:gridCol w:w="60"/>
        <w:gridCol w:w="205"/>
        <w:gridCol w:w="910"/>
        <w:gridCol w:w="80"/>
        <w:gridCol w:w="60"/>
        <w:gridCol w:w="110"/>
        <w:gridCol w:w="665"/>
        <w:gridCol w:w="80"/>
        <w:gridCol w:w="60"/>
        <w:gridCol w:w="155"/>
        <w:gridCol w:w="863"/>
        <w:gridCol w:w="83"/>
      </w:tblGrid>
      <w:tr>
        <w:trPr/>
        <w:tc>
          <w:tcPr>
            <w:tcW w:w="43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pPr>
            <w:r>
              <w:rPr/>
              <w:t> </w:t>
            </w:r>
          </w:p>
        </w:tc>
      </w:tr>
      <w:tr>
        <w:trPr/>
        <w:tc>
          <w:tcPr>
            <w:tcW w:w="4383"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pPr>
            <w:r>
              <w:rPr/>
              <w:t> </w:t>
            </w:r>
          </w:p>
        </w:tc>
      </w:tr>
      <w:tr>
        <w:trPr/>
        <w:tc>
          <w:tcPr>
            <w:tcW w:w="4383"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3" w:type="dxa"/>
            <w:tcBorders/>
            <w:shd w:fill="FFFFFF" w:val="clear"/>
            <w:vAlign w:val="center"/>
          </w:tcPr>
          <w:p>
            <w:pPr>
              <w:pStyle w:val="TableContents"/>
              <w:bidi w:val="0"/>
              <w:spacing w:before="0" w:after="283"/>
              <w:jc w:val="left"/>
              <w:rPr/>
            </w:pPr>
            <w:r>
              <w:rPr/>
              <w:t> </w:t>
            </w:r>
          </w:p>
        </w:tc>
      </w:tr>
      <w:tr>
        <w:trPr/>
        <w:tc>
          <w:tcPr>
            <w:tcW w:w="4383"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3" w:type="dxa"/>
            <w:tcBorders/>
            <w:shd w:fill="FFFFFF" w:val="clear"/>
            <w:vAlign w:val="center"/>
          </w:tcPr>
          <w:p>
            <w:pPr>
              <w:pStyle w:val="TableContents"/>
              <w:bidi w:val="0"/>
              <w:spacing w:before="0" w:after="283"/>
              <w:jc w:val="left"/>
              <w:rPr/>
            </w:pPr>
            <w:r>
              <w:rPr/>
              <w:t> </w:t>
            </w:r>
          </w:p>
        </w:tc>
      </w:tr>
      <w:tr>
        <w:trPr/>
        <w:tc>
          <w:tcPr>
            <w:tcW w:w="43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January 1, 2023</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28,623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391,526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(209,068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184,670</w:t>
            </w:r>
          </w:p>
        </w:tc>
        <w:tc>
          <w:tcPr>
            <w:tcW w:w="83" w:type="dxa"/>
            <w:tcBorders/>
            <w:shd w:fill="CCEEFF" w:val="clear"/>
            <w:vAlign w:val="center"/>
          </w:tcPr>
          <w:p>
            <w:pPr>
              <w:pStyle w:val="TableContents"/>
              <w:bidi w:val="0"/>
              <w:spacing w:before="0" w:after="283"/>
              <w:jc w:val="left"/>
              <w:rPr/>
            </w:pPr>
            <w:r>
              <w:rPr/>
              <w:t> </w:t>
            </w:r>
          </w:p>
        </w:tc>
      </w:tr>
      <w:tr>
        <w:trPr/>
        <w:tc>
          <w:tcPr>
            <w:tcW w:w="43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w:t>
            </w:r>
          </w:p>
        </w:tc>
        <w:tc>
          <w:tcPr>
            <w:tcW w:w="8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3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5,352</w:t>
            </w:r>
          </w:p>
        </w:tc>
        <w:tc>
          <w:tcPr>
            <w:tcW w:w="83" w:type="dxa"/>
            <w:tcBorders/>
            <w:shd w:fill="CCEEFF" w:val="clear"/>
            <w:vAlign w:val="center"/>
          </w:tcPr>
          <w:p>
            <w:pPr>
              <w:pStyle w:val="TableContents"/>
              <w:bidi w:val="0"/>
              <w:spacing w:before="0" w:after="283"/>
              <w:jc w:val="left"/>
              <w:rPr/>
            </w:pPr>
            <w:r>
              <w:rPr/>
              <w:t> </w:t>
            </w:r>
          </w:p>
        </w:tc>
      </w:tr>
      <w:tr>
        <w:trPr/>
        <w:tc>
          <w:tcPr>
            <w:tcW w:w="43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2,655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10,287</w:t>
            </w:r>
          </w:p>
        </w:tc>
        <w:tc>
          <w:tcPr>
            <w:tcW w:w="83" w:type="dxa"/>
            <w:tcBorders/>
            <w:shd w:fill="FFFFFF" w:val="clear"/>
            <w:vAlign w:val="center"/>
          </w:tcPr>
          <w:p>
            <w:pPr>
              <w:pStyle w:val="TableContents"/>
              <w:bidi w:val="0"/>
              <w:spacing w:before="0" w:after="283"/>
              <w:jc w:val="left"/>
              <w:rPr/>
            </w:pPr>
            <w:r>
              <w:rPr/>
              <w:t> </w:t>
            </w:r>
          </w:p>
        </w:tc>
      </w:tr>
      <w:tr>
        <w:trPr/>
        <w:tc>
          <w:tcPr>
            <w:tcW w:w="43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(3,653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(3,654</w:t>
            </w:r>
          </w:p>
        </w:tc>
        <w:tc>
          <w:tcPr>
            <w:tcW w:w="8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3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(33,237</w:t>
            </w:r>
          </w:p>
        </w:tc>
        <w:tc>
          <w:tcPr>
            <w:tcW w:w="8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3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2023</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31,785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163,259</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p>
      <w:pPr>
        <w:pStyle w:val="TextBody"/>
        <w:bidi w:val="0"/>
        <w:spacing w:before="0" w:after="0"/>
        <w:jc w:val="left"/>
        <w:rPr/>
      </w:pPr>
      <w:r>
        <w:rPr/>
        <w:t xml:space="preserve">  </w:t>
      </w:r>
    </w:p>
    <w:tbl>
      <w:tblPr>
        <w:tblW w:w="10031" w:type="dxa"/>
        <w:jc w:val="left"/>
        <w:tblInd w:w="0" w:type="dxa"/>
        <w:tblLayout w:type="fixed"/>
        <w:tblCellMar>
          <w:top w:w="0" w:type="dxa"/>
          <w:left w:w="0" w:type="dxa"/>
          <w:bottom w:w="0" w:type="dxa"/>
          <w:right w:w="0" w:type="dxa"/>
        </w:tblCellMar>
      </w:tblPr>
      <w:tblGrid>
        <w:gridCol w:w="7670"/>
        <w:gridCol w:w="60"/>
        <w:gridCol w:w="164"/>
        <w:gridCol w:w="855"/>
        <w:gridCol w:w="105"/>
        <w:gridCol w:w="78"/>
        <w:gridCol w:w="164"/>
        <w:gridCol w:w="855"/>
        <w:gridCol w:w="80"/>
      </w:tblGrid>
      <w:tr>
        <w:trPr/>
        <w:tc>
          <w:tcPr>
            <w:tcW w:w="7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(49,285</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of bad debt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reserve adjustment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3,053</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10,062</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10,522</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disposal of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8,897</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5,352</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foreign exchange (gain) loss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trade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(11,425</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18,596</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Notes receivable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Prepaid income tax</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5,579</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6,980</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right of use asset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Accrued Income Tax</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8,720</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(30,470</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5,868</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(8,739</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equipment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and prepaid for equipment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(3,192</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(12,156</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of long-term debt and notes payable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line of credit borrowings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21,183</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45,343</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line of credit borrowings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(21,729</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bank acceptance payable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15,112</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27,813</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bank acceptance payable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(25,487</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from issuance of convertible senior notes, net of debt issuance costs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of financing lease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pPr>
            <w:r>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from issuance of shares under equity plans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tax withholding on behalf of employees related to share-based compensation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(2,670</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common stock offering, net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19,946</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10,287</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Cash Settlement of share-based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(2,791</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(used)/provided by financing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(38,979</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55,097</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35,587</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16,118</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28,612</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net of amounts capitalized</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2,527</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3,611</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accounts payable related to property and equipment additions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shd w:fill="CCEEFF" w:val="clear"/>
            <w:vAlign w:val="center"/>
          </w:tcPr>
          <w:p>
            <w:pPr>
              <w:pStyle w:val="TableContents"/>
              <w:bidi w:val="0"/>
              <w:spacing w:before="0" w:after="283"/>
              <w:jc w:val="left"/>
              <w:rPr/>
            </w:pPr>
            <w:r>
              <w:rPr/>
              <w:t> </w:t>
            </w:r>
          </w:p>
        </w:tc>
      </w:tr>
      <w:tr>
        <w:trPr/>
        <w:tc>
          <w:tcPr>
            <w:tcW w:w="7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deposits and prepaid for equipment related to property and equipment additions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0" w:name="notes"/>
      <w:bookmarkEnd w:id="10"/>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Description of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Business Overview</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Applied Optoelectronics, Inc. ("AOI" or the "Company") is a Delaware corporation. The Company is a leading, vertically integrated provider of fiber-optic networking products, primarily for </w:t>
      </w:r>
      <w:r>
        <w:rPr>
          <w:rStyle w:val="Emphasis"/>
          <w:rFonts w:ascii="Times New Roman;Times;serif" w:hAnsi="Times New Roman;Times;serif"/>
          <w:sz w:val="20"/>
        </w:rPr>
        <w:t>four</w:t>
      </w:r>
      <w:r>
        <w:rPr>
          <w:rFonts w:ascii="Times New Roman;Times;serif" w:hAnsi="Times New Roman;Times;serif"/>
          <w:sz w:val="20"/>
        </w:rPr>
        <w:t xml:space="preserve">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CATV and certain data center transceiver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Interim Financial Statements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The accompanying unaudited condensed consolidated financial statements of the Company as of </w:t>
      </w:r>
      <w:r>
        <w:rPr>
          <w:rStyle w:val="Emphasis"/>
          <w:rFonts w:ascii="Times New Roman;Times;serif" w:hAnsi="Times New Roman;Times;serif"/>
          <w:sz w:val="20"/>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2023</w:t>
      </w:r>
      <w:r>
        <w:rPr>
          <w:rFonts w:ascii="Times New Roman;Times;serif" w:hAnsi="Times New Roman;Times;serif"/>
          <w:sz w:val="20"/>
        </w:rPr>
        <w:t xml:space="preserve"> and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 xml:space="preserve"> and </w:t>
      </w:r>
      <w:r>
        <w:rPr>
          <w:rStyle w:val="Emphasis"/>
          <w:rFonts w:ascii="Times New Roman;Times;serif" w:hAnsi="Times New Roman;Times;serif"/>
          <w:sz w:val="20"/>
        </w:rPr>
        <w:t>June 30, 2023</w:t>
      </w:r>
      <w:r>
        <w:rPr>
          <w:rFonts w:ascii="Times New Roman;Times;serif" w:hAnsi="Times New Roman;Times;serif"/>
          <w:sz w:val="20"/>
        </w:rPr>
        <w:t xml:space="preserve">, have been prepared in accordance with accounting principles generally accepted in the United States of America ("GAAP") for interim information and with the instructions on Form </w:t>
      </w:r>
      <w:r>
        <w:rPr>
          <w:rStyle w:val="Emphasis"/>
          <w:rFonts w:ascii="Times New Roman;Times;serif" w:hAnsi="Times New Roman;Times;serif"/>
          <w:sz w:val="20"/>
        </w:rPr>
        <w:t>10</w:t>
      </w:r>
      <w:r>
        <w:rPr>
          <w:rFonts w:ascii="Times New Roman;Times;serif" w:hAnsi="Times New Roman;Times;serif"/>
          <w:sz w:val="20"/>
        </w:rPr>
        <w:t xml:space="preserve">-Q and Rule </w:t>
      </w:r>
      <w:r>
        <w:rPr>
          <w:rStyle w:val="Emphasis"/>
          <w:rFonts w:ascii="Times New Roman;Times;serif" w:hAnsi="Times New Roman;Times;serif"/>
          <w:sz w:val="20"/>
        </w:rPr>
        <w:t>10</w:t>
      </w:r>
      <w:r>
        <w:rPr>
          <w:rFonts w:ascii="Times New Roman;Times;serif" w:hAnsi="Times New Roman;Times;serif"/>
          <w:sz w:val="20"/>
        </w:rPr>
        <w:t>-</w:t>
      </w:r>
      <w:r>
        <w:rPr>
          <w:rStyle w:val="Emphasis"/>
          <w:rFonts w:ascii="Times New Roman;Times;serif" w:hAnsi="Times New Roman;Times;serif"/>
          <w:sz w:val="20"/>
        </w:rPr>
        <w:t>01</w:t>
      </w:r>
      <w:r>
        <w:rPr>
          <w:rFonts w:ascii="Times New Roman;Times;serif" w:hAnsi="Times New Roman;Times;serif"/>
          <w:sz w:val="20"/>
        </w:rPr>
        <w:t xml:space="preserve"> of Regulation S-</w:t>
      </w:r>
      <w:r>
        <w:rPr>
          <w:rStyle w:val="Emphasis"/>
          <w:rFonts w:ascii="Times New Roman;Times;serif" w:hAnsi="Times New Roman;Times;serif"/>
          <w:sz w:val="20"/>
        </w:rPr>
        <w:t>X</w:t>
      </w:r>
      <w:r>
        <w:rPr>
          <w:rFonts w:ascii="Times New Roman;Times;serif" w:hAnsi="Times New Roman;Times;serif"/>
          <w:sz w:val="20"/>
        </w:rPr>
        <w:t xml:space="preserve">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("Annual Report") for the fiscal year ended </w:t>
      </w:r>
      <w:r>
        <w:rPr>
          <w:rStyle w:val="Emphasis"/>
          <w:rFonts w:ascii="Times New Roman;Times;serif" w:hAnsi="Times New Roman;Times;serif"/>
          <w:sz w:val="20"/>
        </w:rPr>
        <w:t>December 31, 2023</w:t>
      </w:r>
      <w:r>
        <w:rPr>
          <w:rFonts w:ascii="Times New Roman;Times;serif" w:hAnsi="Times New Roman;Times;serif"/>
          <w:sz w:val="20"/>
        </w:rPr>
        <w:t>. The results of operations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expected for the entire fiscal year. All significant inter-company accounts and transactions have been eliminated.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Actual results could differ materially from those estimates in the consolidated financial statement</w:t>
      </w:r>
      <w:r>
        <w:rPr>
          <w:rFonts w:ascii="Times New Roman;Times;serif" w:hAnsi="Times New Roman;Times;serif"/>
          <w:sz w:val="20"/>
          <w:shd w:fill="FFFFFF" w:val="clear"/>
        </w:rPr>
        <w:t>s and accompanying notes. Significant estimates and assumptions that impact these financial statements and the accompanying notes relate to, among other things, revenue recognition, allowance for doubtful accounts, inventory reserve, impairment of long-lived assets, service and product warranty costs, share-based compensation expense, estimated useful lives of tangible and intangible assets, and taxes.</w:t>
      </w:r>
    </w:p>
    <w:p>
      <w:pPr>
        <w:pStyle w:val="TextBody"/>
        <w:bidi w:val="0"/>
        <w:spacing w:before="0" w:after="0"/>
        <w:ind w:left="0" w:right="0" w:firstLine="72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There have been </w:t>
      </w:r>
      <w:r>
        <w:rPr>
          <w:rStyle w:val="Emphasis"/>
          <w:rFonts w:ascii="Times New Roman;Times;serif" w:hAnsi="Times New Roman;Times;serif"/>
          <w:sz w:val="20"/>
        </w:rPr>
        <w:t>no</w:t>
      </w:r>
      <w:r>
        <w:rPr>
          <w:rFonts w:ascii="Times New Roman;Times;serif" w:hAnsi="Times New Roman;Times;serif"/>
          <w:sz w:val="20"/>
        </w:rPr>
        <w:t xml:space="preserve"> changes in the Company’s significant accounting policies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 as compared to the significant accounting policies described in its </w:t>
      </w:r>
      <w:r>
        <w:rPr>
          <w:rStyle w:val="Emphasis"/>
          <w:rFonts w:ascii="Times New Roman;Times;serif" w:hAnsi="Times New Roman;Times;serif"/>
          <w:sz w:val="20"/>
        </w:rPr>
        <w:t>2023</w:t>
      </w:r>
      <w:r>
        <w:rPr>
          <w:rFonts w:ascii="Times New Roman;Times;serif" w:hAnsi="Times New Roman;Times;serif"/>
          <w:sz w:val="20"/>
        </w:rPr>
        <w:t xml:space="preserve"> Annual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Recent Accounting Pronouncements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pPr>
      <w:r>
        <w:rPr>
          <w:caps w:val="false"/>
          <w:smallCaps w:val="false"/>
        </w:rPr>
        <w:t>           </w:t>
      </w:r>
      <w:r>
        <w:rPr>
          <w:rFonts w:ascii="Times New Roman" w:hAnsi="Times New Roman"/>
          <w:caps w:val="false"/>
          <w:smallCaps w:val="false"/>
          <w:sz w:val="20"/>
        </w:rPr>
        <w:t xml:space="preserve">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accounting pronouncement adopted in </w:t>
      </w:r>
      <w:r>
        <w:rPr>
          <w:rStyle w:val="Emphasis"/>
          <w:rFonts w:ascii="Times New Roman" w:hAnsi="Times New Roman"/>
          <w:caps w:val="false"/>
          <w:smallCaps w:val="false"/>
          <w:sz w:val="20"/>
        </w:rPr>
        <w:t>Q2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p>
    <w:p>
      <w:pPr>
        <w:pStyle w:val="TextBody"/>
        <w:bidi w:val="0"/>
        <w:spacing w:before="0" w:after="0"/>
        <w:ind w:left="160" w:right="0" w:hanging="0"/>
        <w:jc w:val="left"/>
        <w:rPr>
          <w:caps w:val="false"/>
          <w:smallCaps w:val="false"/>
        </w:rPr>
      </w:pPr>
      <w:r>
        <w:rPr>
          <w:caps w:val="false"/>
          <w:smallCaps w:val="false"/>
        </w:rPr>
        <w:t>         </w:t>
      </w:r>
      <w:r>
        <w:rPr>
          <w:caps w:val="false"/>
          <w:smallCaps w:val="false"/>
          <w:shd w:fill="FFFFFF"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Recent Accounting Pronouncements Yet to be Adopted</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2023, </w:t>
      </w:r>
      <w:r>
        <w:rPr>
          <w:rFonts w:ascii="Times New Roman" w:hAnsi="Times New Roman"/>
          <w:caps w:val="false"/>
          <w:smallCaps w:val="false"/>
          <w:sz w:val="20"/>
        </w:rPr>
        <w:t xml:space="preserve">the Financial Accounting Standard Board ("FASB") issued Accounting Standard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which requires the Company to disclose disaggregated jurisdictional and categorical information for the tax rate reconciliation, income taxes paid and other income tax related amounts. This guidance is effective for annual periods beginning after </w:t>
      </w:r>
      <w:r>
        <w:rPr>
          <w:rStyle w:val="Emphasis"/>
          <w:rFonts w:ascii="Times New Roman" w:hAnsi="Times New Roman"/>
          <w:caps w:val="false"/>
          <w:smallCaps w:val="false"/>
          <w:sz w:val="20"/>
        </w:rPr>
        <w:t xml:space="preserve"> December 15, 2024, </w:t>
      </w:r>
      <w:r>
        <w:rPr>
          <w:rFonts w:ascii="Times New Roman" w:hAnsi="Times New Roman"/>
          <w:caps w:val="false"/>
          <w:smallCaps w:val="false"/>
          <w:sz w:val="20"/>
        </w:rPr>
        <w:t>with early adoption permitted. The adoption is expected to enhance the Company's Notes to the Consolidated Financial Statements. The Company is currently evaluating the impact the new standard will have on its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color w:val="000000"/>
          <w:sz w:val="20"/>
        </w:rPr>
        <w:t xml:space="preserve">In </w:t>
      </w:r>
      <w:r>
        <w:rPr>
          <w:rStyle w:val="Emphasis"/>
          <w:rFonts w:ascii="Times New Roman" w:hAnsi="Times New Roman"/>
          <w:caps w:val="false"/>
          <w:smallCaps w:val="false"/>
          <w:color w:val="000000"/>
          <w:sz w:val="20"/>
        </w:rPr>
        <w:t>November 2023</w:t>
      </w:r>
      <w:r>
        <w:rPr>
          <w:rFonts w:ascii="Times New Roman" w:hAnsi="Times New Roman"/>
          <w:caps w:val="false"/>
          <w:smallCaps w:val="false"/>
          <w:sz w:val="20"/>
        </w:rPr>
        <w:t>, 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t>
      </w:r>
      <w:r>
        <w:rPr>
          <w:rFonts w:ascii="Times New Roman" w:hAnsi="Times New Roman"/>
          <w:i/>
          <w:caps w:val="false"/>
          <w:smallCaps w:val="false"/>
          <w:sz w:val="20"/>
        </w:rPr>
        <w:t>Segment Reporting (Topic </w:t>
      </w:r>
      <w:r>
        <w:rPr>
          <w:rStyle w:val="Emphasis"/>
          <w:rFonts w:ascii="Times New Roman" w:hAnsi="Times New Roman"/>
          <w:i/>
          <w:caps w:val="false"/>
          <w:smallCaps w:val="false"/>
          <w:sz w:val="20"/>
        </w:rPr>
        <w:t>280</w:t>
      </w:r>
      <w:r>
        <w:rPr>
          <w:rFonts w:ascii="Times New Roman" w:hAnsi="Times New Roman"/>
          <w:i/>
          <w:caps w:val="false"/>
          <w:smallCaps w:val="false"/>
          <w:sz w:val="20"/>
        </w:rPr>
        <w:t>): Improvements to Reportable Segment Disclosures</w:t>
      </w:r>
      <w:r>
        <w:rPr>
          <w:rFonts w:ascii="Times New Roman" w:hAnsi="Times New Roman"/>
          <w:caps w:val="false"/>
          <w:smallCaps w:val="false"/>
          <w:sz w:val="20"/>
        </w:rPr>
        <w:t>", which requires the Company to expand the breadth and frequency of segment disclosures to include additional information about significant segment expenses, the chief operating decision maker (CODM) and other items, and also require the annual disclosures on an interim basis. This guidance is effective for annual periods beginning after </w:t>
      </w:r>
      <w:r>
        <w:rPr>
          <w:rStyle w:val="Emphasis"/>
          <w:rFonts w:ascii="Times New Roman" w:hAnsi="Times New Roman"/>
          <w:caps w:val="false"/>
          <w:smallCaps w:val="false"/>
          <w:sz w:val="20"/>
        </w:rPr>
        <w:t xml:space="preserve"> December 15, 2023, </w:t>
      </w:r>
      <w:r>
        <w:rPr>
          <w:rFonts w:ascii="Times New Roman" w:hAnsi="Times New Roman"/>
          <w:caps w:val="false"/>
          <w:smallCaps w:val="false"/>
          <w:sz w:val="20"/>
        </w:rPr>
        <w:t xml:space="preserve">with early adoption permitted. The standard will be effective for the Company beginning with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w:t>
      </w:r>
      <w:r>
        <w:rPr>
          <w:rFonts w:ascii="Times New Roman" w:hAnsi="Times New Roman"/>
          <w:caps w:val="false"/>
          <w:smallCaps w:val="false"/>
          <w:sz w:val="20"/>
        </w:rPr>
        <w:t>-K and interim periods afterwards. The Company has evaluated this new standard and intends to comply with the new disclosure requirements when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October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w:t>
      </w:r>
      <w:r>
        <w:rPr>
          <w:rFonts w:ascii="Times New Roman" w:hAnsi="Times New Roman"/>
          <w:i/>
          <w:caps w:val="false"/>
          <w:smallCaps w:val="false"/>
          <w:sz w:val="20"/>
        </w:rPr>
        <w:t>Codification Amendments in Response to the SEC’s Disclosure Update and Simplification Initiative</w:t>
      </w:r>
      <w:r>
        <w:rPr>
          <w:rFonts w:ascii="Times New Roman" w:hAnsi="Times New Roman"/>
          <w:caps w:val="false"/>
          <w:smallCaps w:val="false"/>
          <w:sz w:val="20"/>
        </w:rPr>
        <w:t>", which amends U.S. GAAP to include </w:t>
      </w:r>
      <w:r>
        <w:rPr>
          <w:rStyle w:val="Emphasis"/>
          <w:rFonts w:ascii="Times New Roman" w:hAnsi="Times New Roman"/>
          <w:caps w:val="false"/>
          <w:smallCaps w:val="false"/>
          <w:sz w:val="20"/>
        </w:rPr>
        <w:t>14</w:t>
      </w:r>
      <w:r>
        <w:rPr>
          <w:rFonts w:ascii="Times New Roman" w:hAnsi="Times New Roman"/>
          <w:caps w:val="false"/>
          <w:smallCaps w:val="false"/>
          <w:sz w:val="20"/>
        </w:rPr>
        <w:t> disclosure requirements that are currently required under SEC Regulation S-</w:t>
      </w:r>
      <w:r>
        <w:rPr>
          <w:rStyle w:val="Emphasis"/>
          <w:rFonts w:ascii="Times New Roman" w:hAnsi="Times New Roman"/>
          <w:caps w:val="false"/>
          <w:smallCaps w:val="false"/>
          <w:sz w:val="20"/>
        </w:rPr>
        <w:t>X</w:t>
      </w:r>
      <w:r>
        <w:rPr>
          <w:rFonts w:ascii="Times New Roman" w:hAnsi="Times New Roman"/>
          <w:caps w:val="false"/>
          <w:smallCaps w:val="false"/>
          <w:sz w:val="20"/>
        </w:rPr>
        <w:t> or Regulation S-K. Each amendment will be effective on the date on which the SEC removes the related disclosure requirement from SEC Regulation S-</w:t>
      </w:r>
      <w:r>
        <w:rPr>
          <w:rStyle w:val="Emphasis"/>
          <w:rFonts w:ascii="Times New Roman" w:hAnsi="Times New Roman"/>
          <w:caps w:val="false"/>
          <w:smallCaps w:val="false"/>
          <w:sz w:val="20"/>
        </w:rPr>
        <w:t>X</w:t>
      </w:r>
      <w:r>
        <w:rPr>
          <w:rFonts w:ascii="Times New Roman" w:hAnsi="Times New Roman"/>
          <w:caps w:val="false"/>
          <w:smallCaps w:val="false"/>
          <w:sz w:val="20"/>
        </w:rPr>
        <w:t> or Regulation S-K.  The Company has evaluated the new standard and determined that it will have </w:t>
      </w:r>
      <w:r>
        <w:rPr>
          <w:rStyle w:val="Emphasis"/>
          <w:rFonts w:ascii="Times New Roman" w:hAnsi="Times New Roman"/>
          <w:caps w:val="false"/>
          <w:smallCaps w:val="false"/>
          <w:sz w:val="20"/>
        </w:rPr>
        <w:t>no</w:t>
      </w:r>
      <w:r>
        <w:rPr>
          <w:rFonts w:ascii="Times New Roman" w:hAnsi="Times New Roman"/>
          <w:caps w:val="false"/>
          <w:smallCaps w:val="false"/>
          <w:sz w:val="20"/>
        </w:rPr>
        <w:t> material impact on its financial statements or disclosures since the Company is already subject to the relevant SEC disclosure requirements.</w:t>
      </w:r>
    </w:p>
    <w:p>
      <w:pPr>
        <w:pStyle w:val="TextBody"/>
        <w:bidi w:val="0"/>
        <w:ind w:left="0" w:right="0" w:firstLine="720"/>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Revenue Recognition</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sz w:val="20"/>
        </w:rPr>
        <w:t xml:space="preserve">Revenue is classified based on the location where the product is manufactured. For additional information on the disaggregated revenues by geographical region, see Note </w:t>
      </w:r>
      <w:r>
        <w:rPr>
          <w:rStyle w:val="Emphasis"/>
          <w:rFonts w:ascii="Times New Roman;Times;serif" w:hAnsi="Times New Roman;Times;serif"/>
          <w:sz w:val="20"/>
        </w:rPr>
        <w:t>17,</w:t>
      </w:r>
      <w:r>
        <w:rPr>
          <w:rFonts w:ascii="Times New Roman;Times;serif" w:hAnsi="Times New Roman;Times;serif"/>
          <w:sz w:val="20"/>
        </w:rPr>
        <w:t xml:space="preserve"> "Geographic Information."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Revenue is also classified by major product categories and is presented below (in thousands):</w:t>
      </w:r>
    </w:p>
    <w:p>
      <w:pPr>
        <w:pStyle w:val="TextBody"/>
        <w:bidi w:val="0"/>
        <w:spacing w:before="0" w:after="0"/>
        <w:ind w:left="0" w:right="0" w:hanging="0"/>
        <w:jc w:val="both"/>
        <w:rPr/>
      </w:pPr>
      <w:r>
        <w:rPr/>
        <w:t>​</w:t>
      </w:r>
    </w:p>
    <w:tbl>
      <w:tblPr>
        <w:tblW w:w="4830"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79"/>
        <w:gridCol w:w="646"/>
        <w:gridCol w:w="185"/>
        <w:gridCol w:w="60"/>
        <w:gridCol w:w="125"/>
        <w:gridCol w:w="590"/>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tbl>
      <w:tblPr>
        <w:tblW w:w="4830"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79"/>
        <w:gridCol w:w="646"/>
        <w:gridCol w:w="185"/>
        <w:gridCol w:w="60"/>
        <w:gridCol w:w="125"/>
        <w:gridCol w:w="590"/>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Unearned Revenue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sz w:val="20"/>
        </w:rPr>
        <w:t>We record unearned revenues when cash payments are received or due in advance of our performance, including amounts which are refundable. Unearned revenues solely relate to statement of work with Microsoft regarding contract prices allocated to the performance obligations that are unsatisfied, or partially unsatisfied, as of the balance sheet dates. Unearned revenue balance as of </w:t>
      </w:r>
      <w:r>
        <w:rPr>
          <w:rStyle w:val="Emphasis"/>
          <w:rFonts w:ascii="Times New Roman;Times;serif" w:hAnsi="Times New Roman;Times;serif"/>
          <w:sz w:val="20"/>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2023</w:t>
      </w:r>
      <w:r>
        <w:rPr>
          <w:rFonts w:ascii="Times New Roman;Times;serif" w:hAnsi="Times New Roman;Times;serif"/>
          <w:sz w:val="20"/>
        </w:rPr>
        <w:t xml:space="preserve"> was $1.6 million and $1.8 million,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2024 </w:t>
      </w:r>
      <w:r>
        <w:rPr>
          <w:rFonts w:ascii="Times New Roman;Times;serif" w:hAnsi="Times New Roman;Times;serif"/>
          <w:sz w:val="20"/>
        </w:rPr>
        <w:t xml:space="preserve">and </w:t>
      </w:r>
      <w:r>
        <w:rPr>
          <w:rStyle w:val="Emphasis"/>
          <w:rFonts w:ascii="Times New Roman;Times;serif" w:hAnsi="Times New Roman;Times;serif"/>
          <w:sz w:val="20"/>
        </w:rPr>
        <w:t>2023</w:t>
      </w:r>
      <w:r>
        <w:rPr>
          <w:rFonts w:ascii="Times New Roman;Times;serif" w:hAnsi="Times New Roman;Times;serif"/>
          <w:sz w:val="20"/>
        </w:rPr>
        <w:t xml:space="preserve">, revenue recognized from the unearned revenue balance was $0.1 million and $0.9 million, respectively.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2024 </w:t>
      </w:r>
      <w:r>
        <w:rPr>
          <w:rFonts w:ascii="Times New Roman;Times;serif" w:hAnsi="Times New Roman;Times;serif"/>
          <w:sz w:val="20"/>
        </w:rPr>
        <w:t xml:space="preserve">and </w:t>
      </w:r>
      <w:r>
        <w:rPr>
          <w:rStyle w:val="Emphasis"/>
          <w:rFonts w:ascii="Times New Roman;Times;serif" w:hAnsi="Times New Roman;Times;serif"/>
          <w:sz w:val="20"/>
        </w:rPr>
        <w:t>2023</w:t>
      </w:r>
      <w:r>
        <w:rPr>
          <w:rFonts w:ascii="Times New Roman;Times;serif" w:hAnsi="Times New Roman;Times;serif"/>
          <w:sz w:val="20"/>
        </w:rPr>
        <w:t>, revenue recognized from the unearned revenue balance was $0.2 million and $1.2 million, respectively.</w:t>
      </w:r>
    </w:p>
    <w:p>
      <w:pPr>
        <w:pStyle w:val="TextBody"/>
        <w:bidi w:val="0"/>
        <w:spacing w:before="0" w:after="0"/>
        <w:ind w:left="0" w:right="0" w:hanging="0"/>
        <w:jc w:val="left"/>
        <w:rPr/>
      </w:pPr>
      <w:r>
        <w:rPr/>
        <w:t>   </w:t>
      </w:r>
    </w:p>
    <w:tbl>
      <w:tblPr>
        <w:tblW w:w="8170" w:type="dxa"/>
        <w:jc w:val="left"/>
        <w:tblInd w:w="0" w:type="dxa"/>
        <w:tblLayout w:type="fixed"/>
        <w:tblCellMar>
          <w:top w:w="0" w:type="dxa"/>
          <w:left w:w="0" w:type="dxa"/>
          <w:bottom w:w="0" w:type="dxa"/>
          <w:right w:w="0" w:type="dxa"/>
        </w:tblCellMar>
      </w:tblPr>
      <w:tblGrid>
        <w:gridCol w:w="3275"/>
        <w:gridCol w:w="60"/>
        <w:gridCol w:w="210"/>
        <w:gridCol w:w="817"/>
        <w:gridCol w:w="101"/>
        <w:gridCol w:w="101"/>
        <w:gridCol w:w="210"/>
        <w:gridCol w:w="994"/>
        <w:gridCol w:w="60"/>
        <w:gridCol w:w="60"/>
        <w:gridCol w:w="192"/>
        <w:gridCol w:w="746"/>
        <w:gridCol w:w="92"/>
        <w:gridCol w:w="92"/>
        <w:gridCol w:w="192"/>
        <w:gridCol w:w="908"/>
        <w:gridCol w:w="60"/>
      </w:tblGrid>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Unearned Revenue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pPr>
            <w:r>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9,884</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4.</w:t>
      </w:r>
      <w:r>
        <w:rPr>
          <w:rFonts w:ascii="Times New Roman" w:hAnsi="Times New Roman"/>
          <w:b/>
          <w:sz w:val="20"/>
        </w:rPr>
        <w:t>  Leases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The Company leases space under non-cancellable operating leases for certain manufacturing facilities, certain research and development offices, and certain storage facilities and apartments. These leases do </w:t>
      </w:r>
      <w:r>
        <w:rPr>
          <w:rStyle w:val="Emphasis"/>
          <w:rFonts w:ascii="Times New Roman" w:hAnsi="Times New Roman"/>
          <w:sz w:val="20"/>
        </w:rPr>
        <w:t>not</w:t>
      </w:r>
      <w:r>
        <w:rPr>
          <w:rFonts w:ascii="Times New Roman" w:hAnsi="Times New Roman"/>
          <w:sz w:val="20"/>
        </w:rPr>
        <w:t xml:space="preserve"> contain contingent rent provisions. The Company also leases certain machinery, office equipment and a vehicle under an operating lease.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w:t>
      </w:r>
      <w:r>
        <w:rPr>
          <w:rStyle w:val="Emphasis"/>
          <w:rFonts w:ascii="Times New Roman" w:hAnsi="Times New Roman"/>
          <w:sz w:val="20"/>
        </w:rPr>
        <w:t>one</w:t>
      </w:r>
      <w:r>
        <w:rPr>
          <w:rFonts w:ascii="Times New Roman" w:hAnsi="Times New Roman"/>
          <w:sz w:val="20"/>
        </w:rPr>
        <w:t xml:space="preserv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w:t>
      </w:r>
      <w:r>
        <w:rPr>
          <w:rStyle w:val="Emphasis"/>
          <w:rFonts w:ascii="Times New Roman" w:hAnsi="Times New Roman"/>
          <w:sz w:val="20"/>
        </w:rPr>
        <w:t>one</w:t>
      </w:r>
      <w:r>
        <w:rPr>
          <w:rFonts w:ascii="Times New Roman" w:hAnsi="Times New Roman"/>
          <w:sz w:val="20"/>
        </w:rPr>
        <w:t>-year and therefore, the Company has elected the practical expedient to exclude these short-term leases from its ROU asset and lease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As most of the Company’s leases do </w:t>
      </w:r>
      <w:r>
        <w:rPr>
          <w:rStyle w:val="Emphasis"/>
          <w:rFonts w:ascii="Times New Roman" w:hAnsi="Times New Roman"/>
          <w:sz w:val="20"/>
        </w:rPr>
        <w:t>not</w:t>
      </w:r>
      <w:r>
        <w:rPr>
          <w:rFonts w:ascii="Times New Roman" w:hAnsi="Times New Roman"/>
          <w:sz w:val="20"/>
        </w:rPr>
        <w:t xml:space="preserve">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b w:val="false"/>
          <w:sz w:val="20"/>
          <w:shd w:fill="FFFFFF" w:val="clear"/>
        </w:rPr>
        <w:t xml:space="preserve">Lease expense is included under general and administrative expenses and was </w:t>
      </w:r>
      <w:r>
        <w:rPr>
          <w:rFonts w:ascii="Times New Roman" w:hAnsi="Times New Roman"/>
          <w:b w:val="false"/>
          <w:color w:val="000000"/>
          <w:sz w:val="20"/>
          <w:shd w:fill="FFFFFF" w:val="clear"/>
        </w:rPr>
        <w:t xml:space="preserve">$0.3 million each for the </w:t>
      </w:r>
      <w:r>
        <w:rPr>
          <w:rStyle w:val="Emphasis"/>
          <w:rFonts w:ascii="Times New Roman" w:hAnsi="Times New Roman"/>
          <w:b w:val="false"/>
          <w:color w:val="000000"/>
          <w:sz w:val="20"/>
          <w:shd w:fill="FFFFFF" w:val="clear"/>
        </w:rPr>
        <w:t>three</w:t>
      </w:r>
      <w:r>
        <w:rPr>
          <w:rFonts w:ascii="Times New Roman" w:hAnsi="Times New Roman"/>
          <w:b w:val="false"/>
          <w:color w:val="000000"/>
          <w:sz w:val="20"/>
          <w:shd w:fill="FFFFFF" w:val="clear"/>
        </w:rPr>
        <w:t xml:space="preserve"> months ended </w:t>
      </w:r>
      <w:r>
        <w:rPr>
          <w:rStyle w:val="Emphasis"/>
          <w:rFonts w:ascii="Times New Roman;Times;serif" w:hAnsi="Times New Roman;Times;serif"/>
          <w:b w:val="false"/>
          <w:sz w:val="20"/>
        </w:rPr>
        <w:t xml:space="preserve">June 30, 2024 </w:t>
      </w:r>
      <w:r>
        <w:rPr>
          <w:rFonts w:ascii="Times New Roman;Times;serif" w:hAnsi="Times New Roman;Times;serif"/>
          <w:b w:val="false"/>
          <w:sz w:val="20"/>
        </w:rPr>
        <w:t xml:space="preserve">and </w:t>
      </w:r>
      <w:r>
        <w:rPr>
          <w:rStyle w:val="Emphasis"/>
          <w:rFonts w:ascii="Times New Roman;Times;serif" w:hAnsi="Times New Roman;Times;serif"/>
          <w:b w:val="false"/>
          <w:sz w:val="20"/>
        </w:rPr>
        <w:t>2023</w:t>
      </w:r>
      <w:r>
        <w:rPr>
          <w:rFonts w:ascii="Times New Roman" w:hAnsi="Times New Roman"/>
          <w:b w:val="false"/>
          <w:color w:val="0782C1"/>
          <w:sz w:val="20"/>
          <w:shd w:fill="FFFFFF" w:val="clear"/>
        </w:rPr>
        <w:t>.</w:t>
      </w:r>
      <w:r>
        <w:rPr>
          <w:rFonts w:ascii="Times New Roman;Times;serif" w:hAnsi="Times New Roman;Times;serif"/>
          <w:b w:val="false"/>
          <w:sz w:val="20"/>
        </w:rPr>
        <w:t> </w:t>
      </w:r>
      <w:r>
        <w:rPr>
          <w:rFonts w:ascii="Times New Roman" w:hAnsi="Times New Roman"/>
          <w:b w:val="false"/>
          <w:sz w:val="20"/>
        </w:rPr>
        <w:t xml:space="preserve">The lease expense was $0.6 million each for the </w:t>
      </w:r>
      <w:r>
        <w:rPr>
          <w:rStyle w:val="Emphasis"/>
          <w:rFonts w:ascii="Times New Roman" w:hAnsi="Times New Roman"/>
          <w:b w:val="false"/>
          <w:sz w:val="20"/>
        </w:rPr>
        <w:t>six</w:t>
      </w:r>
      <w:r>
        <w:rPr>
          <w:rFonts w:ascii="Times New Roman" w:hAnsi="Times New Roman"/>
          <w:b w:val="false"/>
          <w:sz w:val="20"/>
        </w:rPr>
        <w:t xml:space="preserve"> months ended </w:t>
      </w:r>
      <w:r>
        <w:rPr>
          <w:rStyle w:val="Emphasis"/>
          <w:rFonts w:ascii="Times New Roman" w:hAnsi="Times New Roman"/>
          <w:b w:val="false"/>
          <w:sz w:val="20"/>
        </w:rPr>
        <w:t xml:space="preserve">June 30, 2024 </w:t>
      </w:r>
      <w:r>
        <w:rPr>
          <w:rFonts w:ascii="Times New Roman" w:hAnsi="Times New Roman"/>
          <w:b w:val="false"/>
          <w:sz w:val="20"/>
        </w:rPr>
        <w:t xml:space="preserve">and </w:t>
      </w:r>
      <w:r>
        <w:rPr>
          <w:rStyle w:val="Emphasis"/>
          <w:rFonts w:ascii="Times New Roman" w:hAnsi="Times New Roman"/>
          <w:b w:val="false"/>
          <w:sz w:val="20"/>
        </w:rPr>
        <w:t>2023,</w:t>
      </w:r>
      <w:r>
        <w:rPr>
          <w:rFonts w:ascii="Times New Roman" w:hAnsi="Times New Roman"/>
          <w:b w:val="false"/>
          <w:sz w:val="20"/>
        </w:rPr>
        <w:t xml:space="preserve"> respectively. The components of lease expense were as follows for the periods indicated (in thousands):</w:t>
      </w:r>
    </w:p>
    <w:p>
      <w:pPr>
        <w:pStyle w:val="TextBody"/>
        <w:bidi w:val="0"/>
        <w:spacing w:before="0" w:after="0"/>
        <w:ind w:left="0" w:right="0" w:hanging="0"/>
        <w:jc w:val="left"/>
        <w:rPr/>
      </w:pPr>
      <w:r>
        <w:rPr/>
        <w:t>  </w:t>
      </w:r>
    </w:p>
    <w:tbl>
      <w:tblPr>
        <w:tblW w:w="6969" w:type="dxa"/>
        <w:jc w:val="left"/>
        <w:tblInd w:w="0" w:type="dxa"/>
        <w:tblLayout w:type="fixed"/>
        <w:tblCellMar>
          <w:top w:w="0" w:type="dxa"/>
          <w:left w:w="0" w:type="dxa"/>
          <w:bottom w:w="0" w:type="dxa"/>
          <w:right w:w="0" w:type="dxa"/>
        </w:tblCellMar>
      </w:tblPr>
      <w:tblGrid>
        <w:gridCol w:w="2075"/>
        <w:gridCol w:w="60"/>
        <w:gridCol w:w="292"/>
        <w:gridCol w:w="784"/>
        <w:gridCol w:w="140"/>
        <w:gridCol w:w="140"/>
        <w:gridCol w:w="292"/>
        <w:gridCol w:w="784"/>
        <w:gridCol w:w="60"/>
        <w:gridCol w:w="60"/>
        <w:gridCol w:w="267"/>
        <w:gridCol w:w="716"/>
        <w:gridCol w:w="128"/>
        <w:gridCol w:w="128"/>
        <w:gridCol w:w="267"/>
        <w:gridCol w:w="716"/>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0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2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expense</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pPr>
            <w:r>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 Term lease expense</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 xml:space="preserve">Maturities of lease liabilities are as follows for the future </w:t>
      </w:r>
      <w:r>
        <w:rPr>
          <w:rStyle w:val="Emphasis"/>
          <w:rFonts w:ascii="Times New Roman" w:hAnsi="Times New Roman"/>
          <w:sz w:val="20"/>
        </w:rPr>
        <w:t>one</w:t>
      </w:r>
      <w:r>
        <w:rPr>
          <w:rFonts w:ascii="Times New Roman" w:hAnsi="Times New Roman"/>
          <w:sz w:val="20"/>
        </w:rPr>
        <w:t>-year periods ending </w:t>
      </w:r>
      <w:r>
        <w:rPr>
          <w:rStyle w:val="Emphasis"/>
          <w:rFonts w:ascii="Times New Roman" w:hAnsi="Times New Roman"/>
          <w:sz w:val="20"/>
        </w:rPr>
        <w:t xml:space="preserve"> June 30, 2024</w:t>
      </w:r>
      <w:r>
        <w:rPr>
          <w:rFonts w:ascii="Times New Roman" w:hAnsi="Times New Roman"/>
          <w:sz w:val="20"/>
        </w:rPr>
        <w:t xml:space="preserve"> (in thousands):</w:t>
      </w:r>
    </w:p>
    <w:p>
      <w:pPr>
        <w:pStyle w:val="TextBody"/>
        <w:bidi w:val="0"/>
        <w:spacing w:before="0" w:after="0"/>
        <w:ind w:left="0" w:right="0" w:firstLine="720"/>
        <w:jc w:val="left"/>
        <w:rPr/>
      </w:pPr>
      <w:r>
        <w:rPr/>
        <w:t>​</w:t>
      </w:r>
    </w:p>
    <w:tbl>
      <w:tblPr>
        <w:tblW w:w="3225" w:type="dxa"/>
        <w:jc w:val="left"/>
        <w:tblInd w:w="0" w:type="dxa"/>
        <w:tblLayout w:type="fixed"/>
        <w:tblCellMar>
          <w:top w:w="0" w:type="dxa"/>
          <w:left w:w="0" w:type="dxa"/>
          <w:bottom w:w="0" w:type="dxa"/>
          <w:right w:w="0" w:type="dxa"/>
        </w:tblCellMar>
      </w:tblPr>
      <w:tblGrid>
        <w:gridCol w:w="2225"/>
        <w:gridCol w:w="60"/>
        <w:gridCol w:w="176"/>
        <w:gridCol w:w="684"/>
        <w:gridCol w:w="80"/>
      </w:tblGrid>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years:</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(remaining 6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 and thereafter</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5,367</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weighted average remaining lease term and discount rate for the leases were as follows for the periods indicated:</w:t>
      </w:r>
    </w:p>
    <w:p>
      <w:pPr>
        <w:pStyle w:val="TextBody"/>
        <w:bidi w:val="0"/>
        <w:spacing w:before="0" w:after="0"/>
        <w:ind w:left="0" w:right="0" w:hanging="0"/>
        <w:jc w:val="left"/>
        <w:rPr/>
      </w:pPr>
      <w:r>
        <w:rPr/>
        <w:t>​</w:t>
      </w:r>
    </w:p>
    <w:tbl>
      <w:tblPr>
        <w:tblW w:w="7991" w:type="dxa"/>
        <w:jc w:val="left"/>
        <w:tblInd w:w="0" w:type="dxa"/>
        <w:tblLayout w:type="fixed"/>
        <w:tblCellMar>
          <w:top w:w="0" w:type="dxa"/>
          <w:left w:w="0" w:type="dxa"/>
          <w:bottom w:w="0" w:type="dxa"/>
          <w:right w:w="0" w:type="dxa"/>
        </w:tblCellMar>
      </w:tblPr>
      <w:tblGrid>
        <w:gridCol w:w="5525"/>
        <w:gridCol w:w="60"/>
        <w:gridCol w:w="118"/>
        <w:gridCol w:w="751"/>
        <w:gridCol w:w="365"/>
        <w:gridCol w:w="118"/>
        <w:gridCol w:w="118"/>
        <w:gridCol w:w="751"/>
        <w:gridCol w:w="185"/>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365"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 - operating leases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365"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18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 - financing leases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pPr>
            <w:r>
              <w:rPr>
                <w:rStyle w:val="Emphasis"/>
              </w:rPr>
              <w:t>—</w:t>
            </w:r>
          </w:p>
        </w:tc>
        <w:tc>
          <w:tcPr>
            <w:tcW w:w="365"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0.33</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 operating leases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 financing leases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pPr>
            <w:r>
              <w:rPr/>
              <w:t>—</w:t>
            </w:r>
          </w:p>
        </w:tc>
        <w:tc>
          <w:tcPr>
            <w:tcW w:w="365"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Supplemental cash flow information related to the leases was as follows for the periods indicated (in thousands):</w:t>
      </w:r>
    </w:p>
    <w:p>
      <w:pPr>
        <w:pStyle w:val="TextBody"/>
        <w:bidi w:val="0"/>
        <w:spacing w:before="0" w:after="0"/>
        <w:ind w:left="0" w:right="0" w:firstLine="720"/>
        <w:jc w:val="left"/>
        <w:rPr/>
      </w:pPr>
      <w:r>
        <w:rPr/>
        <w:t> </w:t>
      </w:r>
    </w:p>
    <w:tbl>
      <w:tblPr>
        <w:tblW w:w="8047" w:type="dxa"/>
        <w:jc w:val="left"/>
        <w:tblInd w:w="0" w:type="dxa"/>
        <w:tblLayout w:type="fixed"/>
        <w:tblCellMar>
          <w:top w:w="0" w:type="dxa"/>
          <w:left w:w="0" w:type="dxa"/>
          <w:bottom w:w="0" w:type="dxa"/>
          <w:right w:w="0" w:type="dxa"/>
        </w:tblCellMar>
      </w:tblPr>
      <w:tblGrid>
        <w:gridCol w:w="5705"/>
        <w:gridCol w:w="60"/>
        <w:gridCol w:w="267"/>
        <w:gridCol w:w="716"/>
        <w:gridCol w:w="128"/>
        <w:gridCol w:w="128"/>
        <w:gridCol w:w="267"/>
        <w:gridCol w:w="716"/>
        <w:gridCol w:w="60"/>
      </w:tblGrid>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98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98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financing lease</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financing lease</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5.</w:t>
      </w:r>
      <w:r>
        <w:rPr>
          <w:rFonts w:ascii="Times New Roman" w:hAnsi="Times New Roman"/>
          <w:b/>
          <w:sz w:val="20"/>
        </w:rPr>
        <w:t>  Cash, Cash Equivalents and Restricted Cash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provides a reconciliation of c</w:t>
      </w:r>
      <w:r>
        <w:rPr>
          <w:rFonts w:ascii="Times New Roman" w:hAnsi="Times New Roman"/>
          <w:sz w:val="20"/>
          <w:shd w:fill="FFFFFF" w:val="clear"/>
        </w:rPr>
        <w:t>ash, cash equivalents and r</w:t>
      </w:r>
      <w:r>
        <w:rPr>
          <w:rFonts w:ascii="Times New Roman" w:hAnsi="Times New Roman"/>
          <w:sz w:val="20"/>
        </w:rPr>
        <w:t>estricted cash reported within the statement of financial position that sum to the total of the same such amounts in the statement of cash flows (in thousands):</w:t>
      </w:r>
    </w:p>
    <w:p>
      <w:pPr>
        <w:pStyle w:val="TextBody"/>
        <w:bidi w:val="0"/>
        <w:spacing w:before="0" w:after="0"/>
        <w:ind w:left="0" w:right="0" w:firstLine="720"/>
        <w:jc w:val="left"/>
        <w:rPr/>
      </w:pPr>
      <w:r>
        <w:rPr/>
        <w:t> </w:t>
      </w:r>
    </w:p>
    <w:tbl>
      <w:tblPr>
        <w:tblW w:w="8953" w:type="dxa"/>
        <w:jc w:val="left"/>
        <w:tblInd w:w="0" w:type="dxa"/>
        <w:tblLayout w:type="fixed"/>
        <w:tblCellMar>
          <w:top w:w="0" w:type="dxa"/>
          <w:left w:w="0" w:type="dxa"/>
          <w:bottom w:w="0" w:type="dxa"/>
          <w:right w:w="0" w:type="dxa"/>
        </w:tblCellMar>
      </w:tblPr>
      <w:tblGrid>
        <w:gridCol w:w="6845"/>
        <w:gridCol w:w="60"/>
        <w:gridCol w:w="126"/>
        <w:gridCol w:w="598"/>
        <w:gridCol w:w="60"/>
        <w:gridCol w:w="60"/>
        <w:gridCol w:w="199"/>
        <w:gridCol w:w="945"/>
        <w:gridCol w:w="60"/>
      </w:tblGrid>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45,366</w:t>
            </w:r>
          </w:p>
        </w:tc>
        <w:tc>
          <w:tcPr>
            <w:tcW w:w="6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9,731</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restricted cash shown in the statement of cash flows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 w:hAnsi="Times New Roman"/>
          <w:sz w:val="20"/>
        </w:rPr>
        <w:t>Restricted cash includes guarantee deposits for customs duties, China government subsidy fund, and compensating balances associated with certain credit facilities. As of </w:t>
      </w:r>
      <w:r>
        <w:rPr>
          <w:rStyle w:val="Emphasis"/>
          <w:rFonts w:ascii="Times New Roman" w:hAnsi="Times New Roman"/>
          <w:sz w:val="20"/>
        </w:rPr>
        <w:t xml:space="preserve"> June 30, 2024</w:t>
      </w:r>
      <w:r>
        <w:rPr>
          <w:rFonts w:ascii="Times New Roman" w:hAnsi="Times New Roman"/>
          <w:sz w:val="20"/>
        </w:rPr>
        <w:t xml:space="preserve"> and </w:t>
      </w:r>
      <w:r>
        <w:rPr>
          <w:rStyle w:val="Emphasis"/>
          <w:rFonts w:ascii="Times New Roman" w:hAnsi="Times New Roman"/>
          <w:sz w:val="20"/>
        </w:rPr>
        <w:t>December 31, 2023</w:t>
      </w:r>
      <w:r>
        <w:rPr>
          <w:rFonts w:ascii="Times New Roman" w:hAnsi="Times New Roman"/>
          <w:sz w:val="20"/>
        </w:rPr>
        <w:t>, there were $2.3 million and $6.5 million of restricted cash required for bank acceptance notes issued to vendors, respectively. In addition, there were $2.5 million in certificates of deposit associated with credit facilities with a bank in China as of </w:t>
      </w:r>
      <w:r>
        <w:rPr>
          <w:rStyle w:val="Emphasis"/>
          <w:rFonts w:ascii="Times New Roman" w:hAnsi="Times New Roman"/>
          <w:sz w:val="20"/>
        </w:rPr>
        <w:t xml:space="preserve"> June 30, 2024</w:t>
      </w:r>
      <w:r>
        <w:rPr>
          <w:rFonts w:ascii="Times New Roman" w:hAnsi="Times New Roman"/>
          <w:sz w:val="20"/>
        </w:rPr>
        <w:t xml:space="preserve"> and </w:t>
      </w:r>
      <w:r>
        <w:rPr>
          <w:rStyle w:val="Emphasis"/>
          <w:rFonts w:ascii="Times New Roman" w:hAnsi="Times New Roman"/>
          <w:sz w:val="20"/>
        </w:rPr>
        <w:t>December 31, 2023</w:t>
      </w:r>
      <w:r>
        <w:rPr>
          <w:rFonts w:ascii="Times New Roman" w:hAnsi="Times New Roman"/>
          <w:sz w:val="20"/>
        </w:rPr>
        <w:t>. There were $0.7 million guarantee deposits for customs duties as of </w:t>
      </w:r>
      <w:r>
        <w:rPr>
          <w:rStyle w:val="Emphasis"/>
          <w:rFonts w:ascii="Times New Roman" w:hAnsi="Times New Roman"/>
          <w:sz w:val="20"/>
        </w:rPr>
        <w:t xml:space="preserve"> June 30, 2024</w:t>
      </w:r>
      <w:r>
        <w:rPr>
          <w:rFonts w:ascii="Times New Roman" w:hAnsi="Times New Roman"/>
          <w:sz w:val="20"/>
        </w:rPr>
        <w:t xml:space="preserve"> and </w:t>
      </w:r>
      <w:r>
        <w:rPr>
          <w:rStyle w:val="Emphasis"/>
          <w:rFonts w:ascii="Times New Roman" w:hAnsi="Times New Roman"/>
          <w:sz w:val="20"/>
        </w:rPr>
        <w:t>December 31, 2023</w:t>
      </w:r>
      <w:r>
        <w:rPr>
          <w:rFonts w:ascii="Times New Roman" w:hAnsi="Times New Roman"/>
          <w:sz w:val="20"/>
        </w:rPr>
        <w:t>.</w:t>
      </w:r>
    </w:p>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Earnings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the basic and diluted net loss per share for the periods indicated (in thousands):</w:t>
      </w:r>
    </w:p>
    <w:p>
      <w:pPr>
        <w:pStyle w:val="TextBody"/>
        <w:bidi w:val="0"/>
        <w:spacing w:before="0" w:after="0"/>
        <w:ind w:left="0" w:right="0" w:hanging="0"/>
        <w:jc w:val="left"/>
        <w:rPr/>
      </w:pPr>
      <w:r>
        <w:rPr/>
        <w:t>​</w:t>
      </w:r>
    </w:p>
    <w:tbl>
      <w:tblPr>
        <w:tblW w:w="9769" w:type="dxa"/>
        <w:jc w:val="left"/>
        <w:tblInd w:w="0" w:type="dxa"/>
        <w:tblLayout w:type="fixed"/>
        <w:tblCellMar>
          <w:top w:w="0" w:type="dxa"/>
          <w:left w:w="0" w:type="dxa"/>
          <w:bottom w:w="0" w:type="dxa"/>
          <w:right w:w="0" w:type="dxa"/>
        </w:tblCellMar>
      </w:tblPr>
      <w:tblGrid>
        <w:gridCol w:w="4835"/>
        <w:gridCol w:w="60"/>
        <w:gridCol w:w="180"/>
        <w:gridCol w:w="936"/>
        <w:gridCol w:w="115"/>
        <w:gridCol w:w="86"/>
        <w:gridCol w:w="180"/>
        <w:gridCol w:w="936"/>
        <w:gridCol w:w="80"/>
        <w:gridCol w:w="60"/>
        <w:gridCol w:w="164"/>
        <w:gridCol w:w="855"/>
        <w:gridCol w:w="105"/>
        <w:gridCol w:w="78"/>
        <w:gridCol w:w="164"/>
        <w:gridCol w:w="855"/>
        <w:gridCol w:w="80"/>
      </w:tblGrid>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(26,115</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(49,285</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39,365</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38,864</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29,182</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39,365</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38,864</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29,182</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diluted net loss per share as their effect would have been antidilutive (in thousands):</w:t>
      </w:r>
    </w:p>
    <w:p>
      <w:pPr>
        <w:pStyle w:val="TextBody"/>
        <w:bidi w:val="0"/>
        <w:spacing w:before="0" w:after="0"/>
        <w:ind w:left="0" w:right="0" w:firstLine="720"/>
        <w:jc w:val="left"/>
        <w:rPr/>
      </w:pPr>
      <w:r>
        <w:rPr/>
        <w:t> </w:t>
      </w:r>
    </w:p>
    <w:tbl>
      <w:tblPr>
        <w:tblW w:w="7704" w:type="dxa"/>
        <w:jc w:val="left"/>
        <w:tblInd w:w="0" w:type="dxa"/>
        <w:tblLayout w:type="fixed"/>
        <w:tblCellMar>
          <w:top w:w="0" w:type="dxa"/>
          <w:left w:w="0" w:type="dxa"/>
          <w:bottom w:w="0" w:type="dxa"/>
          <w:right w:w="0" w:type="dxa"/>
        </w:tblCellMar>
      </w:tblPr>
      <w:tblGrid>
        <w:gridCol w:w="2810"/>
        <w:gridCol w:w="60"/>
        <w:gridCol w:w="120"/>
        <w:gridCol w:w="976"/>
        <w:gridCol w:w="120"/>
        <w:gridCol w:w="120"/>
        <w:gridCol w:w="120"/>
        <w:gridCol w:w="976"/>
        <w:gridCol w:w="60"/>
        <w:gridCol w:w="60"/>
        <w:gridCol w:w="110"/>
        <w:gridCol w:w="891"/>
        <w:gridCol w:w="110"/>
        <w:gridCol w:w="110"/>
        <w:gridCol w:w="110"/>
        <w:gridCol w:w="891"/>
        <w:gridCol w:w="6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2,813</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for convertible senior notes</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5,264</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5,264</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4,587</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antidilutive shares</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7,719</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8,077</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7.</w:t>
      </w:r>
      <w:r>
        <w:rPr>
          <w:rFonts w:ascii="Times New Roman" w:hAnsi="Times New Roman"/>
          <w:b/>
          <w:sz w:val="20"/>
        </w:rPr>
        <w:t>  Inventories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Inventories, net of inventory write-downs, consist of the following for the periods indicated (in thousands):​</w:t>
      </w:r>
    </w:p>
    <w:p>
      <w:pPr>
        <w:pStyle w:val="TextBody"/>
        <w:bidi w:val="0"/>
        <w:spacing w:before="0" w:after="0"/>
        <w:ind w:left="0" w:right="0" w:firstLine="720"/>
        <w:jc w:val="left"/>
        <w:rPr/>
      </w:pPr>
      <w:r>
        <w:rPr/>
        <w:t> </w:t>
      </w:r>
    </w:p>
    <w:tbl>
      <w:tblPr>
        <w:tblW w:w="6008" w:type="dxa"/>
        <w:jc w:val="left"/>
        <w:tblInd w:w="0" w:type="dxa"/>
        <w:tblLayout w:type="fixed"/>
        <w:tblCellMar>
          <w:top w:w="0" w:type="dxa"/>
          <w:left w:w="0" w:type="dxa"/>
          <w:bottom w:w="0" w:type="dxa"/>
          <w:right w:w="0" w:type="dxa"/>
        </w:tblCellMar>
      </w:tblPr>
      <w:tblGrid>
        <w:gridCol w:w="2930"/>
        <w:gridCol w:w="60"/>
        <w:gridCol w:w="191"/>
        <w:gridCol w:w="998"/>
        <w:gridCol w:w="80"/>
        <w:gridCol w:w="60"/>
        <w:gridCol w:w="259"/>
        <w:gridCol w:w="1350"/>
        <w:gridCol w:w="80"/>
      </w:tblGrid>
      <w:tr>
        <w:trPr/>
        <w:tc>
          <w:tcPr>
            <w:tcW w:w="29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22,128</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 and sub-assemblies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33,792</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22,452</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inventory</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the inventory reserve adjustment expensed for inventory was $</w:t>
      </w:r>
      <w:r>
        <w:rPr>
          <w:rFonts w:ascii="Times New Roman" w:hAnsi="Times New Roman"/>
          <w:caps w:val="false"/>
          <w:smallCaps w:val="false"/>
          <w:color w:val="000000"/>
          <w:sz w:val="20"/>
        </w:rPr>
        <w:t>1.4</w:t>
      </w:r>
      <w:r>
        <w:rPr>
          <w:rFonts w:ascii="Times New Roman" w:hAnsi="Times New Roman"/>
          <w:caps w:val="false"/>
          <w:smallCaps w:val="false"/>
          <w:sz w:val="20"/>
        </w:rPr>
        <w:t xml:space="preserve"> million, and $2.4 million, respectively. For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the inventory reserve adjustment expensed for inventory was $3.1 million, and $5.0 million,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direct inventory write-offs related to scrap, discontinued products, and damaged inventories were $0.8 million and $3.1 million, respectively.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the direct inventory write-offs related to scrap, discontinued products, and damaged inventories were $1.7 million and $6.9 million, respectively.</w:t>
      </w:r>
    </w:p>
    <w:p>
      <w:pPr>
        <w:pStyle w:val="TextBody"/>
        <w:bidi w:val="0"/>
        <w:spacing w:before="0" w:after="0"/>
        <w:ind w:left="0" w:right="0" w:hanging="0"/>
        <w:jc w:val="left"/>
        <w:rPr/>
      </w:pPr>
      <w:r>
        <w:rPr/>
        <w:t> </w:t>
      </w:r>
    </w:p>
    <w:p>
      <w:pPr>
        <w:pStyle w:val="TextBody"/>
        <w:bidi w:val="0"/>
        <w:spacing w:before="0" w:after="0"/>
        <w:ind w:left="160" w:right="0" w:firstLine="540"/>
        <w:jc w:val="left"/>
        <w:rPr>
          <w:caps w:val="false"/>
          <w:smallCaps w:val="false"/>
        </w:rPr>
      </w:pPr>
      <w:r>
        <w:rPr>
          <w:caps w:val="false"/>
          <w:smallCaps w:val="false"/>
        </w:rPr>
        <w:t xml:space="preserve">    </w:t>
      </w:r>
      <w:r>
        <w:rPr>
          <w:caps w:val="false"/>
          <w:smallCaps w:val="false"/>
          <w:shd w:fill="FFFFFF" w:val="clear"/>
        </w:rPr>
        <w:t xml:space="preserve">​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Property, Plant &amp; Equipment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for the periods indicated (in thousands):</w:t>
      </w:r>
    </w:p>
    <w:p>
      <w:pPr>
        <w:pStyle w:val="TextBody"/>
        <w:bidi w:val="0"/>
        <w:spacing w:before="0" w:after="0"/>
        <w:ind w:left="0" w:right="0" w:firstLine="720"/>
        <w:jc w:val="left"/>
        <w:rPr/>
      </w:pPr>
      <w:r>
        <w:rPr/>
        <w:t>​</w:t>
      </w:r>
    </w:p>
    <w:tbl>
      <w:tblPr>
        <w:tblW w:w="6383" w:type="dxa"/>
        <w:jc w:val="left"/>
        <w:tblInd w:w="0" w:type="dxa"/>
        <w:tblLayout w:type="fixed"/>
        <w:tblCellMar>
          <w:top w:w="0" w:type="dxa"/>
          <w:left w:w="0" w:type="dxa"/>
          <w:bottom w:w="0" w:type="dxa"/>
          <w:right w:w="0" w:type="dxa"/>
        </w:tblCellMar>
      </w:tblPr>
      <w:tblGrid>
        <w:gridCol w:w="3305"/>
        <w:gridCol w:w="60"/>
        <w:gridCol w:w="169"/>
        <w:gridCol w:w="1020"/>
        <w:gridCol w:w="80"/>
        <w:gridCol w:w="60"/>
        <w:gridCol w:w="228"/>
        <w:gridCol w:w="1381"/>
        <w:gridCol w:w="80"/>
      </w:tblGrid>
      <w:tr>
        <w:trPr/>
        <w:tc>
          <w:tcPr>
            <w:tcW w:w="33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86,534</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259,688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257,842</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 and software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12,059</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393,254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363,363</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169,277</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29,939</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200,317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2024 </w:t>
      </w:r>
      <w:r>
        <w:rPr>
          <w:rFonts w:ascii="Times New Roman;Times;serif" w:hAnsi="Times New Roman;Times;serif"/>
          <w:sz w:val="20"/>
        </w:rPr>
        <w:t xml:space="preserve">and </w:t>
      </w:r>
      <w:r>
        <w:rPr>
          <w:rStyle w:val="Emphasis"/>
          <w:rFonts w:ascii="Times New Roman;Times;serif" w:hAnsi="Times New Roman;Times;serif"/>
          <w:sz w:val="20"/>
        </w:rPr>
        <w:t>2023</w:t>
      </w:r>
      <w:r>
        <w:rPr>
          <w:rFonts w:ascii="Times New Roman;Times;serif" w:hAnsi="Times New Roman;Times;serif"/>
          <w:sz w:val="20"/>
        </w:rPr>
        <w:t xml:space="preserve">, the depreciation expense of property, plant and equipment were both $5.0 million.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2024 </w:t>
      </w:r>
      <w:r>
        <w:rPr>
          <w:rFonts w:ascii="Times New Roman;Times;serif" w:hAnsi="Times New Roman;Times;serif"/>
          <w:sz w:val="20"/>
        </w:rPr>
        <w:t xml:space="preserve">and </w:t>
      </w:r>
      <w:r>
        <w:rPr>
          <w:rStyle w:val="Emphasis"/>
          <w:rFonts w:ascii="Times New Roman;Times;serif" w:hAnsi="Times New Roman;Times;serif"/>
          <w:sz w:val="20"/>
        </w:rPr>
        <w:t>2023</w:t>
      </w:r>
      <w:r>
        <w:rPr>
          <w:rFonts w:ascii="Times New Roman;Times;serif" w:hAnsi="Times New Roman;Times;serif"/>
          <w:sz w:val="20"/>
        </w:rPr>
        <w:t>, the depreciation expense of property, plant and equipment wa</w:t>
      </w:r>
      <w:r>
        <w:rPr>
          <w:rFonts w:ascii="Times New Roman;Times;serif" w:hAnsi="Times New Roman;Times;serif"/>
          <w:sz w:val="20"/>
          <w:shd w:fill="FFFFFF" w:val="clear"/>
        </w:rPr>
        <w:t xml:space="preserve">s $9.8 million </w:t>
      </w:r>
      <w:r>
        <w:rPr>
          <w:rFonts w:ascii="Times New Roman;Times;serif" w:hAnsi="Times New Roman;Times;serif"/>
          <w:sz w:val="20"/>
        </w:rPr>
        <w:t>and $10.2 million,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June 30, 2024</w:t>
      </w:r>
      <w:r>
        <w:rPr>
          <w:rFonts w:ascii="Times New Roman;Times;serif" w:hAnsi="Times New Roman;Times;serif"/>
          <w:i/>
          <w:sz w:val="20"/>
        </w:rPr>
        <w:t xml:space="preserve">, </w:t>
      </w:r>
      <w:r>
        <w:rPr>
          <w:rFonts w:ascii="Times New Roman;Times;serif" w:hAnsi="Times New Roman;Times;serif"/>
          <w:sz w:val="20"/>
        </w:rPr>
        <w:t xml:space="preserve">the Company concluded that its continued loss history constitutes a triggering event as described in ASC </w:t>
      </w:r>
      <w:r>
        <w:rPr>
          <w:rStyle w:val="Emphasis"/>
          <w:rFonts w:ascii="Times New Roman;Times;serif" w:hAnsi="Times New Roman;Times;serif"/>
          <w:i/>
          <w:sz w:val="20"/>
        </w:rPr>
        <w:t>360</w:t>
      </w:r>
      <w:r>
        <w:rPr>
          <w:rFonts w:ascii="Times New Roman;Times;serif" w:hAnsi="Times New Roman;Times;serif"/>
          <w:sz w:val="20"/>
        </w:rPr>
        <w:t>-</w:t>
      </w:r>
      <w:r>
        <w:rPr>
          <w:rStyle w:val="Emphasis"/>
          <w:rFonts w:ascii="Times New Roman;Times;serif" w:hAnsi="Times New Roman;Times;serif"/>
          <w:i/>
          <w:sz w:val="20"/>
        </w:rPr>
        <w:t>10</w:t>
      </w:r>
      <w:r>
        <w:rPr>
          <w:rFonts w:ascii="Times New Roman;Times;serif" w:hAnsi="Times New Roman;Times;serif"/>
          <w:sz w:val="20"/>
        </w:rPr>
        <w:t>-</w:t>
      </w:r>
      <w:r>
        <w:rPr>
          <w:rStyle w:val="Emphasis"/>
          <w:rFonts w:ascii="Times New Roman;Times;serif" w:hAnsi="Times New Roman;Times;serif"/>
          <w:i/>
          <w:sz w:val="20"/>
        </w:rPr>
        <w:t>35</w:t>
      </w:r>
      <w:r>
        <w:rPr>
          <w:rFonts w:ascii="Times New Roman;Times;serif" w:hAnsi="Times New Roman;Times;serif"/>
          <w:sz w:val="20"/>
        </w:rPr>
        <w:t>-</w:t>
      </w:r>
      <w:r>
        <w:rPr>
          <w:rStyle w:val="Emphasis"/>
          <w:rFonts w:ascii="Times New Roman;Times;serif" w:hAnsi="Times New Roman;Times;serif"/>
          <w:i/>
          <w:sz w:val="20"/>
        </w:rPr>
        <w:t>21,</w:t>
      </w:r>
      <w:r>
        <w:rPr>
          <w:rFonts w:ascii="Times New Roman;Times;serif" w:hAnsi="Times New Roman;Times;serif"/>
          <w:i/>
          <w:sz w:val="20"/>
        </w:rPr>
        <w:t>Property, Plant, and Equipment</w:t>
      </w:r>
      <w:r>
        <w:rPr>
          <w:rFonts w:ascii="Times New Roman;Times;serif" w:hAnsi="Times New Roman;Times;serif"/>
          <w:sz w:val="20"/>
        </w:rPr>
        <w:t xml:space="preserve">.  The Company performed a recoverability test and concluded that future undiscounted cash flows exceed the carrying amount of the Company’s long-lived assets and therefore </w:t>
      </w:r>
      <w:r>
        <w:rPr>
          <w:rStyle w:val="Emphasis"/>
          <w:rFonts w:ascii="Times New Roman;Times;serif" w:hAnsi="Times New Roman;Times;serif"/>
          <w:sz w:val="20"/>
        </w:rPr>
        <w:t>no</w:t>
      </w:r>
      <w:r>
        <w:rPr>
          <w:rFonts w:ascii="Times New Roman;Times;serif" w:hAnsi="Times New Roman;Times;serif"/>
          <w:sz w:val="20"/>
        </w:rPr>
        <w:t xml:space="preserve"> impairment charge was recorded.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Intangible Assets,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consisted of the following for the periods indicated (in thousands):</w:t>
      </w:r>
    </w:p>
    <w:p>
      <w:pPr>
        <w:pStyle w:val="TextBody"/>
        <w:bidi w:val="0"/>
        <w:spacing w:before="0" w:after="0"/>
        <w:ind w:left="0" w:right="0" w:firstLine="720"/>
        <w:jc w:val="left"/>
        <w:rPr/>
      </w:pPr>
      <w:r>
        <w:rPr/>
        <w:t>​</w:t>
      </w:r>
    </w:p>
    <w:tbl>
      <w:tblPr>
        <w:tblW w:w="4915" w:type="dxa"/>
        <w:jc w:val="left"/>
        <w:tblInd w:w="0" w:type="dxa"/>
        <w:tblLayout w:type="fixed"/>
        <w:tblCellMar>
          <w:top w:w="0" w:type="dxa"/>
          <w:left w:w="0" w:type="dxa"/>
          <w:bottom w:w="0" w:type="dxa"/>
          <w:right w:w="0" w:type="dxa"/>
        </w:tblCellMar>
      </w:tblPr>
      <w:tblGrid>
        <w:gridCol w:w="1850"/>
        <w:gridCol w:w="60"/>
        <w:gridCol w:w="139"/>
        <w:gridCol w:w="541"/>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4915" w:type="dxa"/>
        <w:jc w:val="left"/>
        <w:tblInd w:w="0" w:type="dxa"/>
        <w:tblLayout w:type="fixed"/>
        <w:tblCellMar>
          <w:top w:w="0" w:type="dxa"/>
          <w:left w:w="0" w:type="dxa"/>
          <w:bottom w:w="0" w:type="dxa"/>
          <w:right w:w="0" w:type="dxa"/>
        </w:tblCellMar>
      </w:tblPr>
      <w:tblGrid>
        <w:gridCol w:w="1850"/>
        <w:gridCol w:w="60"/>
        <w:gridCol w:w="139"/>
        <w:gridCol w:w="541"/>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3,521</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2024 </w:t>
      </w:r>
      <w:r>
        <w:rPr>
          <w:rFonts w:ascii="Times New Roman;Times;serif" w:hAnsi="Times New Roman;Times;serif"/>
          <w:sz w:val="20"/>
        </w:rPr>
        <w:t xml:space="preserve">and </w:t>
      </w:r>
      <w:r>
        <w:rPr>
          <w:rStyle w:val="Emphasis"/>
          <w:rFonts w:ascii="Times New Roman;Times;serif" w:hAnsi="Times New Roman;Times;serif"/>
          <w:sz w:val="20"/>
        </w:rPr>
        <w:t>2023</w:t>
      </w:r>
      <w:r>
        <w:rPr>
          <w:rFonts w:ascii="Times New Roman;Times;serif" w:hAnsi="Times New Roman;Times;serif"/>
          <w:sz w:val="20"/>
        </w:rPr>
        <w:t>, amortization expense for intangible assets, included in general and administrative expenses on the sta</w:t>
      </w:r>
      <w:r>
        <w:rPr>
          <w:rFonts w:ascii="Times New Roman;Times;serif" w:hAnsi="Times New Roman;Times;serif"/>
          <w:color w:val="000000"/>
          <w:sz w:val="20"/>
        </w:rPr>
        <w:t>tement of</w:t>
      </w:r>
      <w:r>
        <w:rPr>
          <w:rFonts w:ascii="Times New Roman;Times;serif" w:hAnsi="Times New Roman;Times;serif"/>
          <w:color w:val="000000"/>
          <w:sz w:val="20"/>
          <w:shd w:fill="FFFFFF" w:val="clear"/>
        </w:rPr>
        <w:t xml:space="preserve"> operations, was $0.1 million and $0.2 million, respectively. For the </w:t>
      </w:r>
      <w:r>
        <w:rPr>
          <w:rStyle w:val="Emphasis"/>
          <w:rFonts w:ascii="Times New Roman;Times;serif" w:hAnsi="Times New Roman;Times;serif"/>
          <w:color w:val="000000"/>
          <w:sz w:val="20"/>
          <w:shd w:fill="FFFFFF" w:val="clear"/>
        </w:rPr>
        <w:t>six</w:t>
      </w:r>
      <w:r>
        <w:rPr>
          <w:rFonts w:ascii="Times New Roman;Times;serif" w:hAnsi="Times New Roman;Times;serif"/>
          <w:color w:val="000000"/>
          <w:sz w:val="20"/>
          <w:shd w:fill="FFFFFF" w:val="clear"/>
        </w:rPr>
        <w:t xml:space="preserve"> months ended </w:t>
      </w:r>
      <w:r>
        <w:rPr>
          <w:rStyle w:val="Emphasis"/>
          <w:rFonts w:ascii="Times New Roman;Times;serif" w:hAnsi="Times New Roman;Times;serif"/>
          <w:sz w:val="20"/>
        </w:rPr>
        <w:t xml:space="preserve">June 30, 2024 </w:t>
      </w:r>
      <w:r>
        <w:rPr>
          <w:rFonts w:ascii="Times New Roman;Times;serif" w:hAnsi="Times New Roman;Times;serif"/>
          <w:sz w:val="20"/>
        </w:rPr>
        <w:t xml:space="preserve">and </w:t>
      </w:r>
      <w:r>
        <w:rPr>
          <w:rStyle w:val="Emphasis"/>
          <w:rFonts w:ascii="Times New Roman;Times;serif" w:hAnsi="Times New Roman;Times;serif"/>
          <w:sz w:val="20"/>
        </w:rPr>
        <w:t>2023</w:t>
      </w:r>
      <w:r>
        <w:rPr>
          <w:rFonts w:ascii="Times New Roman;Times;serif" w:hAnsi="Times New Roman;Times;serif"/>
          <w:color w:val="000000"/>
          <w:sz w:val="20"/>
          <w:shd w:fill="FFFFFF" w:val="clear"/>
        </w:rPr>
        <w:t>, amortization expense for intangible assets, included in general and administrative expenses on the statement of operations, was $0.2 million and $0.3 million, respectively. The remaining weighted average amortization period for intangible assets is approximately 9.0 years.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June 30, 2024</w:t>
      </w:r>
      <w:r>
        <w:rPr>
          <w:rFonts w:ascii="Times New Roman;Times;serif" w:hAnsi="Times New Roman;Times;serif"/>
          <w:sz w:val="20"/>
        </w:rPr>
        <w:t>, future amortization expenses for intangible assets for future periods are estimated to be (in thousands):</w:t>
      </w:r>
    </w:p>
    <w:p>
      <w:pPr>
        <w:pStyle w:val="TextBody"/>
        <w:bidi w:val="0"/>
        <w:spacing w:before="0" w:after="0"/>
        <w:ind w:left="0" w:right="0" w:firstLine="720"/>
        <w:jc w:val="left"/>
        <w:rPr/>
      </w:pPr>
      <w:r>
        <w:rPr/>
        <w:t> </w:t>
      </w:r>
    </w:p>
    <w:tbl>
      <w:tblPr>
        <w:tblW w:w="2910" w:type="dxa"/>
        <w:jc w:val="left"/>
        <w:tblInd w:w="0" w:type="dxa"/>
        <w:tblLayout w:type="fixed"/>
        <w:tblCellMar>
          <w:top w:w="0" w:type="dxa"/>
          <w:left w:w="0" w:type="dxa"/>
          <w:bottom w:w="0" w:type="dxa"/>
          <w:right w:w="0" w:type="dxa"/>
        </w:tblCellMar>
      </w:tblPr>
      <w:tblGrid>
        <w:gridCol w:w="2180"/>
        <w:gridCol w:w="60"/>
        <w:gridCol w:w="125"/>
        <w:gridCol w:w="485"/>
        <w:gridCol w:w="60"/>
      </w:tblGrid>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2024(remaining 6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Fair Value of Financial Instruments​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amounts of cash and cash equivalents, restricted cash, accounts receivable, prepaid expenses, notes receivable and other current assets, accounts payable, accrued expenses, bank acceptance payable and other current liabilities approximate fair value because of the short-term maturity of these instruments. The Company believes that the interest rates in effect at each period end represent the current market rates for similar borrowings.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The fair value of convertible senior notes is measured for disclosure purposes only. The fair value and carrying amount of our convertible senior notes as of </w:t>
      </w:r>
      <w:r>
        <w:rPr>
          <w:rStyle w:val="Emphasis"/>
          <w:rFonts w:ascii="Times New Roman;Times;serif" w:hAnsi="Times New Roman;Times;serif"/>
          <w:sz w:val="20"/>
        </w:rPr>
        <w:t xml:space="preserve"> June 30, 2024</w:t>
      </w:r>
      <w:r>
        <w:rPr>
          <w:rFonts w:ascii="Times New Roman;Times;serif" w:hAnsi="Times New Roman;Times;serif"/>
          <w:sz w:val="20"/>
        </w:rPr>
        <w:t xml:space="preserve"> was $</w:t>
      </w:r>
      <w:r>
        <w:rPr>
          <w:rFonts w:ascii="Times New Roman;Times;serif" w:hAnsi="Times New Roman;Times;serif"/>
          <w:sz w:val="20"/>
          <w:shd w:fill="FFFFFF" w:val="clear"/>
        </w:rPr>
        <w:t xml:space="preserve">70.3 </w:t>
      </w:r>
      <w:r>
        <w:rPr>
          <w:rFonts w:ascii="Times New Roman;Times;serif" w:hAnsi="Times New Roman;Times;serif"/>
          <w:sz w:val="20"/>
        </w:rPr>
        <w:t xml:space="preserve">million and $76.7 million, respectively. As of </w:t>
      </w:r>
      <w:r>
        <w:rPr>
          <w:rStyle w:val="Emphasis"/>
          <w:rFonts w:ascii="Times New Roman;Times;serif" w:hAnsi="Times New Roman;Times;serif"/>
          <w:sz w:val="20"/>
        </w:rPr>
        <w:t>December 31, 2023</w:t>
      </w:r>
      <w:r>
        <w:rPr>
          <w:rFonts w:ascii="Times New Roman;Times;serif" w:hAnsi="Times New Roman;Times;serif"/>
          <w:sz w:val="20"/>
        </w:rPr>
        <w:t xml:space="preserve">, the fair value and carrying amount of our convertible senior notes were both $76.5 million. The fair value is based on observable market prices for this debt, which is traded in less active markets and are therefore classified as a Level </w:t>
      </w:r>
      <w:r>
        <w:rPr>
          <w:rStyle w:val="Emphasis"/>
          <w:rFonts w:ascii="Times New Roman;Times;serif" w:hAnsi="Times New Roman;Times;serif"/>
          <w:sz w:val="20"/>
        </w:rPr>
        <w:t>2</w:t>
      </w:r>
      <w:r>
        <w:rPr>
          <w:rFonts w:ascii="Times New Roman;Times;serif" w:hAnsi="Times New Roman;Times;serif"/>
          <w:sz w:val="20"/>
        </w:rPr>
        <w:t xml:space="preserve"> fair value measurement.</w:t>
      </w:r>
    </w:p>
    <w:p>
      <w:pPr>
        <w:pStyle w:val="TextBody"/>
        <w:bidi w:val="0"/>
        <w:spacing w:before="0" w:after="0"/>
        <w:ind w:left="0" w:right="144" w:firstLine="72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Notes Payable and Long-Term 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Notes payable and long-term debt consisted of the following for the periods indicated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455"/>
        <w:gridCol w:w="60"/>
        <w:gridCol w:w="172"/>
        <w:gridCol w:w="901"/>
        <w:gridCol w:w="80"/>
        <w:gridCol w:w="60"/>
        <w:gridCol w:w="224"/>
        <w:gridCol w:w="1171"/>
        <w:gridCol w:w="82"/>
      </w:tblGrid>
      <w:tr>
        <w:trPr/>
        <w:tc>
          <w:tcPr>
            <w:tcW w:w="7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82" w:type="dxa"/>
            <w:tcBorders/>
            <w:shd w:fill="FFFFFF" w:val="clear"/>
            <w:vAlign w:val="center"/>
          </w:tcPr>
          <w:p>
            <w:pPr>
              <w:pStyle w:val="TableContents"/>
              <w:bidi w:val="0"/>
              <w:spacing w:before="0" w:after="283"/>
              <w:jc w:val="left"/>
              <w:rPr/>
            </w:pPr>
            <w:r>
              <w:rPr/>
              <w:t> </w:t>
            </w:r>
          </w:p>
        </w:tc>
      </w:tr>
      <w:tr>
        <w:trPr/>
        <w:tc>
          <w:tcPr>
            <w:tcW w:w="7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Revolving line of credit with a China bank up to $23.9 million with interest from 4.35% to 4.57%, maturing May 24, 2029</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12,608</w:t>
            </w:r>
          </w:p>
        </w:tc>
        <w:tc>
          <w:tcPr>
            <w:tcW w:w="82" w:type="dxa"/>
            <w:tcBorders/>
            <w:shd w:fill="CCEEFF" w:val="clear"/>
            <w:vAlign w:val="center"/>
          </w:tcPr>
          <w:p>
            <w:pPr>
              <w:pStyle w:val="TableContents"/>
              <w:bidi w:val="0"/>
              <w:spacing w:before="0" w:after="283"/>
              <w:jc w:val="left"/>
              <w:rPr/>
            </w:pPr>
            <w:r>
              <w:rPr/>
              <w:t> </w:t>
            </w:r>
          </w:p>
        </w:tc>
      </w:tr>
      <w:tr>
        <w:trPr/>
        <w:tc>
          <w:tcPr>
            <w:tcW w:w="7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facility with a China bank up to $28.0 million with interest of 4.35%, maturing June 6, 2027</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10,589</w:t>
            </w:r>
          </w:p>
        </w:tc>
        <w:tc>
          <w:tcPr>
            <w:tcW w:w="82" w:type="dxa"/>
            <w:tcBorders/>
            <w:shd w:fill="FFFFFF" w:val="clear"/>
            <w:vAlign w:val="center"/>
          </w:tcPr>
          <w:p>
            <w:pPr>
              <w:pStyle w:val="TableContents"/>
              <w:bidi w:val="0"/>
              <w:spacing w:before="0" w:after="283"/>
              <w:jc w:val="left"/>
              <w:rPr/>
            </w:pPr>
            <w:r>
              <w:rPr/>
              <w:t> </w:t>
            </w:r>
          </w:p>
        </w:tc>
      </w:tr>
      <w:tr>
        <w:trPr/>
        <w:tc>
          <w:tcPr>
            <w:tcW w:w="7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23,197</w:t>
            </w:r>
          </w:p>
        </w:tc>
        <w:tc>
          <w:tcPr>
            <w:tcW w:w="82" w:type="dxa"/>
            <w:tcBorders/>
            <w:shd w:fill="CCEEFF" w:val="clear"/>
            <w:vAlign w:val="center"/>
          </w:tcPr>
          <w:p>
            <w:pPr>
              <w:pStyle w:val="TableContents"/>
              <w:bidi w:val="0"/>
              <w:spacing w:before="0" w:after="283"/>
              <w:jc w:val="left"/>
              <w:rPr/>
            </w:pPr>
            <w:r>
              <w:rPr/>
              <w:t> </w:t>
            </w:r>
          </w:p>
        </w:tc>
      </w:tr>
      <w:tr>
        <w:trPr/>
        <w:tc>
          <w:tcPr>
            <w:tcW w:w="7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(23,197</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503" w:type="dxa"/>
        <w:jc w:val="left"/>
        <w:tblInd w:w="0" w:type="dxa"/>
        <w:tblLayout w:type="fixed"/>
        <w:tblCellMar>
          <w:top w:w="0" w:type="dxa"/>
          <w:left w:w="0" w:type="dxa"/>
          <w:bottom w:w="28" w:type="dxa"/>
          <w:right w:w="0" w:type="dxa"/>
        </w:tblCellMar>
      </w:tblPr>
      <w:tblGrid>
        <w:gridCol w:w="5450"/>
        <w:gridCol w:w="60"/>
        <w:gridCol w:w="102"/>
        <w:gridCol w:w="1087"/>
        <w:gridCol w:w="60"/>
        <w:gridCol w:w="60"/>
        <w:gridCol w:w="120"/>
        <w:gridCol w:w="1489"/>
        <w:gridCol w:w="75"/>
      </w:tblGrid>
      <w:tr>
        <w:trPr/>
        <w:tc>
          <w:tcPr>
            <w:tcW w:w="54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Bank Acceptance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acceptance notes issued to vendors with a 0.05%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$ 5,048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489"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$ 15,482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current portion of long-term debt is the amount payable within </w:t>
      </w:r>
      <w:r>
        <w:rPr>
          <w:rStyle w:val="Emphasis"/>
          <w:rFonts w:ascii="Times New Roman;Times;serif" w:hAnsi="Times New Roman;Times;serif"/>
          <w:sz w:val="20"/>
        </w:rPr>
        <w:t>one</w:t>
      </w:r>
      <w:r>
        <w:rPr>
          <w:rFonts w:ascii="Times New Roman;Times;serif" w:hAnsi="Times New Roman;Times;serif"/>
          <w:sz w:val="20"/>
        </w:rPr>
        <w:t xml:space="preserve"> year of the balance sheet date of </w:t>
      </w:r>
      <w:r>
        <w:rPr>
          <w:rStyle w:val="Emphasis"/>
          <w:rFonts w:ascii="Times New Roman;Times;serif" w:hAnsi="Times New Roman;Times;serif"/>
          <w:sz w:val="20"/>
        </w:rPr>
        <w:t>June 30, 2024</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Maturities of long-term debt are as follows for the future </w:t>
      </w:r>
      <w:r>
        <w:rPr>
          <w:rStyle w:val="Emphasis"/>
          <w:rFonts w:ascii="Times New Roman;Times;serif" w:hAnsi="Times New Roman;Times;serif"/>
          <w:sz w:val="20"/>
        </w:rPr>
        <w:t>one</w:t>
      </w:r>
      <w:r>
        <w:rPr>
          <w:rFonts w:ascii="Times New Roman;Times;serif" w:hAnsi="Times New Roman;Times;serif"/>
          <w:sz w:val="20"/>
        </w:rPr>
        <w:t>-year periods ending </w:t>
      </w:r>
      <w:r>
        <w:rPr>
          <w:rStyle w:val="Emphasis"/>
          <w:rFonts w:ascii="Times New Roman;Times;serif" w:hAnsi="Times New Roman;Times;serif"/>
          <w:sz w:val="20"/>
        </w:rPr>
        <w:t xml:space="preserve"> June 30, 2024</w:t>
      </w:r>
      <w:r>
        <w:rPr>
          <w:rFonts w:ascii="Times New Roman;Times;serif" w:hAnsi="Times New Roman;Times;serif"/>
          <w:sz w:val="20"/>
        </w:rPr>
        <w:t xml:space="preserve"> (in thousands):</w:t>
      </w:r>
    </w:p>
    <w:p>
      <w:pPr>
        <w:pStyle w:val="TextBody"/>
        <w:bidi w:val="0"/>
        <w:spacing w:before="0" w:after="0"/>
        <w:ind w:left="0" w:right="0" w:firstLine="720"/>
        <w:jc w:val="left"/>
        <w:rPr/>
      </w:pPr>
      <w:r>
        <w:rPr/>
        <w:t>​</w:t>
      </w:r>
    </w:p>
    <w:tbl>
      <w:tblPr>
        <w:tblW w:w="2310" w:type="dxa"/>
        <w:jc w:val="left"/>
        <w:tblInd w:w="0" w:type="dxa"/>
        <w:tblLayout w:type="fixed"/>
        <w:tblCellMar>
          <w:top w:w="0" w:type="dxa"/>
          <w:left w:w="0" w:type="dxa"/>
          <w:bottom w:w="0" w:type="dxa"/>
          <w:right w:w="0" w:type="dxa"/>
        </w:tblCellMar>
      </w:tblPr>
      <w:tblGrid>
        <w:gridCol w:w="1475"/>
        <w:gridCol w:w="60"/>
        <w:gridCol w:w="125"/>
        <w:gridCol w:w="590"/>
        <w:gridCol w:w="60"/>
      </w:tblGrid>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Within one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22,506</w:t>
            </w:r>
          </w:p>
        </w:tc>
        <w:tc>
          <w:tcPr>
            <w:tcW w:w="6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Beyond one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outstanding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24, 2019, </w:t>
      </w:r>
      <w:r>
        <w:rPr>
          <w:rFonts w:ascii="Times New Roman" w:hAnsi="Times New Roman"/>
          <w:caps w:val="false"/>
          <w:smallCaps w:val="false"/>
          <w:sz w:val="20"/>
        </w:rPr>
        <w:t xml:space="preserve">the Company’s China subsidiary, Global, entered into a five-year revolving credit line agreement, totaling 180,000,000 RMB (the "SPD Credit Line"), or approximately $25.4 million at that time, and a mortgage security agreement (the "Security Agreement"), with Shanghai Pudong Development Bank Co., Ltd ("SPD"). Borrowing under the SPD Credit Line will be used for general corporate and capital investment purposes, including the issuance of bank acceptance notes to Global’s vendors.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draw upon the SPD Credit Line on an as-needed basis at any time during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-year term; however, draws under the SPD Credit Line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w:t>
      </w:r>
    </w:p>
    <w:p>
      <w:pPr>
        <w:pStyle w:val="TextBody"/>
        <w:bidi w:val="0"/>
        <w:ind w:left="0" w:right="0" w:firstLine="720"/>
        <w:jc w:val="left"/>
        <w:rPr/>
      </w:pPr>
      <w:r>
        <w:rPr/>
        <w:t xml:space="preserve">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May 24, 2024, </w:t>
      </w:r>
      <w:r>
        <w:rPr>
          <w:rFonts w:ascii="Times New Roman;Times;serif" w:hAnsi="Times New Roman;Times;serif"/>
          <w:sz w:val="20"/>
        </w:rPr>
        <w:t xml:space="preserve">Global renewed the SPD Credit Line for a five-year revolving credit line, totaling 170,000,000 RMB (the “Renewed SPD Credit Line”) or approximately $23.9 million at that time, and Global also entered into a mortgage contract security agreement, with SPD. Global </w:t>
      </w:r>
      <w:r>
        <w:rPr>
          <w:rStyle w:val="Emphasis"/>
          <w:rFonts w:ascii="Times New Roman;Times;serif" w:hAnsi="Times New Roman;Times;serif"/>
          <w:sz w:val="20"/>
        </w:rPr>
        <w:t xml:space="preserve">may </w:t>
      </w:r>
      <w:r>
        <w:rPr>
          <w:rFonts w:ascii="Times New Roman;Times;serif" w:hAnsi="Times New Roman;Times;serif"/>
          <w:sz w:val="20"/>
        </w:rPr>
        <w:t xml:space="preserve">draw upon the Credit Line on an as-needed basis between </w:t>
      </w:r>
      <w:r>
        <w:rPr>
          <w:rStyle w:val="Emphasis"/>
          <w:rFonts w:ascii="Times New Roman;Times;serif" w:hAnsi="Times New Roman;Times;serif"/>
          <w:sz w:val="20"/>
        </w:rPr>
        <w:t xml:space="preserve">May 24, 2024 </w:t>
      </w:r>
      <w:r>
        <w:rPr>
          <w:rFonts w:ascii="Times New Roman;Times;serif" w:hAnsi="Times New Roman;Times;serif"/>
          <w:sz w:val="20"/>
        </w:rPr>
        <w:t xml:space="preserve">and </w:t>
      </w:r>
      <w:r>
        <w:rPr>
          <w:rStyle w:val="Emphasis"/>
          <w:rFonts w:ascii="Times New Roman;Times;serif" w:hAnsi="Times New Roman;Times;serif"/>
          <w:sz w:val="20"/>
        </w:rPr>
        <w:t>May 24, 2029. </w:t>
      </w:r>
    </w:p>
    <w:p>
      <w:pPr>
        <w:pStyle w:val="TextBody"/>
        <w:bidi w:val="0"/>
        <w:spacing w:before="0" w:after="0"/>
        <w:ind w:left="0" w:right="0" w:firstLine="720"/>
        <w:jc w:val="left"/>
        <w:rPr/>
      </w:pPr>
      <w:r>
        <w:rPr/>
        <w:t> </w:t>
      </w:r>
    </w:p>
    <w:p>
      <w:pPr>
        <w:pStyle w:val="TextBody"/>
        <w:bidi w:val="0"/>
        <w:ind w:left="0" w:right="0" w:firstLine="720"/>
        <w:jc w:val="left"/>
        <w:rPr/>
      </w:pPr>
      <w:r>
        <w:rPr>
          <w:sz w:val="20"/>
        </w:rPr>
        <w:t xml:space="preserve">As of </w:t>
      </w:r>
      <w:r>
        <w:rPr>
          <w:rStyle w:val="Emphasis"/>
          <w:sz w:val="20"/>
        </w:rPr>
        <w:t>June 30, 2024</w:t>
      </w:r>
      <w:r>
        <w:rPr>
          <w:sz w:val="20"/>
        </w:rPr>
        <w:t xml:space="preserve">, $ </w:t>
      </w:r>
      <w:r>
        <w:rPr>
          <w:color w:val="000000"/>
          <w:sz w:val="20"/>
        </w:rPr>
        <w:t>11.3 million</w:t>
      </w:r>
      <w:r>
        <w:rPr>
          <w:sz w:val="20"/>
        </w:rPr>
        <w:t xml:space="preserve"> was outstanding under the Renewed SPD Credit Line and the outstanding balance of bank acceptance notes issued to vendors was </w:t>
      </w:r>
      <w:r>
        <w:rPr>
          <w:color w:val="000000"/>
          <w:sz w:val="20"/>
        </w:rPr>
        <w:t>$2.7 million</w:t>
      </w:r>
      <w:r>
        <w:rPr>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June 7, 2022, </w:t>
      </w:r>
      <w:r>
        <w:rPr>
          <w:rFonts w:ascii="Times New Roman;Times;serif" w:hAnsi="Times New Roman;Times;serif"/>
          <w:sz w:val="20"/>
        </w:rPr>
        <w:t xml:space="preserve">the Company's China Subsidiary, Global, entered a security agreement with China Zheshang Bank in Ningbo City, China ("CZB") for a five-year credit line agreement, totaling 200,000,000 RMB (the </w:t>
      </w:r>
      <w:r>
        <w:rPr>
          <w:rStyle w:val="Emphasis"/>
          <w:rFonts w:ascii="Times New Roman;Times;serif" w:hAnsi="Times New Roman;Times;serif"/>
          <w:sz w:val="20"/>
        </w:rPr>
        <w:t>"¥200M</w:t>
      </w:r>
      <w:r>
        <w:rPr>
          <w:rFonts w:ascii="Times New Roman;Times;serif" w:hAnsi="Times New Roman;Times;serif"/>
          <w:sz w:val="20"/>
        </w:rPr>
        <w:t xml:space="preserve"> Credit Facility"), or approximately $29.9 million at that time. Global </w:t>
      </w:r>
      <w:r>
        <w:rPr>
          <w:rStyle w:val="Emphasis"/>
          <w:rFonts w:ascii="Times New Roman;Times;serif" w:hAnsi="Times New Roman;Times;serif"/>
          <w:sz w:val="20"/>
        </w:rPr>
        <w:t xml:space="preserve">may </w:t>
      </w:r>
      <w:r>
        <w:rPr>
          <w:rFonts w:ascii="Times New Roman;Times;serif" w:hAnsi="Times New Roman;Times;serif"/>
          <w:sz w:val="20"/>
        </w:rPr>
        <w:t xml:space="preserve">draw upon the </w:t>
      </w:r>
      <w:r>
        <w:rPr>
          <w:rStyle w:val="Emphasis"/>
          <w:rFonts w:ascii="Times New Roman;Times;serif" w:hAnsi="Times New Roman;Times;serif"/>
          <w:sz w:val="20"/>
        </w:rPr>
        <w:t>¥200M</w:t>
      </w:r>
      <w:r>
        <w:rPr>
          <w:rFonts w:ascii="Times New Roman;Times;serif" w:hAnsi="Times New Roman;Times;serif"/>
          <w:sz w:val="20"/>
        </w:rPr>
        <w:t xml:space="preserve"> Credit Facility between </w:t>
      </w:r>
      <w:r>
        <w:rPr>
          <w:rStyle w:val="Emphasis"/>
          <w:rFonts w:ascii="Times New Roman;Times;serif" w:hAnsi="Times New Roman;Times;serif"/>
          <w:sz w:val="20"/>
        </w:rPr>
        <w:t xml:space="preserve">June 7, 2022 </w:t>
      </w:r>
      <w:r>
        <w:rPr>
          <w:rFonts w:ascii="Times New Roman;Times;serif" w:hAnsi="Times New Roman;Times;serif"/>
          <w:sz w:val="20"/>
        </w:rPr>
        <w:t xml:space="preserve">and </w:t>
      </w:r>
      <w:r>
        <w:rPr>
          <w:rStyle w:val="Emphasis"/>
          <w:rFonts w:ascii="Times New Roman;Times;serif" w:hAnsi="Times New Roman;Times;serif"/>
          <w:sz w:val="20"/>
        </w:rPr>
        <w:t>June 6, 2027 (</w:t>
      </w:r>
      <w:r>
        <w:rPr>
          <w:rFonts w:ascii="Times New Roman;Times;serif" w:hAnsi="Times New Roman;Times;serif"/>
          <w:sz w:val="20"/>
        </w:rPr>
        <w:t xml:space="preserve">the </w:t>
      </w:r>
      <w:r>
        <w:rPr>
          <w:rStyle w:val="Emphasis"/>
          <w:rFonts w:ascii="Times New Roman;Times;serif" w:hAnsi="Times New Roman;Times;serif"/>
          <w:sz w:val="20"/>
        </w:rPr>
        <w:t>"¥200M</w:t>
      </w:r>
      <w:r>
        <w:rPr>
          <w:rFonts w:ascii="Times New Roman;Times;serif" w:hAnsi="Times New Roman;Times;serif"/>
          <w:sz w:val="20"/>
        </w:rPr>
        <w:t xml:space="preserve"> Credit Period"). During the </w:t>
      </w:r>
      <w:r>
        <w:rPr>
          <w:rStyle w:val="Emphasis"/>
          <w:rFonts w:ascii="Times New Roman;Times;serif" w:hAnsi="Times New Roman;Times;serif"/>
          <w:sz w:val="20"/>
        </w:rPr>
        <w:t>¥200M</w:t>
      </w:r>
      <w:r>
        <w:rPr>
          <w:rFonts w:ascii="Times New Roman;Times;serif" w:hAnsi="Times New Roman;Times;serif"/>
          <w:sz w:val="20"/>
        </w:rPr>
        <w:t xml:space="preserve"> Credit Period, Global </w:t>
      </w:r>
      <w:r>
        <w:rPr>
          <w:rStyle w:val="Emphasis"/>
          <w:rFonts w:ascii="Times New Roman;Times;serif" w:hAnsi="Times New Roman;Times;serif"/>
          <w:sz w:val="20"/>
        </w:rPr>
        <w:t xml:space="preserve">may </w:t>
      </w:r>
      <w:r>
        <w:rPr>
          <w:rFonts w:ascii="Times New Roman;Times;serif" w:hAnsi="Times New Roman;Times;serif"/>
          <w:sz w:val="20"/>
        </w:rPr>
        <w:t xml:space="preserve">request to draw upon the </w:t>
      </w:r>
      <w:r>
        <w:rPr>
          <w:rStyle w:val="Emphasis"/>
          <w:rFonts w:ascii="Times New Roman;Times;serif" w:hAnsi="Times New Roman;Times;serif"/>
          <w:sz w:val="20"/>
        </w:rPr>
        <w:t>¥200M</w:t>
      </w:r>
      <w:r>
        <w:rPr>
          <w:rFonts w:ascii="Times New Roman;Times;serif" w:hAnsi="Times New Roman;Times;serif"/>
          <w:sz w:val="20"/>
        </w:rPr>
        <w:t xml:space="preserve"> Credit Facility on an as-needed basis; however, draws under the </w:t>
      </w:r>
      <w:r>
        <w:rPr>
          <w:rStyle w:val="Emphasis"/>
          <w:rFonts w:ascii="Times New Roman;Times;serif" w:hAnsi="Times New Roman;Times;serif"/>
          <w:sz w:val="20"/>
        </w:rPr>
        <w:t>¥200M</w:t>
      </w:r>
      <w:r>
        <w:rPr>
          <w:rFonts w:ascii="Times New Roman;Times;serif" w:hAnsi="Times New Roman;Times;serif"/>
          <w:sz w:val="20"/>
        </w:rPr>
        <w:t xml:space="preserve"> Credit Facility </w:t>
      </w:r>
      <w:r>
        <w:rPr>
          <w:rStyle w:val="Emphasis"/>
          <w:rFonts w:ascii="Times New Roman;Times;serif" w:hAnsi="Times New Roman;Times;serif"/>
          <w:sz w:val="20"/>
        </w:rPr>
        <w:t xml:space="preserve">may </w:t>
      </w:r>
      <w:r>
        <w:rPr>
          <w:rFonts w:ascii="Times New Roman;Times;serif" w:hAnsi="Times New Roman;Times;serif"/>
          <w:sz w:val="20"/>
        </w:rPr>
        <w:t xml:space="preserve">become due and repayable to CZB at CZB’s discretion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w:t>
      </w:r>
      <w:r>
        <w:rPr>
          <w:rStyle w:val="Emphasis"/>
          <w:rFonts w:ascii="Times New Roman;Times;serif" w:hAnsi="Times New Roman;Times;serif"/>
          <w:sz w:val="20"/>
        </w:rPr>
        <w:t>¥200M</w:t>
      </w:r>
      <w:r>
        <w:rPr>
          <w:rFonts w:ascii="Times New Roman;Times;serif" w:hAnsi="Times New Roman;Times;serif"/>
          <w:sz w:val="20"/>
        </w:rPr>
        <w:t xml:space="preserve"> Credit Facility will be secured by real property owned by Global and mortgaged to CZB under the terms of the Real Estate Security Agreement. On </w:t>
      </w:r>
      <w:r>
        <w:rPr>
          <w:rStyle w:val="Emphasis"/>
          <w:rFonts w:ascii="Times New Roman;Times;serif" w:hAnsi="Times New Roman;Times;serif"/>
          <w:sz w:val="20"/>
        </w:rPr>
        <w:t xml:space="preserve">December 21, 2023, </w:t>
      </w:r>
      <w:r>
        <w:rPr>
          <w:rFonts w:ascii="Times New Roman;Times;serif" w:hAnsi="Times New Roman;Times;serif"/>
          <w:sz w:val="20"/>
        </w:rPr>
        <w:t xml:space="preserve">Global entered into an asset pool business cooperation agreement ("Asset Pool Agreement") and an asset pool pledge contract (the "Pledge Contract") (referred to collectively as the Pledge Asset Line"), with CZB, which supplements the existing </w:t>
      </w:r>
      <w:r>
        <w:rPr>
          <w:rStyle w:val="Emphasis"/>
          <w:rFonts w:ascii="Times New Roman;Times;serif" w:hAnsi="Times New Roman;Times;serif"/>
          <w:sz w:val="20"/>
        </w:rPr>
        <w:t>¥200M</w:t>
      </w:r>
      <w:r>
        <w:rPr>
          <w:rFonts w:ascii="Times New Roman;Times;serif" w:hAnsi="Times New Roman;Times;serif"/>
          <w:sz w:val="20"/>
        </w:rPr>
        <w:t xml:space="preserve"> Credit Facility. The Pledge Asset Line does </w:t>
      </w:r>
      <w:r>
        <w:rPr>
          <w:rStyle w:val="Emphasis"/>
          <w:rFonts w:ascii="Times New Roman;Times;serif" w:hAnsi="Times New Roman;Times;serif"/>
          <w:sz w:val="20"/>
        </w:rPr>
        <w:t>not</w:t>
      </w:r>
      <w:r>
        <w:rPr>
          <w:rFonts w:ascii="Times New Roman;Times;serif" w:hAnsi="Times New Roman;Times;serif"/>
          <w:sz w:val="20"/>
        </w:rPr>
        <w:t xml:space="preserve"> constitute a new credit line or an increase to the existing credit limits. Global </w:t>
      </w:r>
      <w:r>
        <w:rPr>
          <w:rStyle w:val="Emphasis"/>
          <w:rFonts w:ascii="Times New Roman;Times;serif" w:hAnsi="Times New Roman;Times;serif"/>
          <w:sz w:val="20"/>
        </w:rPr>
        <w:t xml:space="preserve">may </w:t>
      </w:r>
      <w:r>
        <w:rPr>
          <w:rFonts w:ascii="Times New Roman;Times;serif" w:hAnsi="Times New Roman;Times;serif"/>
          <w:sz w:val="20"/>
        </w:rPr>
        <w:t xml:space="preserve">draw upon the Pledge Asset Line between </w:t>
      </w:r>
      <w:r>
        <w:rPr>
          <w:rStyle w:val="Emphasis"/>
          <w:rFonts w:ascii="Times New Roman;Times;serif" w:hAnsi="Times New Roman;Times;serif"/>
          <w:sz w:val="20"/>
        </w:rPr>
        <w:t xml:space="preserve">December 21, 2023 </w:t>
      </w:r>
      <w:r>
        <w:rPr>
          <w:rFonts w:ascii="Times New Roman;Times;serif" w:hAnsi="Times New Roman;Times;serif"/>
          <w:sz w:val="20"/>
        </w:rPr>
        <w:t xml:space="preserve">and </w:t>
      </w:r>
      <w:r>
        <w:rPr>
          <w:rStyle w:val="Emphasis"/>
          <w:rFonts w:ascii="Times New Roman;Times;serif" w:hAnsi="Times New Roman;Times;serif"/>
          <w:sz w:val="20"/>
        </w:rPr>
        <w:t>December 21, 2025 (</w:t>
      </w:r>
      <w:r>
        <w:rPr>
          <w:rFonts w:ascii="Times New Roman;Times;serif" w:hAnsi="Times New Roman;Times;serif"/>
          <w:sz w:val="20"/>
        </w:rPr>
        <w:t xml:space="preserve">"Asset Pool Period"). During the Asset Pool Period, Global </w:t>
      </w:r>
      <w:r>
        <w:rPr>
          <w:rStyle w:val="Emphasis"/>
          <w:rFonts w:ascii="Times New Roman;Times;serif" w:hAnsi="Times New Roman;Times;serif"/>
          <w:sz w:val="20"/>
        </w:rPr>
        <w:t xml:space="preserve">may </w:t>
      </w:r>
      <w:r>
        <w:rPr>
          <w:rFonts w:ascii="Times New Roman;Times;serif" w:hAnsi="Times New Roman;Times;serif"/>
          <w:sz w:val="20"/>
        </w:rPr>
        <w:t xml:space="preserve">request to draw upon the Pledge Asset Line on an as-needed bases; however, amount of available credit under the Pledge Asset Line and approval of each draw </w:t>
      </w:r>
      <w:r>
        <w:rPr>
          <w:rStyle w:val="Emphasis"/>
          <w:rFonts w:ascii="Times New Roman;Times;serif" w:hAnsi="Times New Roman;Times;serif"/>
          <w:sz w:val="20"/>
        </w:rPr>
        <w:t xml:space="preserve">may </w:t>
      </w:r>
      <w:r>
        <w:rPr>
          <w:rFonts w:ascii="Times New Roman;Times;serif" w:hAnsi="Times New Roman;Times;serif"/>
          <w:sz w:val="20"/>
        </w:rPr>
        <w:t xml:space="preserve">be reduced or declined by CZB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Pledge Asset Line will be secured by certain financial assets, including but </w:t>
      </w:r>
      <w:r>
        <w:rPr>
          <w:rStyle w:val="Emphasis"/>
          <w:rFonts w:ascii="Times New Roman;Times;serif" w:hAnsi="Times New Roman;Times;serif"/>
          <w:sz w:val="20"/>
        </w:rPr>
        <w:t>not</w:t>
      </w:r>
      <w:r>
        <w:rPr>
          <w:rFonts w:ascii="Times New Roman;Times;serif" w:hAnsi="Times New Roman;Times;serif"/>
          <w:sz w:val="20"/>
        </w:rPr>
        <w:t xml:space="preserve"> limited to, deposit receipts, domestic accounts receivable and electronic commercial paper. As of </w:t>
      </w:r>
      <w:r>
        <w:rPr>
          <w:rStyle w:val="Emphasis"/>
          <w:rFonts w:ascii="Times New Roman;Times;serif" w:hAnsi="Times New Roman;Times;serif"/>
          <w:sz w:val="20"/>
        </w:rPr>
        <w:t>June 30, 2024</w:t>
      </w:r>
      <w:r>
        <w:rPr>
          <w:rFonts w:ascii="Times New Roman;Times;serif" w:hAnsi="Times New Roman;Times;serif"/>
          <w:sz w:val="20"/>
        </w:rPr>
        <w:t xml:space="preserve">, $16.8 million was outstanding under the </w:t>
      </w:r>
      <w:r>
        <w:rPr>
          <w:rStyle w:val="Emphasis"/>
          <w:rFonts w:ascii="Times New Roman;Times;serif" w:hAnsi="Times New Roman;Times;serif"/>
          <w:sz w:val="20"/>
        </w:rPr>
        <w:t>¥200M</w:t>
      </w:r>
      <w:r>
        <w:rPr>
          <w:rFonts w:ascii="Times New Roman;Times;serif" w:hAnsi="Times New Roman;Times;serif"/>
          <w:sz w:val="20"/>
        </w:rPr>
        <w:t xml:space="preserve"> Credit Facility and the outstanding balance of bank acceptance notes issued to vendors was $2.3 million.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As of </w:t>
      </w:r>
      <w:r>
        <w:rPr>
          <w:rStyle w:val="Emphasis"/>
          <w:rFonts w:ascii="Times New Roman;Times;serif" w:hAnsi="Times New Roman;Times;serif"/>
          <w:sz w:val="20"/>
        </w:rPr>
        <w:t xml:space="preserve"> June 30, 2024</w:t>
      </w:r>
      <w:r>
        <w:rPr>
          <w:rFonts w:ascii="Times New Roman;Times;serif" w:hAnsi="Times New Roman;Times;serif"/>
          <w:sz w:val="20"/>
          <w:shd w:fill="FFFFFF" w:val="clear"/>
        </w:rPr>
        <w:t xml:space="preserve"> and </w:t>
      </w:r>
      <w:r>
        <w:rPr>
          <w:rStyle w:val="Emphasis"/>
          <w:rFonts w:ascii="Times New Roman;Times;serif" w:hAnsi="Times New Roman;Times;serif"/>
          <w:sz w:val="20"/>
        </w:rPr>
        <w:t>December 31, 2023</w:t>
      </w:r>
      <w:r>
        <w:rPr>
          <w:rFonts w:ascii="Times New Roman;Times;serif" w:hAnsi="Times New Roman;Times;serif"/>
          <w:sz w:val="20"/>
          <w:shd w:fill="FFFFFF" w:val="clear"/>
        </w:rPr>
        <w:t>, the Company had $29.4 million and $22.5</w:t>
      </w:r>
      <w:r>
        <w:rPr>
          <w:rFonts w:ascii="Times New Roman;Times;serif" w:hAnsi="Times New Roman;Times;serif"/>
          <w:sz w:val="20"/>
        </w:rPr>
        <w:t> </w:t>
      </w:r>
      <w:r>
        <w:rPr>
          <w:rFonts w:ascii="Times New Roman;Times;serif" w:hAnsi="Times New Roman;Times;serif"/>
          <w:sz w:val="20"/>
          <w:shd w:fill="FFFFFF" w:val="clear"/>
        </w:rPr>
        <w:t>million of unused borrowing capacity, respectively.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As of </w:t>
      </w:r>
      <w:r>
        <w:rPr>
          <w:rStyle w:val="Emphasis"/>
          <w:rFonts w:ascii="Times New Roman;Times;serif" w:hAnsi="Times New Roman;Times;serif"/>
          <w:sz w:val="20"/>
        </w:rPr>
        <w:t xml:space="preserve"> June 30, 2024</w:t>
      </w:r>
      <w:r>
        <w:rPr>
          <w:rFonts w:ascii="Times New Roman;Times;serif" w:hAnsi="Times New Roman;Times;serif"/>
          <w:sz w:val="20"/>
        </w:rPr>
        <w:t xml:space="preserve"> and </w:t>
      </w:r>
      <w:r>
        <w:rPr>
          <w:rStyle w:val="Emphasis"/>
          <w:rFonts w:ascii="Times New Roman;Times;serif" w:hAnsi="Times New Roman;Times;serif"/>
          <w:sz w:val="20"/>
        </w:rPr>
        <w:t>December 31, 2023</w:t>
      </w:r>
      <w:r>
        <w:rPr>
          <w:rFonts w:ascii="Times New Roman;Times;serif" w:hAnsi="Times New Roman;Times;serif"/>
          <w:sz w:val="20"/>
        </w:rPr>
        <w:t xml:space="preserve">, there </w:t>
      </w:r>
      <w:r>
        <w:rPr>
          <w:rFonts w:ascii="Times New Roman;Times;serif" w:hAnsi="Times New Roman;Times;serif"/>
          <w:sz w:val="20"/>
          <w:shd w:fill="FFFFFF" w:val="clear"/>
        </w:rPr>
        <w:t>was $4.8 million and $9.7 million of restricted cash, investme</w:t>
      </w:r>
      <w:r>
        <w:rPr>
          <w:rFonts w:ascii="Times New Roman;Times;serif" w:hAnsi="Times New Roman;Times;serif"/>
          <w:sz w:val="20"/>
        </w:rPr>
        <w:t>nts or security deposits associated with the loan facilities, respectively.</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12.</w:t>
      </w:r>
      <w:r>
        <w:rPr>
          <w:rFonts w:ascii="Times New Roman" w:hAnsi="Times New Roman"/>
          <w:b/>
          <w:sz w:val="20"/>
        </w:rPr>
        <w:t>  Convertible Senior Notes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5, 2019, </w:t>
      </w:r>
      <w:r>
        <w:rPr>
          <w:rFonts w:ascii="Times New Roman" w:hAnsi="Times New Roman"/>
          <w:caps w:val="false"/>
          <w:smallCaps w:val="false"/>
          <w:sz w:val="20"/>
        </w:rPr>
        <w:t>the Company issued $80.5 million of 5% convertible senior notes due </w:t>
      </w:r>
      <w:r>
        <w:rPr>
          <w:rStyle w:val="Emphasis"/>
          <w:rFonts w:ascii="Times New Roman" w:hAnsi="Times New Roman"/>
          <w:caps w:val="false"/>
          <w:smallCaps w:val="false"/>
          <w:sz w:val="20"/>
        </w:rPr>
        <w:t>2024</w:t>
      </w:r>
      <w:r>
        <w:rPr>
          <w:rFonts w:ascii="Times New Roman" w:hAnsi="Times New Roman"/>
          <w:caps w:val="false"/>
          <w:smallCaps w:val="false"/>
          <w:sz w:val="20"/>
        </w:rPr>
        <w:t> (the </w:t>
      </w:r>
      <w:r>
        <w:rPr>
          <w:rStyle w:val="Emphasis"/>
          <w:rFonts w:ascii="Times New Roman" w:hAnsi="Times New Roman"/>
          <w:caps w:val="false"/>
          <w:smallCaps w:val="false"/>
          <w:sz w:val="20"/>
        </w:rPr>
        <w:t>“2024</w:t>
      </w:r>
      <w:r>
        <w:rPr>
          <w:rFonts w:ascii="Times New Roman" w:hAnsi="Times New Roman"/>
          <w:caps w:val="false"/>
          <w:smallCaps w:val="false"/>
          <w:sz w:val="20"/>
        </w:rPr>
        <w:t> Notes”). On </w:t>
      </w:r>
      <w:r>
        <w:rPr>
          <w:rStyle w:val="Emphasis"/>
          <w:rFonts w:ascii="Times New Roman" w:hAnsi="Times New Roman"/>
          <w:caps w:val="false"/>
          <w:smallCaps w:val="false"/>
          <w:sz w:val="20"/>
        </w:rPr>
        <w:t xml:space="preserve"> December 5, 2023, </w:t>
      </w:r>
      <w:r>
        <w:rPr>
          <w:rFonts w:ascii="Times New Roman" w:hAnsi="Times New Roman"/>
          <w:caps w:val="false"/>
          <w:smallCaps w:val="false"/>
          <w:sz w:val="20"/>
        </w:rPr>
        <w:t>the Company issued approximately $80.2 million aggregate principal amount of 5.250% convertible senior notes due </w:t>
      </w:r>
      <w:r>
        <w:rPr>
          <w:rStyle w:val="Emphasis"/>
          <w:rFonts w:ascii="Times New Roman" w:hAnsi="Times New Roman"/>
          <w:caps w:val="false"/>
          <w:smallCaps w:val="false"/>
          <w:sz w:val="20"/>
        </w:rPr>
        <w:t>2026</w:t>
      </w:r>
      <w:r>
        <w:rPr>
          <w:rFonts w:ascii="Times New Roman" w:hAnsi="Times New Roman"/>
          <w:caps w:val="false"/>
          <w:smallCaps w:val="false"/>
          <w:sz w:val="20"/>
        </w:rPr>
        <w:t>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on the same day consummated various separate, privately negotiated exchange agreements with certain holders of its </w:t>
      </w:r>
      <w:r>
        <w:rPr>
          <w:rStyle w:val="Emphasis"/>
          <w:rFonts w:ascii="Times New Roman" w:hAnsi="Times New Roman"/>
          <w:caps w:val="false"/>
          <w:smallCaps w:val="false"/>
          <w:sz w:val="20"/>
        </w:rPr>
        <w:t>2024</w:t>
      </w:r>
      <w:r>
        <w:rPr>
          <w:rFonts w:ascii="Times New Roman" w:hAnsi="Times New Roman"/>
          <w:caps w:val="false"/>
          <w:smallCaps w:val="false"/>
          <w:sz w:val="20"/>
        </w:rPr>
        <w:t> Notes to exchange or repurchase approximately $80.2 million principal amount of the </w:t>
      </w:r>
      <w:r>
        <w:rPr>
          <w:rStyle w:val="Emphasis"/>
          <w:rFonts w:ascii="Times New Roman" w:hAnsi="Times New Roman"/>
          <w:caps w:val="false"/>
          <w:smallCaps w:val="false"/>
          <w:sz w:val="20"/>
        </w:rPr>
        <w:t>2024</w:t>
      </w:r>
      <w:r>
        <w:rPr>
          <w:rFonts w:ascii="Times New Roman" w:hAnsi="Times New Roman"/>
          <w:caps w:val="false"/>
          <w:smallCaps w:val="false"/>
          <w:sz w:val="20"/>
        </w:rPr>
        <w:t> Notes for aggregate consideration consisting of approximately $81.1 million in cash, which included accrued interest on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Notes, and approximately 466,368 shares of the Company's common stock, par value $0.001 per share. </w:t>
      </w:r>
      <w:r>
        <w:rPr>
          <w:rFonts w:ascii="Times New Roman" w:hAnsi="Times New Roman"/>
          <w:caps w:val="false"/>
          <w:smallCaps w:val="false"/>
          <w:color w:val="000000"/>
          <w:sz w:val="20"/>
        </w:rPr>
        <w:t xml:space="preserve">The Company paid off the remaining $0.29 million of the </w:t>
      </w:r>
      <w:r>
        <w:rPr>
          <w:rStyle w:val="Emphasis"/>
          <w:rFonts w:ascii="Times New Roman" w:hAnsi="Times New Roman"/>
          <w:caps w:val="false"/>
          <w:smallCaps w:val="false"/>
          <w:color w:val="000000"/>
          <w:sz w:val="20"/>
        </w:rPr>
        <w:t>2024</w:t>
      </w:r>
      <w:r>
        <w:rPr>
          <w:rFonts w:ascii="Times New Roman" w:hAnsi="Times New Roman"/>
          <w:caps w:val="false"/>
          <w:smallCaps w:val="false"/>
          <w:color w:val="000000"/>
          <w:sz w:val="20"/>
        </w:rPr>
        <w:t xml:space="preserve"> Notes on </w:t>
      </w:r>
      <w:r>
        <w:rPr>
          <w:rStyle w:val="Emphasis"/>
          <w:rFonts w:ascii="Times New Roman" w:hAnsi="Times New Roman"/>
          <w:caps w:val="false"/>
          <w:smallCaps w:val="false"/>
          <w:color w:val="000000"/>
          <w:sz w:val="20"/>
        </w:rPr>
        <w:t>March 15, </w:t>
      </w:r>
      <w:r>
        <w:rPr>
          <w:rStyle w:val="Emphasis"/>
          <w:rFonts w:ascii="Times New Roman" w:hAnsi="Times New Roman"/>
          <w:caps w:val="false"/>
          <w:smallCaps w:val="false"/>
          <w:sz w:val="20"/>
        </w:rPr>
        <w:t>2024.</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The </w:t>
      </w:r>
      <w:r>
        <w:rPr>
          <w:rStyle w:val="Emphasis"/>
          <w:rFonts w:ascii="Times New Roman" w:hAnsi="Times New Roman"/>
          <w:caps w:val="false"/>
          <w:smallCaps w:val="false"/>
          <w:sz w:val="20"/>
        </w:rPr>
        <w:t>2026</w:t>
      </w:r>
      <w:r>
        <w:rPr>
          <w:rFonts w:ascii="Times New Roman" w:hAnsi="Times New Roman"/>
          <w:caps w:val="false"/>
          <w:smallCaps w:val="false"/>
          <w:sz w:val="20"/>
        </w:rPr>
        <w:t> Notes were issued pursuant to an Indenture, dated as of </w:t>
      </w:r>
      <w:r>
        <w:rPr>
          <w:rStyle w:val="Emphasis"/>
          <w:rFonts w:ascii="Times New Roman" w:hAnsi="Times New Roman"/>
          <w:caps w:val="false"/>
          <w:smallCaps w:val="false"/>
          <w:sz w:val="20"/>
        </w:rPr>
        <w:t xml:space="preserve"> December 5, 2023, (</w:t>
      </w:r>
      <w:r>
        <w:rPr>
          <w:rFonts w:ascii="Times New Roman" w:hAnsi="Times New Roman"/>
          <w:caps w:val="false"/>
          <w:smallCaps w:val="false"/>
          <w:sz w:val="20"/>
        </w:rPr>
        <w:t>the "Indenture"), between the Company and Computershare Trust Company, N.A., as trustee. The </w:t>
      </w:r>
      <w:r>
        <w:rPr>
          <w:rStyle w:val="Emphasis"/>
          <w:rFonts w:ascii="Times New Roman" w:hAnsi="Times New Roman"/>
          <w:caps w:val="false"/>
          <w:smallCaps w:val="false"/>
          <w:sz w:val="20"/>
        </w:rPr>
        <w:t>2026</w:t>
      </w:r>
      <w:r>
        <w:rPr>
          <w:rFonts w:ascii="Times New Roman" w:hAnsi="Times New Roman"/>
          <w:caps w:val="false"/>
          <w:smallCaps w:val="false"/>
          <w:sz w:val="20"/>
        </w:rPr>
        <w:t> Notes bear interest at a rate of </w:t>
      </w:r>
      <w:r>
        <w:rPr>
          <w:rStyle w:val="Emphasis"/>
          <w:rFonts w:ascii="Times New Roman" w:hAnsi="Times New Roman"/>
          <w:caps w:val="false"/>
          <w:smallCaps w:val="false"/>
          <w:sz w:val="20"/>
        </w:rPr>
        <w:t>5.250%</w:t>
      </w:r>
      <w:r>
        <w:rPr>
          <w:rFonts w:ascii="Times New Roman" w:hAnsi="Times New Roman"/>
          <w:caps w:val="false"/>
          <w:smallCaps w:val="false"/>
          <w:sz w:val="20"/>
        </w:rPr>
        <w:t> per year and pay interest semi-annually in arrears on </w:t>
      </w:r>
      <w:r>
        <w:rPr>
          <w:rStyle w:val="Emphasis"/>
          <w:rFonts w:ascii="Times New Roman" w:hAnsi="Times New Roman"/>
          <w:caps w:val="false"/>
          <w:smallCaps w:val="false"/>
          <w:sz w:val="20"/>
        </w:rPr>
        <w:t xml:space="preserve"> June 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15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June 15, 2024. </w:t>
      </w:r>
      <w:r>
        <w:rPr>
          <w:rFonts w:ascii="Times New Roman" w:hAnsi="Times New Roman"/>
          <w:caps w:val="false"/>
          <w:smallCaps w:val="false"/>
          <w:sz w:val="20"/>
        </w:rPr>
        <w:t>The </w:t>
      </w:r>
      <w:r>
        <w:rPr>
          <w:rStyle w:val="Emphasis"/>
          <w:rFonts w:ascii="Times New Roman" w:hAnsi="Times New Roman"/>
          <w:caps w:val="false"/>
          <w:smallCaps w:val="false"/>
          <w:sz w:val="20"/>
        </w:rPr>
        <w:t>2026</w:t>
      </w:r>
      <w:r>
        <w:rPr>
          <w:rFonts w:ascii="Times New Roman" w:hAnsi="Times New Roman"/>
          <w:caps w:val="false"/>
          <w:smallCaps w:val="false"/>
          <w:sz w:val="20"/>
        </w:rPr>
        <w:t> Notes mature on </w:t>
      </w:r>
      <w:r>
        <w:rPr>
          <w:rStyle w:val="Emphasis"/>
          <w:rFonts w:ascii="Times New Roman" w:hAnsi="Times New Roman"/>
          <w:caps w:val="false"/>
          <w:smallCaps w:val="false"/>
          <w:sz w:val="20"/>
        </w:rPr>
        <w:t xml:space="preserve"> December 15, 2026, </w:t>
      </w:r>
      <w:r>
        <w:rPr>
          <w:rFonts w:ascii="Times New Roman" w:hAnsi="Times New Roman"/>
          <w:caps w:val="false"/>
          <w:smallCaps w:val="false"/>
          <w:sz w:val="20"/>
        </w:rPr>
        <w:t>unless earlier converted, redeemed or repurchased in accordance with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following table presents the carrying value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for the periods indicated (in thousands):</w:t>
      </w:r>
    </w:p>
    <w:p>
      <w:pPr>
        <w:pStyle w:val="TextBody"/>
        <w:bidi w:val="0"/>
        <w:spacing w:before="0" w:after="0"/>
        <w:ind w:left="0" w:right="0" w:firstLine="941"/>
        <w:jc w:val="left"/>
        <w:rPr/>
      </w:pPr>
      <w:r>
        <w:rPr/>
        <w:t>​</w:t>
      </w:r>
    </w:p>
    <w:tbl>
      <w:tblPr>
        <w:tblW w:w="4808" w:type="dxa"/>
        <w:jc w:val="left"/>
        <w:tblInd w:w="0" w:type="dxa"/>
        <w:tblLayout w:type="fixed"/>
        <w:tblCellMar>
          <w:top w:w="0" w:type="dxa"/>
          <w:left w:w="0" w:type="dxa"/>
          <w:bottom w:w="0" w:type="dxa"/>
          <w:right w:w="0" w:type="dxa"/>
        </w:tblCellMar>
      </w:tblPr>
      <w:tblGrid>
        <w:gridCol w:w="2660"/>
        <w:gridCol w:w="60"/>
        <w:gridCol w:w="126"/>
        <w:gridCol w:w="598"/>
        <w:gridCol w:w="80"/>
        <w:gridCol w:w="60"/>
        <w:gridCol w:w="199"/>
        <w:gridCol w:w="945"/>
        <w:gridCol w:w="80"/>
      </w:tblGrid>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80,214</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debt issuance costs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76,233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The conversion rate for the </w:t>
      </w:r>
      <w:r>
        <w:rPr>
          <w:rStyle w:val="Emphasis"/>
          <w:rFonts w:ascii="Times New Roman" w:hAnsi="Times New Roman"/>
          <w:caps w:val="false"/>
          <w:smallCaps w:val="false"/>
          <w:sz w:val="20"/>
        </w:rPr>
        <w:t>2026</w:t>
      </w:r>
      <w:r>
        <w:rPr>
          <w:rFonts w:ascii="Times New Roman" w:hAnsi="Times New Roman"/>
          <w:caps w:val="false"/>
          <w:smallCaps w:val="false"/>
          <w:sz w:val="20"/>
        </w:rPr>
        <w:t> Notes is 65.6276 shares of the Company’s common stock per $1,000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(which is equivalent to a conversion price of approximately $15.24 per share of the Company’s common stock, representing a premium of approximately 15% over the last reported sale price of the Company’s common stock on </w:t>
      </w:r>
      <w:r>
        <w:rPr>
          <w:rStyle w:val="Emphasis"/>
          <w:rFonts w:ascii="Times New Roman" w:hAnsi="Times New Roman"/>
          <w:caps w:val="false"/>
          <w:smallCaps w:val="false"/>
          <w:sz w:val="20"/>
        </w:rPr>
        <w:t xml:space="preserve"> November 30, 2023 </w:t>
      </w:r>
      <w:r>
        <w:rPr>
          <w:rFonts w:ascii="Times New Roman" w:hAnsi="Times New Roman"/>
          <w:caps w:val="false"/>
          <w:smallCaps w:val="false"/>
          <w:sz w:val="20"/>
        </w:rPr>
        <w:t>of $13.25 per share), subject to adjustment. Before </w:t>
      </w:r>
      <w:r>
        <w:rPr>
          <w:rStyle w:val="Emphasis"/>
          <w:rFonts w:ascii="Times New Roman" w:hAnsi="Times New Roman"/>
          <w:caps w:val="false"/>
          <w:smallCaps w:val="false"/>
          <w:sz w:val="20"/>
        </w:rPr>
        <w:t xml:space="preserve"> September 15, 2026,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have the right to convert their </w:t>
      </w:r>
      <w:r>
        <w:rPr>
          <w:rStyle w:val="Emphasis"/>
          <w:rFonts w:ascii="Times New Roman" w:hAnsi="Times New Roman"/>
          <w:caps w:val="false"/>
          <w:smallCaps w:val="false"/>
          <w:sz w:val="20"/>
        </w:rPr>
        <w:t>2026</w:t>
      </w:r>
      <w:r>
        <w:rPr>
          <w:rFonts w:ascii="Times New Roman" w:hAnsi="Times New Roman"/>
          <w:caps w:val="false"/>
          <w:smallCaps w:val="false"/>
          <w:sz w:val="20"/>
        </w:rPr>
        <w:t> Notes only upon the occurrence of certain events. From and after </w:t>
      </w:r>
      <w:r>
        <w:rPr>
          <w:rStyle w:val="Emphasis"/>
          <w:rFonts w:ascii="Times New Roman" w:hAnsi="Times New Roman"/>
          <w:caps w:val="false"/>
          <w:smallCaps w:val="false"/>
          <w:sz w:val="20"/>
        </w:rPr>
        <w:t xml:space="preserve"> September 15, 2026,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convert their </w:t>
      </w:r>
      <w:r>
        <w:rPr>
          <w:rStyle w:val="Emphasis"/>
          <w:rFonts w:ascii="Times New Roman" w:hAnsi="Times New Roman"/>
          <w:caps w:val="false"/>
          <w:smallCaps w:val="false"/>
          <w:sz w:val="20"/>
        </w:rPr>
        <w:t>2026</w:t>
      </w:r>
      <w:r>
        <w:rPr>
          <w:rFonts w:ascii="Times New Roman" w:hAnsi="Times New Roman"/>
          <w:caps w:val="false"/>
          <w:smallCaps w:val="false"/>
          <w:sz w:val="20"/>
        </w:rPr>
        <w:t> Notes at any time at their election until the close of business on the </w:t>
      </w:r>
      <w:r>
        <w:rPr>
          <w:rStyle w:val="Emphasis"/>
          <w:rFonts w:ascii="Times New Roman" w:hAnsi="Times New Roman"/>
          <w:caps w:val="false"/>
          <w:smallCaps w:val="false"/>
          <w:sz w:val="20"/>
        </w:rPr>
        <w:t>second</w:t>
      </w:r>
      <w:r>
        <w:rPr>
          <w:rFonts w:ascii="Times New Roman" w:hAnsi="Times New Roman"/>
          <w:caps w:val="false"/>
          <w:smallCaps w:val="false"/>
          <w:sz w:val="20"/>
        </w:rPr>
        <w:t> scheduled trading day immediately before the maturity date. The Company will settle conversions by paying or delivering, as applicable, cash, shares of its common stock or a combination of cash and shares of its common stock, at the Company’s election, based on the applicable conversion rate(s).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Currently there are </w:t>
      </w:r>
      <w:r>
        <w:rPr>
          <w:rStyle w:val="Emphasis"/>
          <w:rFonts w:ascii="Times New Roman" w:hAnsi="Times New Roman"/>
          <w:caps w:val="false"/>
          <w:smallCaps w:val="false"/>
          <w:sz w:val="20"/>
        </w:rPr>
        <w:t>no</w:t>
      </w:r>
      <w:r>
        <w:rPr>
          <w:rFonts w:ascii="Times New Roman" w:hAnsi="Times New Roman"/>
          <w:caps w:val="false"/>
          <w:smallCaps w:val="false"/>
          <w:sz w:val="20"/>
        </w:rPr>
        <w:t> guarantors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but the </w:t>
      </w:r>
      <w:r>
        <w:rPr>
          <w:rStyle w:val="Emphasis"/>
          <w:rFonts w:ascii="Times New Roman" w:hAnsi="Times New Roman"/>
          <w:caps w:val="false"/>
          <w:smallCaps w:val="false"/>
          <w:sz w:val="20"/>
        </w:rPr>
        <w:t>2026</w:t>
      </w:r>
      <w:r>
        <w:rPr>
          <w:rFonts w:ascii="Times New Roman" w:hAnsi="Times New Roman"/>
          <w:caps w:val="false"/>
          <w:smallCaps w:val="false"/>
          <w:sz w:val="20"/>
        </w:rPr>
        <w:t> Notes would be fully and unconditionally guaranteed, on a senior, unsecured basis by certain of the Company’s future domestic subsidiaries, should any such subsidiaries be formed.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are the Company’s senior, unsecured obligations and are equal in right of payment with existing and future senior, unsecured indebtedness, senior in right of payment to the Company’s existing and future indebtedness that is expressly subordinated to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is equal in right of payment with existing and future senior, unsecured indebtedness, senior in right of payment to such future guarantor’s existing and future indebtedness that is expressly subordinated to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effectively subordinated to such future guarantor’s existing and future secured indebtedness, to the extent of the value of the collateral securing that indebtedness.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Indenture contains covenants that limit the Company’s ability and the ability of our subsidiaries to, among other things: (i) incur or guarantee additional indebtedness or issue disqualified stock; and (ii) create or incur liens.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w:t>
      </w:r>
      <w:r>
        <w:rPr>
          <w:rStyle w:val="Emphasis"/>
          <w:rFonts w:ascii="Times New Roman" w:hAnsi="Times New Roman"/>
          <w:caps w:val="false"/>
          <w:smallCaps w:val="false"/>
          <w:sz w:val="20"/>
        </w:rPr>
        <w:t>2026</w:t>
      </w:r>
      <w:r>
        <w:rPr>
          <w:rFonts w:ascii="Times New Roman" w:hAnsi="Times New Roman"/>
          <w:caps w:val="false"/>
          <w:smallCaps w:val="false"/>
          <w:sz w:val="20"/>
        </w:rPr>
        <w:t> Notes will be redeemable, in whole or in part (subject to certain limitations described in the Indenture), at the Company’s option at any time, and from time to time, on or after </w:t>
      </w:r>
      <w:r>
        <w:rPr>
          <w:rStyle w:val="Emphasis"/>
          <w:rFonts w:ascii="Times New Roman" w:hAnsi="Times New Roman"/>
          <w:caps w:val="false"/>
          <w:smallCaps w:val="false"/>
          <w:sz w:val="20"/>
        </w:rPr>
        <w:t xml:space="preserve"> December 15, 2024 </w:t>
      </w:r>
      <w:r>
        <w:rPr>
          <w:rFonts w:ascii="Times New Roman" w:hAnsi="Times New Roman"/>
          <w:caps w:val="false"/>
          <w:smallCaps w:val="false"/>
          <w:sz w:val="20"/>
        </w:rPr>
        <w:t>and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scheduled trading day immediately before the maturity date, at a cash redemption price equal to the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to be redeemed, plus accrued and unpaid interest, if any, to, but excluding, the redemption date, but only if the last reported sale price per share of the Company’s common stock exceeds 130% of the conversion price on (</w:t>
      </w:r>
      <w:r>
        <w:rPr>
          <w:rStyle w:val="Emphasis"/>
          <w:rFonts w:ascii="Times New Roman" w:hAnsi="Times New Roman"/>
          <w:caps w:val="false"/>
          <w:smallCaps w:val="false"/>
          <w:sz w:val="20"/>
        </w:rPr>
        <w:t>1</w:t>
      </w:r>
      <w:r>
        <w:rPr>
          <w:rFonts w:ascii="Times New Roman" w:hAnsi="Times New Roman"/>
          <w:caps w:val="false"/>
          <w:smallCaps w:val="false"/>
          <w:sz w:val="20"/>
        </w:rPr>
        <w:t>) each of at least 20 trading days, whether or </w:t>
      </w:r>
      <w:r>
        <w:rPr>
          <w:rStyle w:val="Emphasis"/>
          <w:rFonts w:ascii="Times New Roman" w:hAnsi="Times New Roman"/>
          <w:caps w:val="false"/>
          <w:smallCaps w:val="false"/>
          <w:sz w:val="20"/>
        </w:rPr>
        <w:t>not</w:t>
      </w:r>
      <w:r>
        <w:rPr>
          <w:rFonts w:ascii="Times New Roman" w:hAnsi="Times New Roman"/>
          <w:caps w:val="false"/>
          <w:smallCaps w:val="false"/>
          <w:sz w:val="20"/>
        </w:rPr>
        <w:t> consecutive, during the 30 consecutive trading days ending on, and including, the trading day immediately before the date the Company sends the related redemption notice; and (</w:t>
      </w:r>
      <w:r>
        <w:rPr>
          <w:rStyle w:val="Emphasis"/>
          <w:rFonts w:ascii="Times New Roman" w:hAnsi="Times New Roman"/>
          <w:caps w:val="false"/>
          <w:smallCaps w:val="false"/>
          <w:sz w:val="20"/>
        </w:rPr>
        <w:t>2</w:t>
      </w:r>
      <w:r>
        <w:rPr>
          <w:rFonts w:ascii="Times New Roman" w:hAnsi="Times New Roman"/>
          <w:caps w:val="false"/>
          <w:smallCaps w:val="false"/>
          <w:sz w:val="20"/>
        </w:rPr>
        <w:t>) the trading day immediately before the date it sends such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addition, the </w:t>
      </w:r>
      <w:r>
        <w:rPr>
          <w:rStyle w:val="Emphasis"/>
          <w:rFonts w:ascii="Times New Roman" w:hAnsi="Times New Roman"/>
          <w:caps w:val="false"/>
          <w:smallCaps w:val="false"/>
          <w:sz w:val="20"/>
        </w:rPr>
        <w:t>2026</w:t>
      </w:r>
      <w:r>
        <w:rPr>
          <w:rFonts w:ascii="Times New Roman" w:hAnsi="Times New Roman"/>
          <w:caps w:val="false"/>
          <w:smallCaps w:val="false"/>
          <w:sz w:val="20"/>
        </w:rPr>
        <w:t> Notes will be redeemable, in whole or in part, at the Company’s option at any time, and from time to time,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scheduled trading day immediately before the maturity date, at a cash redemption price equal to the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to be redeemed, plus accrued and unpaid interest, if any, to, but excluding, the redemption date (subject to the right of a holder of </w:t>
      </w:r>
      <w:r>
        <w:rPr>
          <w:rStyle w:val="Emphasis"/>
          <w:rFonts w:ascii="Times New Roman" w:hAnsi="Times New Roman"/>
          <w:caps w:val="false"/>
          <w:smallCaps w:val="false"/>
          <w:sz w:val="20"/>
        </w:rPr>
        <w:t>2026</w:t>
      </w:r>
      <w:r>
        <w:rPr>
          <w:rFonts w:ascii="Times New Roman" w:hAnsi="Times New Roman"/>
          <w:caps w:val="false"/>
          <w:smallCaps w:val="false"/>
          <w:sz w:val="20"/>
        </w:rPr>
        <w:t> Notes as of the close of business on a record date to receive the related interest payment on the corresponding interest payment date), if the Company completes the "Specified Divestiture" of (</w:t>
      </w:r>
      <w:r>
        <w:rPr>
          <w:rStyle w:val="Emphasis"/>
          <w:rFonts w:ascii="Times New Roman" w:hAnsi="Times New Roman"/>
          <w:caps w:val="false"/>
          <w:smallCaps w:val="false"/>
          <w:sz w:val="20"/>
        </w:rPr>
        <w:t>x</w:t>
      </w:r>
      <w:r>
        <w:rPr>
          <w:rFonts w:ascii="Times New Roman" w:hAnsi="Times New Roman"/>
          <w:caps w:val="false"/>
          <w:smallCaps w:val="false"/>
          <w:sz w:val="20"/>
        </w:rPr>
        <w:t>) </w:t>
      </w:r>
      <w:r>
        <w:rPr>
          <w:rStyle w:val="Emphasis"/>
          <w:rFonts w:ascii="Times New Roman" w:hAnsi="Times New Roman"/>
          <w:caps w:val="false"/>
          <w:smallCaps w:val="false"/>
          <w:sz w:val="20"/>
        </w:rPr>
        <w:t>one</w:t>
      </w:r>
      <w:r>
        <w:rPr>
          <w:rFonts w:ascii="Times New Roman" w:hAnsi="Times New Roman"/>
          <w:caps w:val="false"/>
          <w:smallCaps w:val="false"/>
          <w:sz w:val="20"/>
        </w:rPr>
        <w:t> or more of its manufacturing facilities located in the People’s Republic of China and/or (y) significant assets located in the People’s Republic of China which relate to the Company’s transceiver business and multi-channel optical sub-assembly products (or any substantially related assets), for aggregate consideration in cash to the Company of </w:t>
      </w:r>
      <w:r>
        <w:rPr>
          <w:rStyle w:val="Emphasis"/>
          <w:rFonts w:ascii="Times New Roman" w:hAnsi="Times New Roman"/>
          <w:caps w:val="false"/>
          <w:smallCaps w:val="false"/>
          <w:sz w:val="20"/>
        </w:rPr>
        <w:t>not</w:t>
      </w:r>
      <w:r>
        <w:rPr>
          <w:rFonts w:ascii="Times New Roman" w:hAnsi="Times New Roman"/>
          <w:caps w:val="false"/>
          <w:smallCaps w:val="false"/>
          <w:sz w:val="20"/>
        </w:rPr>
        <w:t> less than the U.S. Dollar equivalent of $150,000,000 (measured at the time of completion).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Calling any Convertible Note for redemption will constitute a “Make-whole fundamental change” (as defined in the Indenture) with respect to that Convertible Note, in which case the conversion rate applicable to the conversion of that Convertible Note will be increased in certain circumstances if it is converted after it is called for redemption.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addition, if the Specified Divestiture is completed, then each holder of </w:t>
      </w:r>
      <w:r>
        <w:rPr>
          <w:rStyle w:val="Emphasis"/>
          <w:rFonts w:ascii="Times New Roman" w:hAnsi="Times New Roman"/>
          <w:caps w:val="false"/>
          <w:smallCaps w:val="false"/>
          <w:sz w:val="20"/>
        </w:rPr>
        <w:t>2026</w:t>
      </w:r>
      <w:r>
        <w:rPr>
          <w:rFonts w:ascii="Times New Roman" w:hAnsi="Times New Roman"/>
          <w:caps w:val="false"/>
          <w:smallCaps w:val="false"/>
          <w:sz w:val="20"/>
        </w:rPr>
        <w:t> Notes will have the right to require the Company to repurchase its </w:t>
      </w:r>
      <w:r>
        <w:rPr>
          <w:rStyle w:val="Emphasis"/>
          <w:rFonts w:ascii="Times New Roman" w:hAnsi="Times New Roman"/>
          <w:caps w:val="false"/>
          <w:smallCaps w:val="false"/>
          <w:sz w:val="20"/>
        </w:rPr>
        <w:t>2026</w:t>
      </w:r>
      <w:r>
        <w:rPr>
          <w:rFonts w:ascii="Times New Roman" w:hAnsi="Times New Roman"/>
          <w:caps w:val="false"/>
          <w:smallCaps w:val="false"/>
          <w:sz w:val="20"/>
        </w:rPr>
        <w:t> Notes for cash on a date of the Company’s choosing, which must be a business day that is </w:t>
      </w:r>
      <w:r>
        <w:rPr>
          <w:rStyle w:val="Emphasis"/>
          <w:rFonts w:ascii="Times New Roman" w:hAnsi="Times New Roman"/>
          <w:caps w:val="false"/>
          <w:smallCaps w:val="false"/>
          <w:sz w:val="20"/>
        </w:rPr>
        <w:t>no</w:t>
      </w:r>
      <w:r>
        <w:rPr>
          <w:rFonts w:ascii="Times New Roman" w:hAnsi="Times New Roman"/>
          <w:caps w:val="false"/>
          <w:smallCaps w:val="false"/>
          <w:sz w:val="20"/>
        </w:rPr>
        <w:t> more than </w:t>
      </w:r>
      <w:r>
        <w:rPr>
          <w:rStyle w:val="Emphasis"/>
          <w:rFonts w:ascii="Times New Roman" w:hAnsi="Times New Roman"/>
          <w:caps w:val="false"/>
          <w:smallCaps w:val="false"/>
          <w:sz w:val="20"/>
        </w:rPr>
        <w:t>35,</w:t>
      </w:r>
      <w:r>
        <w:rPr>
          <w:rFonts w:ascii="Times New Roman" w:hAnsi="Times New Roman"/>
          <w:caps w:val="false"/>
          <w:smallCaps w:val="false"/>
          <w:sz w:val="20"/>
        </w:rPr>
        <w:t> nor less than </w:t>
      </w:r>
      <w:r>
        <w:rPr>
          <w:rStyle w:val="Emphasis"/>
          <w:rFonts w:ascii="Times New Roman" w:hAnsi="Times New Roman"/>
          <w:caps w:val="false"/>
          <w:smallCaps w:val="false"/>
          <w:sz w:val="20"/>
        </w:rPr>
        <w:t>20,</w:t>
      </w:r>
      <w:r>
        <w:rPr>
          <w:rFonts w:ascii="Times New Roman" w:hAnsi="Times New Roman"/>
          <w:caps w:val="false"/>
          <w:smallCaps w:val="false"/>
          <w:sz w:val="20"/>
        </w:rPr>
        <w:t> business days after we send the related notice of Specified Divestiture. The repurchase price for a note tendered for such repurchase will be equal to the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to be repurchased, plus accrued and unpaid interest, if any, to, but excluding, the repurchase date (subject to the right of a holder of </w:t>
      </w:r>
      <w:r>
        <w:rPr>
          <w:rStyle w:val="Emphasis"/>
          <w:rFonts w:ascii="Times New Roman" w:hAnsi="Times New Roman"/>
          <w:caps w:val="false"/>
          <w:smallCaps w:val="false"/>
          <w:sz w:val="20"/>
        </w:rPr>
        <w:t>2026</w:t>
      </w:r>
      <w:r>
        <w:rPr>
          <w:rFonts w:ascii="Times New Roman" w:hAnsi="Times New Roman"/>
          <w:caps w:val="false"/>
          <w:smallCaps w:val="false"/>
          <w:sz w:val="20"/>
        </w:rPr>
        <w:t> Notes as of the close of business on a record date to receive the related interest payment on the corresponding interest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Moreover, if the Company undergoes a fundamental change, as described in the Indenture, holders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the Company to repurchase for cash all or part of their </w:t>
      </w:r>
      <w:r>
        <w:rPr>
          <w:rStyle w:val="Emphasis"/>
          <w:rFonts w:ascii="Times New Roman" w:hAnsi="Times New Roman"/>
          <w:caps w:val="false"/>
          <w:smallCaps w:val="false"/>
          <w:sz w:val="20"/>
        </w:rPr>
        <w:t>2026</w:t>
      </w:r>
      <w:r>
        <w:rPr>
          <w:rFonts w:ascii="Times New Roman" w:hAnsi="Times New Roman"/>
          <w:caps w:val="false"/>
          <w:smallCaps w:val="false"/>
          <w:sz w:val="20"/>
        </w:rPr>
        <w:t> Notes at a repurchase price equal to 100% of the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to be repurchased, plus accrued and unpaid interest to, but excluding, the required repurchase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Additionally,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are subject to customary events of default. </w:t>
      </w:r>
      <w:r>
        <w:rPr>
          <w:rStyle w:val="Emphasis"/>
          <w:rFonts w:ascii="Times New Roman" w:hAnsi="Times New Roman"/>
          <w:caps w:val="false"/>
          <w:smallCaps w:val="false"/>
          <w:sz w:val="20"/>
        </w:rPr>
        <w:t>No</w:t>
      </w:r>
      <w:r>
        <w:rPr>
          <w:rFonts w:ascii="Times New Roman" w:hAnsi="Times New Roman"/>
          <w:caps w:val="false"/>
          <w:smallCaps w:val="false"/>
          <w:sz w:val="20"/>
        </w:rPr>
        <w:t> sinking fund is provided for the </w:t>
      </w:r>
      <w:r>
        <w:rPr>
          <w:rStyle w:val="Emphasis"/>
          <w:rFonts w:ascii="Times New Roman" w:hAnsi="Times New Roman"/>
          <w:caps w:val="false"/>
          <w:smallCaps w:val="false"/>
          <w:sz w:val="20"/>
        </w:rPr>
        <w:t>2026</w:t>
      </w:r>
      <w:r>
        <w:rPr>
          <w:rFonts w:ascii="Times New Roman" w:hAnsi="Times New Roman"/>
          <w:caps w:val="false"/>
          <w:smallCaps w:val="false"/>
          <w:sz w:val="20"/>
        </w:rPr>
        <w:t>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Pursuant to the guidance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Contracts in Entity’s Own Equity, the Company evaluated whether the conversion feature of the note needed to be bifurcated from the host instrument as a freestanding financial instrument. Under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to qualify for equity classification (or non-bifurcation, if embedded) the instrument (or embedded feature) must be both (</w:t>
      </w:r>
      <w:r>
        <w:rPr>
          <w:rStyle w:val="Emphasis"/>
          <w:rFonts w:ascii="Times New Roman" w:hAnsi="Times New Roman"/>
          <w:caps w:val="false"/>
          <w:smallCaps w:val="false"/>
          <w:sz w:val="20"/>
        </w:rPr>
        <w:t>1</w:t>
      </w:r>
      <w:r>
        <w:rPr>
          <w:rFonts w:ascii="Times New Roman" w:hAnsi="Times New Roman"/>
          <w:caps w:val="false"/>
          <w:smallCaps w:val="false"/>
          <w:sz w:val="20"/>
        </w:rPr>
        <w:t>) indexed to the issuer’s own stock and (</w:t>
      </w:r>
      <w:r>
        <w:rPr>
          <w:rStyle w:val="Emphasis"/>
          <w:rFonts w:ascii="Times New Roman" w:hAnsi="Times New Roman"/>
          <w:caps w:val="false"/>
          <w:smallCaps w:val="false"/>
          <w:sz w:val="20"/>
        </w:rPr>
        <w:t>2</w:t>
      </w:r>
      <w:r>
        <w:rPr>
          <w:rFonts w:ascii="Times New Roman" w:hAnsi="Times New Roman"/>
          <w:caps w:val="false"/>
          <w:smallCaps w:val="false"/>
          <w:sz w:val="20"/>
        </w:rPr>
        <w:t>) meet the requirements of the equity classification guidance. Based upon the Company’s analysis, it was determined the conversion option is indexed to its own stock and also met all the criteria for equity classification contained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w:t>
      </w:r>
      <w:r>
        <w:rPr>
          <w:rStyle w:val="Emphasis"/>
          <w:rFonts w:ascii="Times New Roman" w:hAnsi="Times New Roman"/>
          <w:caps w:val="false"/>
          <w:smallCaps w:val="false"/>
          <w:sz w:val="20"/>
        </w:rPr>
        <w:t>25</w:t>
      </w:r>
      <w:r>
        <w:rPr>
          <w:rFonts w:ascii="Times New Roman" w:hAnsi="Times New Roman"/>
          <w:caps w:val="false"/>
          <w:smallCaps w:val="false"/>
          <w:sz w:val="20"/>
        </w:rPr>
        <w:t>-</w:t>
      </w:r>
      <w:r>
        <w:rPr>
          <w:rStyle w:val="Emphasis"/>
          <w:rFonts w:ascii="Times New Roman" w:hAnsi="Times New Roman"/>
          <w:caps w:val="false"/>
          <w:smallCaps w:val="false"/>
          <w:sz w:val="20"/>
        </w:rPr>
        <w:t>7</w:t>
      </w:r>
      <w:r>
        <w:rPr>
          <w:rFonts w:ascii="Times New Roman" w:hAnsi="Times New Roman"/>
          <w:caps w:val="false"/>
          <w:smallCaps w:val="false"/>
          <w:sz w:val="20"/>
        </w:rPr>
        <w:t> and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w:t>
      </w:r>
      <w:r>
        <w:rPr>
          <w:rStyle w:val="Emphasis"/>
          <w:rFonts w:ascii="Times New Roman" w:hAnsi="Times New Roman"/>
          <w:caps w:val="false"/>
          <w:smallCaps w:val="false"/>
          <w:sz w:val="20"/>
        </w:rPr>
        <w:t>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Accordingly, the conversion option is </w:t>
      </w:r>
      <w:r>
        <w:rPr>
          <w:rStyle w:val="Emphasis"/>
          <w:rFonts w:ascii="Times New Roman" w:hAnsi="Times New Roman"/>
          <w:caps w:val="false"/>
          <w:smallCaps w:val="false"/>
          <w:sz w:val="20"/>
        </w:rPr>
        <w:t>not</w:t>
      </w:r>
      <w:r>
        <w:rPr>
          <w:rFonts w:ascii="Times New Roman" w:hAnsi="Times New Roman"/>
          <w:caps w:val="false"/>
          <w:smallCaps w:val="false"/>
          <w:sz w:val="20"/>
        </w:rPr>
        <w: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Debt with Conversion and Other Options. The Company determined that notes should be accounted for in their entirety as a liability.</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sz w:val="20"/>
        </w:rPr>
        <w:t xml:space="preserve">The Company incurred approximately $4.3 million in transaction costs in connection with the issuance of the </w:t>
      </w:r>
      <w:r>
        <w:rPr>
          <w:rStyle w:val="Emphasis"/>
          <w:rFonts w:ascii="Times New Roman" w:hAnsi="Times New Roman"/>
          <w:sz w:val="20"/>
        </w:rPr>
        <w:t>2026</w:t>
      </w:r>
      <w:r>
        <w:rPr>
          <w:rFonts w:ascii="Times New Roman" w:hAnsi="Times New Roman"/>
          <w:sz w:val="20"/>
        </w:rPr>
        <w:t xml:space="preserve"> Notes. These costs were recognized as a reduction of the carrying amount of the Notes utilizing the effective interest method and are being amortized over the term of the Notes.</w:t>
      </w:r>
    </w:p>
    <w:p>
      <w:pPr>
        <w:pStyle w:val="TextBody"/>
        <w:bidi w:val="0"/>
        <w:spacing w:before="0" w:after="0"/>
        <w:ind w:left="0" w:right="0" w:firstLine="360"/>
        <w:jc w:val="left"/>
        <w:rPr/>
      </w:pPr>
      <w:r>
        <w:rPr/>
        <w:t>​</w:t>
      </w:r>
    </w:p>
    <w:p>
      <w:pPr>
        <w:pStyle w:val="TextBody"/>
        <w:bidi w:val="0"/>
        <w:spacing w:before="0" w:after="0"/>
        <w:ind w:left="360" w:right="0" w:firstLine="360"/>
        <w:jc w:val="left"/>
        <w:rPr/>
      </w:pPr>
      <w:r>
        <w:rPr>
          <w:rFonts w:ascii="Times New Roman" w:hAnsi="Times New Roman"/>
          <w:sz w:val="20"/>
        </w:rPr>
        <w:t xml:space="preserve">The following table sets forth interest expense information related to the </w:t>
      </w:r>
      <w:r>
        <w:rPr>
          <w:rStyle w:val="Emphasis"/>
          <w:rFonts w:ascii="Times New Roman" w:hAnsi="Times New Roman"/>
          <w:color w:val="000000"/>
          <w:sz w:val="20"/>
        </w:rPr>
        <w:t>2024</w:t>
      </w:r>
      <w:r>
        <w:rPr>
          <w:rFonts w:ascii="Times New Roman" w:hAnsi="Times New Roman"/>
          <w:color w:val="000000"/>
          <w:sz w:val="20"/>
        </w:rPr>
        <w:t xml:space="preserve"> Notes and </w:t>
      </w:r>
      <w:r>
        <w:rPr>
          <w:rStyle w:val="Emphasis"/>
          <w:rFonts w:ascii="Times New Roman" w:hAnsi="Times New Roman"/>
          <w:color w:val="000000"/>
          <w:sz w:val="20"/>
        </w:rPr>
        <w:t>2026</w:t>
      </w:r>
      <w:r>
        <w:rPr>
          <w:rFonts w:ascii="Times New Roman" w:hAnsi="Times New Roman"/>
          <w:color w:val="000000"/>
          <w:sz w:val="20"/>
        </w:rPr>
        <w:t xml:space="preserve"> Notes (in thousands):</w:t>
      </w:r>
    </w:p>
    <w:p>
      <w:pPr>
        <w:pStyle w:val="TextBody"/>
        <w:bidi w:val="0"/>
        <w:spacing w:before="0" w:after="0"/>
        <w:ind w:left="0" w:right="0" w:hanging="0"/>
        <w:jc w:val="left"/>
        <w:rPr/>
      </w:pPr>
      <w:r>
        <w:rPr/>
        <w:t>​</w:t>
      </w:r>
    </w:p>
    <w:tbl>
      <w:tblPr>
        <w:tblW w:w="8043" w:type="dxa"/>
        <w:jc w:val="left"/>
        <w:tblInd w:w="0" w:type="dxa"/>
        <w:tblLayout w:type="fixed"/>
        <w:tblCellMar>
          <w:top w:w="0" w:type="dxa"/>
          <w:left w:w="0" w:type="dxa"/>
          <w:bottom w:w="0" w:type="dxa"/>
          <w:right w:w="0" w:type="dxa"/>
        </w:tblCellMar>
      </w:tblPr>
      <w:tblGrid>
        <w:gridCol w:w="2900"/>
        <w:gridCol w:w="60"/>
        <w:gridCol w:w="207"/>
        <w:gridCol w:w="806"/>
        <w:gridCol w:w="307"/>
        <w:gridCol w:w="99"/>
        <w:gridCol w:w="207"/>
        <w:gridCol w:w="806"/>
        <w:gridCol w:w="185"/>
        <w:gridCol w:w="60"/>
        <w:gridCol w:w="189"/>
        <w:gridCol w:w="736"/>
        <w:gridCol w:w="280"/>
        <w:gridCol w:w="91"/>
        <w:gridCol w:w="189"/>
        <w:gridCol w:w="736"/>
        <w:gridCol w:w="18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30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28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9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w:t>
            </w:r>
          </w:p>
        </w:tc>
        <w:tc>
          <w:tcPr>
            <w:tcW w:w="30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w:t>
            </w:r>
          </w:p>
        </w:tc>
        <w:tc>
          <w:tcPr>
            <w:tcW w:w="28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30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28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cost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p>
        </w:tc>
        <w:tc>
          <w:tcPr>
            <w:tcW w:w="30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2,820</w:t>
            </w:r>
          </w:p>
        </w:tc>
        <w:tc>
          <w:tcPr>
            <w:tcW w:w="28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interest rate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3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Accrued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liabilities consisted of the following for the periods indicated (in thousands):</w:t>
      </w:r>
    </w:p>
    <w:p>
      <w:pPr>
        <w:pStyle w:val="TextBody"/>
        <w:bidi w:val="0"/>
        <w:spacing w:before="0" w:after="0"/>
        <w:ind w:left="0" w:right="0" w:firstLine="720"/>
        <w:jc w:val="left"/>
        <w:rPr/>
      </w:pPr>
      <w:r>
        <w:rPr/>
        <w:t>​</w:t>
      </w:r>
    </w:p>
    <w:tbl>
      <w:tblPr>
        <w:tblW w:w="6058" w:type="dxa"/>
        <w:jc w:val="left"/>
        <w:tblInd w:w="0" w:type="dxa"/>
        <w:tblLayout w:type="fixed"/>
        <w:tblCellMar>
          <w:top w:w="0" w:type="dxa"/>
          <w:left w:w="0" w:type="dxa"/>
          <w:bottom w:w="0" w:type="dxa"/>
          <w:right w:w="0" w:type="dxa"/>
        </w:tblCellMar>
      </w:tblPr>
      <w:tblGrid>
        <w:gridCol w:w="3020"/>
        <w:gridCol w:w="60"/>
        <w:gridCol w:w="208"/>
        <w:gridCol w:w="981"/>
        <w:gridCol w:w="60"/>
        <w:gridCol w:w="60"/>
        <w:gridCol w:w="280"/>
        <w:gridCol w:w="1329"/>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employee benefits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3,376</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state and local taxes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shipping and tariff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Advanced payments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commission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product warranty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14.</w:t>
      </w:r>
      <w:r>
        <w:rPr>
          <w:rFonts w:ascii="Times New Roman" w:hAnsi="Times New Roman"/>
          <w:b/>
          <w:sz w:val="20"/>
        </w:rPr>
        <w:t>  Other Income and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Other income and expense consisted of the following for the periods indicated (in thousands):</w:t>
      </w:r>
    </w:p>
    <w:p>
      <w:pPr>
        <w:pStyle w:val="TextBody"/>
        <w:bidi w:val="0"/>
        <w:spacing w:before="0" w:after="0"/>
        <w:ind w:left="0" w:right="0" w:hanging="0"/>
        <w:jc w:val="left"/>
        <w:rPr/>
      </w:pPr>
      <w:r>
        <w:rPr/>
        <w:t> </w:t>
      </w:r>
    </w:p>
    <w:tbl>
      <w:tblPr>
        <w:tblW w:w="7789" w:type="dxa"/>
        <w:jc w:val="left"/>
        <w:tblInd w:w="0" w:type="dxa"/>
        <w:tblLayout w:type="fixed"/>
        <w:tblCellMar>
          <w:top w:w="0" w:type="dxa"/>
          <w:left w:w="0" w:type="dxa"/>
          <w:bottom w:w="0" w:type="dxa"/>
          <w:right w:w="0" w:type="dxa"/>
        </w:tblCellMar>
      </w:tblPr>
      <w:tblGrid>
        <w:gridCol w:w="2855"/>
        <w:gridCol w:w="60"/>
        <w:gridCol w:w="223"/>
        <w:gridCol w:w="868"/>
        <w:gridCol w:w="143"/>
        <w:gridCol w:w="107"/>
        <w:gridCol w:w="223"/>
        <w:gridCol w:w="868"/>
        <w:gridCol w:w="80"/>
        <w:gridCol w:w="60"/>
        <w:gridCol w:w="204"/>
        <w:gridCol w:w="793"/>
        <w:gridCol w:w="130"/>
        <w:gridCol w:w="98"/>
        <w:gridCol w:w="204"/>
        <w:gridCol w:w="793"/>
        <w:gridCol w:w="8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disposal of assets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subsidy income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gain</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(expenses) , net</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15.</w:t>
      </w:r>
      <w:r>
        <w:rPr>
          <w:rFonts w:ascii="Times New Roman" w:hAnsi="Times New Roman"/>
          <w:b/>
          <w:sz w:val="20"/>
        </w:rPr>
        <w:t>  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Equity Plans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Company’s board of directors and stockholders approved the following equity plans:</w:t>
      </w:r>
    </w:p>
    <w:p>
      <w:pPr>
        <w:pStyle w:val="TextBody"/>
        <w:bidi w:val="0"/>
        <w:spacing w:before="0" w:after="0"/>
        <w:ind w:left="720" w:right="0" w:hanging="720"/>
        <w:jc w:val="left"/>
        <w:rPr/>
      </w:pPr>
      <w:r>
        <w:rPr/>
        <w:t>​</w:t>
      </w:r>
    </w:p>
    <w:tbl>
      <w:tblPr>
        <w:tblW w:w="3925" w:type="dxa"/>
        <w:jc w:val="left"/>
        <w:tblInd w:w="0" w:type="dxa"/>
        <w:tblLayout w:type="fixed"/>
        <w:tblCellMar>
          <w:top w:w="0" w:type="dxa"/>
          <w:left w:w="0" w:type="dxa"/>
          <w:bottom w:w="0" w:type="dxa"/>
          <w:right w:w="0" w:type="dxa"/>
        </w:tblCellMar>
      </w:tblPr>
      <w:tblGrid>
        <w:gridCol w:w="60"/>
        <w:gridCol w:w="170"/>
        <w:gridCol w:w="3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695" w:type="dxa"/>
            <w:tcBorders/>
            <w:vAlign w:val="center"/>
          </w:tcPr>
          <w:p>
            <w:pPr>
              <w:pStyle w:val="TableContents"/>
              <w:bidi w:val="0"/>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2013</w:t>
            </w:r>
            <w:r>
              <w:rPr>
                <w:rFonts w:ascii="Times New Roman" w:hAnsi="Times New Roman"/>
                <w:sz w:val="20"/>
              </w:rPr>
              <w:t xml:space="preserve"> Equity Incentive Plan (</w:t>
            </w:r>
            <w:r>
              <w:rPr>
                <w:rStyle w:val="Emphasis"/>
                <w:rFonts w:ascii="Times New Roman" w:hAnsi="Times New Roman"/>
                <w:sz w:val="20"/>
              </w:rPr>
              <w:t>"2013</w:t>
            </w:r>
            <w:r>
              <w:rPr>
                <w:rFonts w:ascii="Times New Roman" w:hAnsi="Times New Roman"/>
                <w:sz w:val="20"/>
              </w:rPr>
              <w:t xml:space="preserve"> Plan")</w:t>
            </w:r>
          </w:p>
        </w:tc>
      </w:tr>
    </w:tbl>
    <w:tbl>
      <w:tblPr>
        <w:tblW w:w="4660" w:type="dxa"/>
        <w:jc w:val="left"/>
        <w:tblInd w:w="0" w:type="dxa"/>
        <w:tblLayout w:type="fixed"/>
        <w:tblCellMar>
          <w:top w:w="0" w:type="dxa"/>
          <w:left w:w="0" w:type="dxa"/>
          <w:bottom w:w="0" w:type="dxa"/>
          <w:right w:w="0" w:type="dxa"/>
        </w:tblCellMar>
      </w:tblPr>
      <w:tblGrid>
        <w:gridCol w:w="60"/>
        <w:gridCol w:w="170"/>
        <w:gridCol w:w="4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430" w:type="dxa"/>
            <w:tcBorders/>
            <w:vAlign w:val="center"/>
          </w:tcPr>
          <w:p>
            <w:pPr>
              <w:pStyle w:val="TableContents"/>
              <w:bidi w:val="0"/>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2021</w:t>
            </w:r>
            <w:r>
              <w:rPr>
                <w:rFonts w:ascii="Times New Roman" w:hAnsi="Times New Roman"/>
                <w:sz w:val="20"/>
              </w:rPr>
              <w:t xml:space="preserve"> Equity Incentive Plan (</w:t>
            </w:r>
            <w:r>
              <w:rPr>
                <w:rStyle w:val="Emphasis"/>
                <w:rFonts w:ascii="Times New Roman" w:hAnsi="Times New Roman"/>
                <w:sz w:val="20"/>
              </w:rPr>
              <w:t>"2021</w:t>
            </w:r>
            <w:r>
              <w:rPr>
                <w:rFonts w:ascii="Times New Roman" w:hAnsi="Times New Roman"/>
                <w:sz w:val="20"/>
              </w:rPr>
              <w:t xml:space="preserve"> Plan")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left"/>
              <w:rPr/>
            </w:pPr>
            <w:r>
              <w:rPr>
                <w:rFonts w:ascii="Times New Roman" w:hAnsi="Times New Roman"/>
                <w:sz w:val="20"/>
              </w:rPr>
              <w:t xml:space="preserve">the </w:t>
            </w:r>
            <w:r>
              <w:rPr>
                <w:rStyle w:val="Emphasis"/>
                <w:rFonts w:ascii="Times New Roman" w:hAnsi="Times New Roman"/>
                <w:sz w:val="20"/>
              </w:rPr>
              <w:t>2023</w:t>
            </w:r>
            <w:r>
              <w:rPr>
                <w:rFonts w:ascii="Times New Roman" w:hAnsi="Times New Roman"/>
                <w:sz w:val="20"/>
              </w:rPr>
              <w:t xml:space="preserve"> Equity Inducement Plan ("Inducement Plan")</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Company has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w:t>
      </w:r>
      <w:r>
        <w:rPr>
          <w:rStyle w:val="Emphasis"/>
          <w:rFonts w:ascii="Times New Roman" w:hAnsi="Times New Roman"/>
          <w:sz w:val="20"/>
        </w:rPr>
        <w:t xml:space="preserve">may </w:t>
      </w:r>
      <w:r>
        <w:rPr>
          <w:rFonts w:ascii="Times New Roman" w:hAnsi="Times New Roman"/>
          <w:sz w:val="20"/>
        </w:rPr>
        <w:t>be granted from these plans.</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Stock Options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Options have been granted to the Company’s employees under the </w:t>
      </w:r>
      <w:r>
        <w:rPr>
          <w:rStyle w:val="Emphasis"/>
          <w:rFonts w:ascii="Times New Roman" w:hAnsi="Times New Roman"/>
          <w:sz w:val="20"/>
        </w:rPr>
        <w:t>2013</w:t>
      </w:r>
      <w:r>
        <w:rPr>
          <w:rFonts w:ascii="Times New Roman" w:hAnsi="Times New Roman"/>
          <w:sz w:val="20"/>
        </w:rPr>
        <w:t xml:space="preserve"> Plan and generally become exercisable as to 25% of the shares on the </w:t>
      </w:r>
      <w:r>
        <w:rPr>
          <w:rStyle w:val="Emphasis"/>
          <w:rFonts w:ascii="Times New Roman" w:hAnsi="Times New Roman"/>
          <w:sz w:val="20"/>
        </w:rPr>
        <w:t>first</w:t>
      </w:r>
      <w:r>
        <w:rPr>
          <w:rFonts w:ascii="Times New Roman" w:hAnsi="Times New Roman"/>
          <w:sz w:val="20"/>
        </w:rPr>
        <w:t xml:space="preserve"> anniversary date following the date of grant and 12.5% on a semi-annual basis thereafter. All options expire </w:t>
      </w:r>
      <w:r>
        <w:rPr>
          <w:rStyle w:val="Emphasis"/>
          <w:rFonts w:ascii="Times New Roman" w:hAnsi="Times New Roman"/>
          <w:sz w:val="20"/>
        </w:rPr>
        <w:t>ten</w:t>
      </w:r>
      <w:r>
        <w:rPr>
          <w:rFonts w:ascii="Times New Roman" w:hAnsi="Times New Roman"/>
          <w:sz w:val="20"/>
        </w:rPr>
        <w:t xml:space="preserve"> years after the date of grant.</w:t>
      </w:r>
    </w:p>
    <w:p>
      <w:pPr>
        <w:pStyle w:val="TextBody"/>
        <w:bidi w:val="0"/>
        <w:spacing w:before="0" w:after="0"/>
        <w:ind w:left="0" w:right="0" w:firstLine="720"/>
        <w:jc w:val="left"/>
        <w:rPr/>
      </w:pPr>
      <w:r>
        <w:rPr/>
        <w:t>​</w:t>
      </w:r>
    </w:p>
    <w:p>
      <w:pPr>
        <w:pStyle w:val="TextBody"/>
        <w:bidi w:val="0"/>
        <w:spacing w:before="0" w:after="0"/>
        <w:ind w:left="720" w:right="0" w:hanging="0"/>
        <w:jc w:val="left"/>
        <w:rPr>
          <w:rFonts w:ascii="Times New Roman" w:hAnsi="Times New Roman"/>
          <w:sz w:val="20"/>
        </w:rPr>
      </w:pPr>
      <w:r>
        <w:rPr>
          <w:rFonts w:ascii="Times New Roman" w:hAnsi="Times New Roman"/>
          <w:sz w:val="20"/>
        </w:rPr>
        <w:t>The following is a summary of option activity:</w:t>
      </w:r>
    </w:p>
    <w:p>
      <w:pPr>
        <w:pStyle w:val="TextBody"/>
        <w:bidi w:val="0"/>
        <w:spacing w:before="0" w:after="0"/>
        <w:ind w:left="720" w:right="0" w:hanging="0"/>
        <w:jc w:val="left"/>
        <w:rPr/>
      </w:pPr>
      <w:r>
        <w:rPr/>
        <w:t>​</w:t>
      </w:r>
    </w:p>
    <w:tbl>
      <w:tblPr>
        <w:tblW w:w="8827" w:type="dxa"/>
        <w:jc w:val="left"/>
        <w:tblInd w:w="0" w:type="dxa"/>
        <w:tblLayout w:type="fixed"/>
        <w:tblCellMar>
          <w:top w:w="0" w:type="dxa"/>
          <w:left w:w="0" w:type="dxa"/>
          <w:bottom w:w="0" w:type="dxa"/>
          <w:right w:w="0" w:type="dxa"/>
        </w:tblCellMar>
      </w:tblPr>
      <w:tblGrid>
        <w:gridCol w:w="2555"/>
        <w:gridCol w:w="60"/>
        <w:gridCol w:w="166"/>
        <w:gridCol w:w="723"/>
        <w:gridCol w:w="80"/>
        <w:gridCol w:w="60"/>
        <w:gridCol w:w="167"/>
        <w:gridCol w:w="648"/>
        <w:gridCol w:w="60"/>
        <w:gridCol w:w="60"/>
        <w:gridCol w:w="182"/>
        <w:gridCol w:w="797"/>
        <w:gridCol w:w="60"/>
        <w:gridCol w:w="60"/>
        <w:gridCol w:w="230"/>
        <w:gridCol w:w="704"/>
        <w:gridCol w:w="60"/>
        <w:gridCol w:w="60"/>
        <w:gridCol w:w="139"/>
        <w:gridCol w:w="886"/>
        <w:gridCol w:w="60"/>
        <w:gridCol w:w="60"/>
        <w:gridCol w:w="288"/>
        <w:gridCol w:w="602"/>
        <w:gridCol w:w="6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on Date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152"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 and Contractual Life)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2024</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6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602"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June 30, 2024</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60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June 30, 2024</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60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60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June 30, 2024</w:t>
      </w:r>
      <w:r>
        <w:rPr>
          <w:rFonts w:ascii="Times New Roman" w:hAnsi="Times New Roman"/>
          <w:sz w:val="20"/>
        </w:rPr>
        <w:t>, there was no unrecognized stock option expense.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 xml:space="preserve">Performance Based Incentive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w:t>
      </w:r>
      <w:r>
        <w:rPr>
          <w:rFonts w:ascii="Times New Roman" w:hAnsi="Times New Roman"/>
          <w:sz w:val="20"/>
        </w:rPr>
        <w:t xml:space="preserve">Starting in </w:t>
      </w:r>
      <w:r>
        <w:rPr>
          <w:rStyle w:val="Emphasis"/>
          <w:rFonts w:ascii="Times New Roman" w:hAnsi="Times New Roman"/>
          <w:sz w:val="20"/>
        </w:rPr>
        <w:t>2021,</w:t>
      </w:r>
      <w:r>
        <w:rPr>
          <w:rFonts w:ascii="Times New Roman" w:hAnsi="Times New Roman"/>
          <w:sz w:val="20"/>
        </w:rPr>
        <w:t xml:space="preserve"> certain senior executives were granted performance stock units ("PSUs") under our </w:t>
      </w:r>
      <w:r>
        <w:rPr>
          <w:rStyle w:val="Emphasis"/>
          <w:rFonts w:ascii="Times New Roman" w:hAnsi="Times New Roman"/>
          <w:sz w:val="20"/>
        </w:rPr>
        <w:t>2021</w:t>
      </w:r>
      <w:r>
        <w:rPr>
          <w:rFonts w:ascii="Times New Roman" w:hAnsi="Times New Roman"/>
          <w:sz w:val="20"/>
        </w:rPr>
        <w:t xml:space="preserve"> Equity Incentive Plan (</w:t>
      </w:r>
      <w:r>
        <w:rPr>
          <w:rStyle w:val="Emphasis"/>
          <w:rFonts w:ascii="Times New Roman" w:hAnsi="Times New Roman"/>
          <w:sz w:val="20"/>
        </w:rPr>
        <w:t>"2021</w:t>
      </w:r>
      <w:r>
        <w:rPr>
          <w:rFonts w:ascii="Times New Roman" w:hAnsi="Times New Roman"/>
          <w:sz w:val="20"/>
        </w:rPr>
        <w:t xml:space="preserve"> Plan"), which generally vest over a three-year period subject to achievement of certain pre-established performance metrics. The number of shares of common stock that would ultimately be issued to settle PSUs granted ranged from 0% to 200% of the target number of shares granted. We estimate the fair value of the PSUs on the date of grant using a Monte Carlo simulation model, with stock-based compensation expense recognized ratably over the applicable </w:t>
      </w:r>
      <w:r>
        <w:rPr>
          <w:rStyle w:val="Emphasis"/>
          <w:rFonts w:ascii="Times New Roman" w:hAnsi="Times New Roman"/>
          <w:sz w:val="20"/>
        </w:rPr>
        <w:t>three</w:t>
      </w:r>
      <w:r>
        <w:rPr>
          <w:rFonts w:ascii="Times New Roman" w:hAnsi="Times New Roman"/>
          <w:sz w:val="20"/>
        </w:rPr>
        <w:t>-year performance period</w:t>
      </w:r>
      <w:r>
        <w:rPr>
          <w:rFonts w:ascii="Times New Roman" w:hAnsi="Times New Roman"/>
          <w:sz w:val="20"/>
          <w:shd w:fill="FFFFFF" w:val="clear"/>
        </w:rPr>
        <w:t xml:space="preserve">. The Company recognized </w:t>
      </w:r>
      <w:r>
        <w:rPr>
          <w:rFonts w:ascii="Times New Roman" w:hAnsi="Times New Roman"/>
          <w:sz w:val="20"/>
        </w:rPr>
        <w:t xml:space="preserve">stock-based compensation expense for the PSUs for the </w:t>
      </w:r>
      <w:r>
        <w:rPr>
          <w:rStyle w:val="Emphasis"/>
          <w:rFonts w:ascii="Times New Roman" w:hAnsi="Times New Roman"/>
          <w:sz w:val="20"/>
        </w:rPr>
        <w:t>three</w:t>
      </w:r>
      <w:r>
        <w:rPr>
          <w:rFonts w:ascii="Times New Roman" w:hAnsi="Times New Roman"/>
          <w:sz w:val="20"/>
        </w:rPr>
        <w:t> months ended </w:t>
      </w:r>
      <w:r>
        <w:rPr>
          <w:rStyle w:val="Emphasis"/>
          <w:rFonts w:ascii="Times New Roman" w:hAnsi="Times New Roman"/>
          <w:sz w:val="20"/>
        </w:rPr>
        <w:t xml:space="preserve"> June 30, 2024 </w:t>
      </w:r>
      <w:r>
        <w:rPr>
          <w:rFonts w:ascii="Times New Roman" w:hAnsi="Times New Roman"/>
          <w:sz w:val="20"/>
        </w:rPr>
        <w:t xml:space="preserve">and </w:t>
      </w:r>
      <w:r>
        <w:rPr>
          <w:rStyle w:val="Emphasis"/>
          <w:rFonts w:ascii="Times New Roman" w:hAnsi="Times New Roman"/>
          <w:sz w:val="20"/>
        </w:rPr>
        <w:t>2023</w:t>
      </w:r>
      <w:r>
        <w:rPr>
          <w:rFonts w:ascii="Times New Roman" w:hAnsi="Times New Roman"/>
          <w:sz w:val="20"/>
        </w:rPr>
        <w:t xml:space="preserve"> of $3.8 million and $0.5 million, respectively. </w:t>
      </w:r>
      <w:r>
        <w:rPr>
          <w:rFonts w:ascii="Times New Roman" w:hAnsi="Times New Roman"/>
          <w:sz w:val="20"/>
          <w:shd w:fill="FFFFFF" w:val="clear"/>
        </w:rPr>
        <w:t xml:space="preserve">The Company recognized </w:t>
      </w:r>
      <w:r>
        <w:rPr>
          <w:rFonts w:ascii="Times New Roman" w:hAnsi="Times New Roman"/>
          <w:sz w:val="20"/>
        </w:rPr>
        <w:t xml:space="preserve">stock-based compensation expense for the </w:t>
      </w:r>
      <w:r>
        <w:rPr>
          <w:rStyle w:val="Emphasis"/>
          <w:rFonts w:ascii="Times New Roman" w:hAnsi="Times New Roman"/>
          <w:sz w:val="20"/>
        </w:rPr>
        <w:t>six</w:t>
      </w:r>
      <w:r>
        <w:rPr>
          <w:rFonts w:ascii="Times New Roman" w:hAnsi="Times New Roman"/>
          <w:sz w:val="20"/>
        </w:rPr>
        <w:t> months ended </w:t>
      </w:r>
      <w:r>
        <w:rPr>
          <w:rStyle w:val="Emphasis"/>
          <w:rFonts w:ascii="Times New Roman" w:hAnsi="Times New Roman"/>
          <w:sz w:val="20"/>
        </w:rPr>
        <w:t xml:space="preserve"> June 30, 2024 </w:t>
      </w:r>
      <w:r>
        <w:rPr>
          <w:rFonts w:ascii="Times New Roman" w:hAnsi="Times New Roman"/>
          <w:sz w:val="20"/>
        </w:rPr>
        <w:t xml:space="preserve">and </w:t>
      </w:r>
      <w:r>
        <w:rPr>
          <w:rStyle w:val="Emphasis"/>
          <w:rFonts w:ascii="Times New Roman" w:hAnsi="Times New Roman"/>
          <w:sz w:val="20"/>
        </w:rPr>
        <w:t>2023</w:t>
      </w:r>
      <w:r>
        <w:rPr>
          <w:rFonts w:ascii="Times New Roman" w:hAnsi="Times New Roman"/>
          <w:sz w:val="20"/>
        </w:rPr>
        <w:t xml:space="preserve"> of $4.8 million and $0.9 million, respectively.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On </w:t>
      </w:r>
      <w:r>
        <w:rPr>
          <w:rStyle w:val="Emphasis"/>
          <w:rFonts w:ascii="Times New Roman" w:hAnsi="Times New Roman"/>
          <w:sz w:val="20"/>
        </w:rPr>
        <w:t xml:space="preserve">June 12, 2024, </w:t>
      </w:r>
      <w:r>
        <w:rPr>
          <w:rFonts w:ascii="Times New Roman" w:hAnsi="Times New Roman"/>
          <w:sz w:val="20"/>
        </w:rPr>
        <w:t xml:space="preserve">the Compensation Committee certified the Company exceeded the maximum performance target level for each of the performance targets set for the PSUs granted in </w:t>
      </w:r>
      <w:r>
        <w:rPr>
          <w:rStyle w:val="Emphasis"/>
          <w:rFonts w:ascii="Times New Roman" w:hAnsi="Times New Roman"/>
          <w:sz w:val="20"/>
        </w:rPr>
        <w:t>June 2021 (</w:t>
      </w:r>
      <w:r>
        <w:rPr>
          <w:rFonts w:ascii="Times New Roman" w:hAnsi="Times New Roman"/>
          <w:sz w:val="20"/>
        </w:rPr>
        <w:t xml:space="preserve">the </w:t>
      </w:r>
      <w:r>
        <w:rPr>
          <w:rStyle w:val="Emphasis"/>
          <w:rFonts w:ascii="Times New Roman" w:hAnsi="Times New Roman"/>
          <w:sz w:val="20"/>
        </w:rPr>
        <w:t>"2021</w:t>
      </w:r>
      <w:r>
        <w:rPr>
          <w:rFonts w:ascii="Times New Roman" w:hAnsi="Times New Roman"/>
          <w:sz w:val="20"/>
        </w:rPr>
        <w:t xml:space="preserve"> PSUs"). Therefore, applicable employees were entitled to payment of the </w:t>
      </w:r>
      <w:r>
        <w:rPr>
          <w:rStyle w:val="Emphasis"/>
          <w:rFonts w:ascii="Times New Roman" w:hAnsi="Times New Roman"/>
          <w:sz w:val="20"/>
        </w:rPr>
        <w:t>2021</w:t>
      </w:r>
      <w:r>
        <w:rPr>
          <w:rFonts w:ascii="Times New Roman" w:hAnsi="Times New Roman"/>
          <w:sz w:val="20"/>
        </w:rPr>
        <w:t xml:space="preserve"> PSUs at 200% of the target shares granted under the </w:t>
      </w:r>
      <w:r>
        <w:rPr>
          <w:rStyle w:val="Emphasis"/>
          <w:rFonts w:ascii="Times New Roman" w:hAnsi="Times New Roman"/>
          <w:sz w:val="20"/>
        </w:rPr>
        <w:t>2021</w:t>
      </w:r>
      <w:r>
        <w:rPr>
          <w:rFonts w:ascii="Times New Roman" w:hAnsi="Times New Roman"/>
          <w:sz w:val="20"/>
        </w:rPr>
        <w:t xml:space="preserve"> Plan. On </w:t>
      </w:r>
      <w:r>
        <w:rPr>
          <w:rStyle w:val="Emphasis"/>
          <w:rFonts w:ascii="Times New Roman" w:hAnsi="Times New Roman"/>
          <w:sz w:val="20"/>
        </w:rPr>
        <w:t xml:space="preserve">June 6, 2024, </w:t>
      </w:r>
      <w:r>
        <w:rPr>
          <w:rFonts w:ascii="Times New Roman" w:hAnsi="Times New Roman"/>
          <w:sz w:val="20"/>
        </w:rPr>
        <w:t xml:space="preserve">at the annual meeting of stockholders, a proposal to increase the number of shares of common stock authorized for issuance under the </w:t>
      </w:r>
      <w:r>
        <w:rPr>
          <w:rStyle w:val="Emphasis"/>
          <w:rFonts w:ascii="Times New Roman" w:hAnsi="Times New Roman"/>
          <w:sz w:val="20"/>
        </w:rPr>
        <w:t>2021</w:t>
      </w:r>
      <w:r>
        <w:rPr>
          <w:rFonts w:ascii="Times New Roman" w:hAnsi="Times New Roman"/>
          <w:sz w:val="20"/>
        </w:rPr>
        <w:t xml:space="preserve"> Equity Incentive Plan by 2,000,000 shares was </w:t>
      </w:r>
      <w:r>
        <w:rPr>
          <w:rStyle w:val="Emphasis"/>
          <w:rFonts w:ascii="Times New Roman" w:hAnsi="Times New Roman"/>
          <w:sz w:val="20"/>
        </w:rPr>
        <w:t>not</w:t>
      </w:r>
      <w:r>
        <w:rPr>
          <w:rFonts w:ascii="Times New Roman" w:hAnsi="Times New Roman"/>
          <w:sz w:val="20"/>
        </w:rPr>
        <w:t xml:space="preserve"> approved, and as a result, the Company did </w:t>
      </w:r>
      <w:r>
        <w:rPr>
          <w:rStyle w:val="Emphasis"/>
          <w:rFonts w:ascii="Times New Roman" w:hAnsi="Times New Roman"/>
          <w:sz w:val="20"/>
        </w:rPr>
        <w:t>not</w:t>
      </w:r>
      <w:r>
        <w:rPr>
          <w:rFonts w:ascii="Times New Roman" w:hAnsi="Times New Roman"/>
          <w:sz w:val="20"/>
        </w:rPr>
        <w:t xml:space="preserve"> have enough shares of common stock available for issuance to satisfy the additional shares earned above 100% of target shares of the </w:t>
      </w:r>
      <w:r>
        <w:rPr>
          <w:rStyle w:val="Emphasis"/>
          <w:rFonts w:ascii="Times New Roman" w:hAnsi="Times New Roman"/>
          <w:sz w:val="20"/>
        </w:rPr>
        <w:t>2021</w:t>
      </w:r>
      <w:r>
        <w:rPr>
          <w:rFonts w:ascii="Times New Roman" w:hAnsi="Times New Roman"/>
          <w:sz w:val="20"/>
        </w:rPr>
        <w:t xml:space="preserve"> PSUs (the </w:t>
      </w:r>
      <w:r>
        <w:rPr>
          <w:rStyle w:val="Emphasis"/>
          <w:rFonts w:ascii="Times New Roman" w:hAnsi="Times New Roman"/>
          <w:sz w:val="20"/>
        </w:rPr>
        <w:t>"2021</w:t>
      </w:r>
      <w:r>
        <w:rPr>
          <w:rFonts w:ascii="Times New Roman" w:hAnsi="Times New Roman"/>
          <w:sz w:val="20"/>
        </w:rPr>
        <w:t xml:space="preserve"> Additional Shares". In lieu of shares of common stock, the Company settled the </w:t>
      </w:r>
      <w:r>
        <w:rPr>
          <w:rStyle w:val="Emphasis"/>
          <w:rFonts w:ascii="Times New Roman" w:hAnsi="Times New Roman"/>
          <w:sz w:val="20"/>
        </w:rPr>
        <w:t>2021</w:t>
      </w:r>
      <w:r>
        <w:rPr>
          <w:rFonts w:ascii="Times New Roman" w:hAnsi="Times New Roman"/>
          <w:sz w:val="20"/>
        </w:rPr>
        <w:t xml:space="preserve"> Additional Shares in cash, resulting in an additional $2.8 million of stock based compensation expense in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June 30, 2024. </w:t>
      </w:r>
    </w:p>
    <w:p>
      <w:pPr>
        <w:pStyle w:val="TextBody"/>
        <w:bidi w:val="0"/>
        <w:spacing w:before="0" w:after="0"/>
        <w:ind w:left="0" w:right="0" w:firstLine="720"/>
        <w:jc w:val="left"/>
        <w:rPr/>
      </w:pPr>
      <w:r>
        <w:rPr/>
        <w:t> </w:t>
      </w:r>
    </w:p>
    <w:p>
      <w:pPr>
        <w:pStyle w:val="TextBody"/>
        <w:bidi w:val="0"/>
        <w:spacing w:before="0" w:after="0"/>
        <w:ind w:left="160" w:right="0" w:firstLine="540"/>
        <w:jc w:val="left"/>
        <w:rPr/>
      </w:pPr>
      <w:r>
        <w:rPr>
          <w:rFonts w:ascii="Times New Roman" w:hAnsi="Times New Roman"/>
          <w:caps w:val="false"/>
          <w:smallCaps w:val="false"/>
          <w:sz w:val="20"/>
        </w:rPr>
        <w:t xml:space="preserve">The following is a summary of PSU activity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2024:</w:t>
      </w:r>
    </w:p>
    <w:p>
      <w:pPr>
        <w:pStyle w:val="TextBody"/>
        <w:bidi w:val="0"/>
        <w:spacing w:before="0" w:after="0"/>
        <w:ind w:left="160" w:right="0" w:firstLine="540"/>
        <w:jc w:val="left"/>
        <w:rPr>
          <w:caps w:val="false"/>
          <w:smallCaps w:val="false"/>
        </w:rPr>
      </w:pPr>
      <w:r>
        <w:rPr>
          <w:caps w:val="false"/>
          <w:smallCaps w:val="false"/>
        </w:rPr>
        <w:t> </w:t>
      </w:r>
    </w:p>
    <w:tbl>
      <w:tblPr>
        <w:tblW w:w="7197" w:type="dxa"/>
        <w:jc w:val="left"/>
        <w:tblInd w:w="0" w:type="dxa"/>
        <w:tblLayout w:type="fixed"/>
        <w:tblCellMar>
          <w:top w:w="0" w:type="dxa"/>
          <w:left w:w="0" w:type="dxa"/>
          <w:bottom w:w="0" w:type="dxa"/>
          <w:right w:w="0" w:type="dxa"/>
        </w:tblCellMar>
      </w:tblPr>
      <w:tblGrid>
        <w:gridCol w:w="2555"/>
        <w:gridCol w:w="60"/>
        <w:gridCol w:w="96"/>
        <w:gridCol w:w="793"/>
        <w:gridCol w:w="80"/>
        <w:gridCol w:w="60"/>
        <w:gridCol w:w="134"/>
        <w:gridCol w:w="1100"/>
        <w:gridCol w:w="60"/>
        <w:gridCol w:w="60"/>
        <w:gridCol w:w="231"/>
        <w:gridCol w:w="898"/>
        <w:gridCol w:w="60"/>
        <w:gridCol w:w="60"/>
        <w:gridCol w:w="155"/>
        <w:gridCol w:w="735"/>
        <w:gridCol w:w="6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52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2024</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ind w:left="0" w:right="0" w:hanging="0"/>
              <w:jc w:val="right"/>
              <w:rPr/>
            </w:pPr>
            <w:r>
              <w:rPr/>
              <w:t> </w:t>
            </w:r>
          </w:p>
        </w:tc>
        <w:tc>
          <w:tcPr>
            <w:tcW w:w="110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29,610</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ind w:left="0" w:right="0" w:hanging="0"/>
              <w:jc w:val="right"/>
              <w:rPr/>
            </w:pPr>
            <w:r>
              <w:rPr/>
              <w:t> </w:t>
            </w:r>
          </w:p>
        </w:tc>
        <w:tc>
          <w:tcPr>
            <w:tcW w:w="110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ind w:left="0" w:right="0" w:hanging="0"/>
              <w:jc w:val="right"/>
              <w:rPr/>
            </w:pPr>
            <w:r>
              <w:rPr/>
              <w:t> </w:t>
            </w:r>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2,890</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June 30, 2024</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11,998</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ind w:left="0" w:right="0" w:hanging="0"/>
              <w:jc w:val="right"/>
              <w:rPr/>
            </w:pPr>
            <w:r>
              <w:rPr/>
              <w:t> </w:t>
            </w:r>
          </w:p>
        </w:tc>
        <w:tc>
          <w:tcPr>
            <w:tcW w:w="110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June 30, 2024</w:t>
      </w:r>
      <w:r>
        <w:rPr>
          <w:rFonts w:ascii="Times New Roman" w:hAnsi="Times New Roman"/>
          <w:sz w:val="20"/>
        </w:rPr>
        <w:t>, there was $7.7 million of unrecognized stock-based compensation expense related to outstanding PSUs, which expense is expected to be recognized over 2.2 y</w:t>
      </w:r>
      <w:r>
        <w:rPr>
          <w:rFonts w:ascii="Times New Roman" w:hAnsi="Times New Roman"/>
          <w:sz w:val="20"/>
          <w:shd w:fill="FFFFFF" w:val="clear"/>
        </w:rPr>
        <w:t>ears</w:t>
      </w:r>
      <w:r>
        <w:rPr>
          <w:rFonts w:ascii="Times New Roman" w:hAnsi="Times New Roman"/>
          <w:sz w:val="20"/>
        </w:rPr>
        <w:t>.</w:t>
      </w:r>
    </w:p>
    <w:p>
      <w:pPr>
        <w:pStyle w:val="TextBody"/>
        <w:bidi w:val="0"/>
        <w:spacing w:before="0" w:after="0"/>
        <w:ind w:left="0" w:right="0" w:firstLine="72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is a summary of RSU activity:</w:t>
      </w:r>
    </w:p>
    <w:p>
      <w:pPr>
        <w:pStyle w:val="TextBody"/>
        <w:bidi w:val="0"/>
        <w:spacing w:before="0" w:after="0"/>
        <w:ind w:left="160" w:right="0" w:firstLine="540"/>
        <w:jc w:val="left"/>
        <w:rPr>
          <w:caps w:val="false"/>
          <w:smallCaps w:val="false"/>
        </w:rPr>
      </w:pPr>
      <w:r>
        <w:rPr>
          <w:caps w:val="false"/>
          <w:smallCaps w:val="false"/>
        </w:rPr>
        <w:t> </w:t>
      </w:r>
    </w:p>
    <w:tbl>
      <w:tblPr>
        <w:tblW w:w="7197" w:type="dxa"/>
        <w:jc w:val="left"/>
        <w:tblInd w:w="0" w:type="dxa"/>
        <w:tblLayout w:type="fixed"/>
        <w:tblCellMar>
          <w:top w:w="0" w:type="dxa"/>
          <w:left w:w="0" w:type="dxa"/>
          <w:bottom w:w="0" w:type="dxa"/>
          <w:right w:w="0" w:type="dxa"/>
        </w:tblCellMar>
      </w:tblPr>
      <w:tblGrid>
        <w:gridCol w:w="2555"/>
        <w:gridCol w:w="60"/>
        <w:gridCol w:w="96"/>
        <w:gridCol w:w="793"/>
        <w:gridCol w:w="80"/>
        <w:gridCol w:w="60"/>
        <w:gridCol w:w="134"/>
        <w:gridCol w:w="1100"/>
        <w:gridCol w:w="60"/>
        <w:gridCol w:w="60"/>
        <w:gridCol w:w="231"/>
        <w:gridCol w:w="898"/>
        <w:gridCol w:w="60"/>
        <w:gridCol w:w="60"/>
        <w:gridCol w:w="155"/>
        <w:gridCol w:w="735"/>
        <w:gridCol w:w="6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52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2024</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55,507</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0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7,243</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9,694</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June 30, 2024</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23,541</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0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23,541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June 30, 2024</w:t>
      </w:r>
      <w:r>
        <w:rPr>
          <w:rFonts w:ascii="Times New Roman" w:hAnsi="Times New Roman"/>
          <w:sz w:val="20"/>
        </w:rPr>
        <w:t>, there was</w:t>
      </w:r>
      <w:r>
        <w:rPr>
          <w:rFonts w:ascii="Times New Roman" w:hAnsi="Times New Roman"/>
          <w:sz w:val="20"/>
          <w:shd w:fill="FFFFFF" w:val="clear"/>
        </w:rPr>
        <w:t xml:space="preserve"> $15.1 million</w:t>
      </w:r>
      <w:r>
        <w:rPr>
          <w:rFonts w:ascii="Times New Roman" w:hAnsi="Times New Roman"/>
          <w:sz w:val="20"/>
        </w:rPr>
        <w:t xml:space="preserve"> of unrecognized compensation expense related to these RSUs. This expense is expected to be recognized over </w:t>
      </w:r>
      <w:r>
        <w:rPr>
          <w:rFonts w:ascii="Times New Roman" w:hAnsi="Times New Roman"/>
          <w:sz w:val="20"/>
          <w:shd w:fill="FFFFFF" w:val="clear"/>
        </w:rPr>
        <w:t>2.6 years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Share-Based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Employee share-based compensation expenses recognized for the periods indicated (in thousands):</w:t>
      </w:r>
    </w:p>
    <w:p>
      <w:pPr>
        <w:pStyle w:val="TextBody"/>
        <w:bidi w:val="0"/>
        <w:spacing w:before="0" w:after="0"/>
        <w:ind w:left="0" w:right="0" w:hanging="0"/>
        <w:jc w:val="left"/>
        <w:rPr/>
      </w:pPr>
      <w:r>
        <w:rPr/>
        <w:t>​</w:t>
      </w:r>
    </w:p>
    <w:tbl>
      <w:tblPr>
        <w:tblW w:w="7044" w:type="dxa"/>
        <w:jc w:val="left"/>
        <w:tblInd w:w="0" w:type="dxa"/>
        <w:tblLayout w:type="fixed"/>
        <w:tblCellMar>
          <w:top w:w="0" w:type="dxa"/>
          <w:left w:w="0" w:type="dxa"/>
          <w:bottom w:w="0" w:type="dxa"/>
          <w:right w:w="0" w:type="dxa"/>
        </w:tblCellMar>
      </w:tblPr>
      <w:tblGrid>
        <w:gridCol w:w="3650"/>
        <w:gridCol w:w="60"/>
        <w:gridCol w:w="157"/>
        <w:gridCol w:w="609"/>
        <w:gridCol w:w="75"/>
        <w:gridCol w:w="75"/>
        <w:gridCol w:w="157"/>
        <w:gridCol w:w="609"/>
        <w:gridCol w:w="60"/>
        <w:gridCol w:w="60"/>
        <w:gridCol w:w="137"/>
        <w:gridCol w:w="533"/>
        <w:gridCol w:w="66"/>
        <w:gridCol w:w="66"/>
        <w:gridCol w:w="137"/>
        <w:gridCol w:w="533"/>
        <w:gridCol w:w="60"/>
      </w:tblGrid>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 by expense type</w:t>
            </w:r>
          </w:p>
        </w:tc>
        <w:tc>
          <w:tcPr>
            <w:tcW w:w="60" w:type="dxa"/>
            <w:tcBorders/>
            <w:shd w:fill="CCEEFF" w:val="clear"/>
            <w:vAlign w:val="center"/>
          </w:tcPr>
          <w:p>
            <w:pPr>
              <w:pStyle w:val="TableContents"/>
              <w:bidi w:val="0"/>
              <w:spacing w:before="0" w:after="283"/>
              <w:ind w:left="0" w:right="0" w:hanging="0"/>
              <w:jc w:val="left"/>
              <w:rPr/>
            </w:pPr>
            <w:r>
              <w:rPr/>
              <w:t> </w:t>
            </w:r>
          </w:p>
        </w:tc>
        <w:tc>
          <w:tcPr>
            <w:tcW w:w="76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6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5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5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5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5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4,902</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3,819</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shd w:fill="FFFFFF" w:val="clear"/>
        </w:rPr>
        <w:t xml:space="preserve">Note </w:t>
      </w:r>
      <w:r>
        <w:rPr>
          <w:rStyle w:val="Emphasis"/>
          <w:rFonts w:ascii="Times New Roman;Times;serif" w:hAnsi="Times New Roman;Times;serif"/>
          <w:b/>
          <w:sz w:val="20"/>
          <w:shd w:fill="FFFFFF" w:val="clear"/>
        </w:rPr>
        <w:t>16.</w:t>
      </w:r>
      <w:r>
        <w:rPr>
          <w:rFonts w:ascii="Times New Roman;Times;serif" w:hAnsi="Times New Roman;Times;serif"/>
          <w:b/>
          <w:sz w:val="20"/>
          <w:shd w:fill="FFFFFF" w:val="clear"/>
        </w:rPr>
        <w:t xml:space="preserve">  Income Taxes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16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the effective tax rate varied from the federal statutory rate of 21% primarily due to the change of the valuation allowance on federal, state, Taiwan, and China deferred tax assets ("DTA").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pPr>
      <w:r>
        <w:rPr>
          <w:rFonts w:ascii="Times New Roman" w:hAnsi="Times New Roman"/>
          <w:caps w:val="false"/>
          <w:smallCaps w:val="false"/>
          <w:sz w:val="20"/>
        </w:rPr>
        <w:t xml:space="preserve">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w:t>
      </w:r>
      <w:r>
        <w:rPr>
          <w:rStyle w:val="Emphasis"/>
          <w:rFonts w:ascii="Times New Roman" w:hAnsi="Times New Roman"/>
          <w:caps w:val="false"/>
          <w:smallCaps w:val="false"/>
          <w:sz w:val="20"/>
        </w:rPr>
        <w:t xml:space="preserve"> June 30, 2024</w:t>
      </w:r>
      <w:r>
        <w:rPr>
          <w:rFonts w:ascii="Times New Roman" w:hAnsi="Times New Roman"/>
          <w:caps w:val="false"/>
          <w:smallCaps w:val="false"/>
          <w:sz w:val="20"/>
        </w:rPr>
        <w:t xml:space="preserve"> was appropriate.</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17.</w:t>
      </w:r>
      <w:r>
        <w:rPr>
          <w:rFonts w:ascii="Times New Roman" w:hAnsi="Times New Roman"/>
          <w:b/>
          <w:sz w:val="20"/>
        </w:rPr>
        <w:t>  Geographic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tables set forth the Company’s revenue and asset information by geographic region. Revenue is classified based on the location of where the product is manufactured. Long-lived assets in the tables below comprise property, plant, equipment,</w:t>
      </w:r>
      <w:r>
        <w:rPr>
          <w:rFonts w:ascii="Times New Roman" w:hAnsi="Times New Roman"/>
          <w:color w:val="000000"/>
          <w:sz w:val="20"/>
        </w:rPr>
        <w:t>land use rights, right of use assets</w:t>
      </w:r>
      <w:r>
        <w:rPr>
          <w:rFonts w:ascii="Times New Roman" w:hAnsi="Times New Roman"/>
          <w:sz w:val="20"/>
        </w:rPr>
        <w:t xml:space="preserve"> and intangible assets (in thousands):</w:t>
      </w:r>
    </w:p>
    <w:p>
      <w:pPr>
        <w:pStyle w:val="TextBody"/>
        <w:bidi w:val="0"/>
        <w:spacing w:before="0" w:after="0"/>
        <w:ind w:left="0" w:right="0" w:hanging="0"/>
        <w:jc w:val="left"/>
        <w:rPr/>
      </w:pPr>
      <w:r>
        <w:rPr/>
        <w:t>​</w:t>
      </w:r>
    </w:p>
    <w:tbl>
      <w:tblPr>
        <w:tblW w:w="5994" w:type="dxa"/>
        <w:jc w:val="left"/>
        <w:tblInd w:w="0" w:type="dxa"/>
        <w:tblLayout w:type="fixed"/>
        <w:tblCellMar>
          <w:top w:w="0" w:type="dxa"/>
          <w:left w:w="0" w:type="dxa"/>
          <w:bottom w:w="0" w:type="dxa"/>
          <w:right w:w="0" w:type="dxa"/>
        </w:tblCellMar>
      </w:tblPr>
      <w:tblGrid>
        <w:gridCol w:w="1100"/>
        <w:gridCol w:w="60"/>
        <w:gridCol w:w="196"/>
        <w:gridCol w:w="926"/>
        <w:gridCol w:w="94"/>
        <w:gridCol w:w="94"/>
        <w:gridCol w:w="196"/>
        <w:gridCol w:w="926"/>
        <w:gridCol w:w="60"/>
        <w:gridCol w:w="60"/>
        <w:gridCol w:w="179"/>
        <w:gridCol w:w="846"/>
        <w:gridCol w:w="86"/>
        <w:gridCol w:w="86"/>
        <w:gridCol w:w="179"/>
        <w:gridCol w:w="846"/>
        <w:gridCol w:w="60"/>
      </w:tblGrid>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12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12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2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02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1,967</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4,677</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9,141</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53,562</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76,657</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12,444</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25,704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8,847</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43,270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83,943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94,645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709" w:type="dxa"/>
        <w:jc w:val="left"/>
        <w:tblInd w:w="0" w:type="dxa"/>
        <w:tblLayout w:type="fixed"/>
        <w:tblCellMar>
          <w:top w:w="0" w:type="dxa"/>
          <w:left w:w="0" w:type="dxa"/>
          <w:bottom w:w="0" w:type="dxa"/>
          <w:right w:w="0" w:type="dxa"/>
        </w:tblCellMar>
      </w:tblPr>
      <w:tblGrid>
        <w:gridCol w:w="1505"/>
        <w:gridCol w:w="60"/>
        <w:gridCol w:w="125"/>
        <w:gridCol w:w="695"/>
        <w:gridCol w:w="60"/>
        <w:gridCol w:w="60"/>
        <w:gridCol w:w="173"/>
        <w:gridCol w:w="971"/>
        <w:gridCol w:w="60"/>
      </w:tblGrid>
      <w:tr>
        <w:trPr/>
        <w:tc>
          <w:tcPr>
            <w:tcW w:w="15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Long-lived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75,283</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47,668</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91,050</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214,001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18.</w:t>
      </w:r>
      <w:r>
        <w:rPr>
          <w:rFonts w:ascii="Times New Roman;Times;serif" w:hAnsi="Times New Roman;Times;serif"/>
          <w:b/>
          <w:sz w:val="20"/>
        </w:rPr>
        <w:t>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Overview</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be subject to legal proceedings and litigation arising in the ordinary course of business, including, but </w:t>
      </w:r>
      <w:r>
        <w:rPr>
          <w:rStyle w:val="Emphasis"/>
          <w:rFonts w:ascii="Times New Roman;Times;serif" w:hAnsi="Times New Roman;Times;serif"/>
          <w:sz w:val="20"/>
        </w:rPr>
        <w:t>not</w:t>
      </w:r>
      <w:r>
        <w:rPr>
          <w:rFonts w:ascii="Times New Roman;Times;serif" w:hAnsi="Times New Roman;Times;serif"/>
          <w:sz w:val="20"/>
        </w:rPr>
        <w:t xml:space="preserve"> limited to, inquiries, investigations, audits and other regulatory proceedings, such as described below. The Company records a loss provision when it believes it is both probable that a liability has been incurred and the amount can be reasonably estimated.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r>
        <w:rPr>
          <w:rFonts w:ascii="Times New Roman" w:hAnsi="Times New Roman"/>
          <w:caps w:val="false"/>
          <w:smallCaps w:val="false"/>
          <w:sz w:val="20"/>
        </w:rPr>
        <w:t>Unless otherwise disclosed, the Company is unable to estimate the possible loss or range of loss for the legal proceeding described below.</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Arbitration filed by Yuhan Optoelectronic Technology (Shanghai)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12, 2023, </w:t>
      </w:r>
      <w:r>
        <w:rPr>
          <w:rFonts w:ascii="Times New Roman" w:hAnsi="Times New Roman"/>
          <w:caps w:val="false"/>
          <w:smallCaps w:val="false"/>
          <w:sz w:val="20"/>
        </w:rPr>
        <w:t xml:space="preserve">the Company delivered notice of termination with respect to that certain Agreement for the Sale and Purchase of a New Company to be Established in Hong Kong Special Administrative Region of the People’s Republic of China (the “Purchase Agreement”), dated </w:t>
      </w:r>
      <w:r>
        <w:rPr>
          <w:rStyle w:val="Emphasis"/>
          <w:rFonts w:ascii="Times New Roman" w:hAnsi="Times New Roman"/>
          <w:caps w:val="false"/>
          <w:smallCaps w:val="false"/>
          <w:sz w:val="20"/>
        </w:rPr>
        <w:t xml:space="preserve">September 15, 2022, </w:t>
      </w:r>
      <w:r>
        <w:rPr>
          <w:rFonts w:ascii="Times New Roman" w:hAnsi="Times New Roman"/>
          <w:caps w:val="false"/>
          <w:smallCaps w:val="false"/>
          <w:sz w:val="20"/>
        </w:rPr>
        <w:t xml:space="preserve">with Prime World International Holdings Ltd. (the “Seller”) and Yuhan Optoelectronic Technology (Shanghai) Co., Ltd. (the “Purchaser”), pursuant to which the Seller would divest its manufacturing facilities located in the People's Republic of China and certain assets related to its transceiver business and multichannel optical sub-assembly products for the internet data center, FTTH and telecom markets. The termination, in accordance with the terms of the Purchase Agreement, was a result of the Purchaser's failure to satisfy certain of its material obligations under the Purchase Agreement. In terminating the Purchase Agreement, we also asserted the right to recover a break-up fee from the Purchaser. On </w:t>
      </w:r>
      <w:r>
        <w:rPr>
          <w:rStyle w:val="Emphasis"/>
          <w:rFonts w:ascii="Times New Roman" w:hAnsi="Times New Roman"/>
          <w:caps w:val="false"/>
          <w:smallCaps w:val="false"/>
          <w:sz w:val="20"/>
        </w:rPr>
        <w:t xml:space="preserve">December 22, 2023, </w:t>
      </w:r>
      <w:r>
        <w:rPr>
          <w:rFonts w:ascii="Times New Roman" w:hAnsi="Times New Roman"/>
          <w:caps w:val="false"/>
          <w:smallCaps w:val="false"/>
          <w:sz w:val="20"/>
        </w:rPr>
        <w:t xml:space="preserve">the Purchaser filed for arbitration in Hong Kong with the Hong Kong International Arbitration Centre (“HKIAC”) challenging the validity of our termination notice and seeking specific performance with respect to the transactions contemplated in the Purchase Agreement, which in any case if specific performance is granted by HKIAC, the transaction contemplated by the Purchase Agreement would still have to be approved by the Committee on Foreign Investment in the United States prior to its consummation. On </w:t>
      </w:r>
      <w:r>
        <w:rPr>
          <w:rStyle w:val="Emphasis"/>
          <w:rFonts w:ascii="Times New Roman" w:hAnsi="Times New Roman"/>
          <w:caps w:val="false"/>
          <w:smallCaps w:val="false"/>
          <w:sz w:val="20"/>
        </w:rPr>
        <w:t xml:space="preserve">January 22, 2024, </w:t>
      </w:r>
      <w:r>
        <w:rPr>
          <w:rFonts w:ascii="Times New Roman" w:hAnsi="Times New Roman"/>
          <w:caps w:val="false"/>
          <w:smallCaps w:val="false"/>
          <w:sz w:val="20"/>
        </w:rPr>
        <w:t xml:space="preserve">the Company filed its response, generally denying the Purchaser’s allegations and asserting counterclaims for recovery of a break-up fee. The Company intends to vigorously defend this matter.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determine the outcome of this dispute or the likelihood or amount of the Company’s loss or recovery, if any, arising from this matter. The HKIAC Tribunal issued a procedural order on </w:t>
      </w:r>
      <w:r>
        <w:rPr>
          <w:rStyle w:val="Emphasis"/>
          <w:rFonts w:ascii="Times New Roman" w:hAnsi="Times New Roman"/>
          <w:caps w:val="false"/>
          <w:smallCaps w:val="false"/>
          <w:sz w:val="20"/>
        </w:rPr>
        <w:t xml:space="preserve">April 17, 2024 </w:t>
      </w:r>
      <w:r>
        <w:rPr>
          <w:rFonts w:ascii="Times New Roman" w:hAnsi="Times New Roman"/>
          <w:caps w:val="false"/>
          <w:smallCaps w:val="false"/>
          <w:sz w:val="20"/>
        </w:rPr>
        <w:t xml:space="preserve">setting the evidentiary hearing to be held on </w:t>
      </w:r>
      <w:r>
        <w:rPr>
          <w:rStyle w:val="Emphasis"/>
          <w:rFonts w:ascii="Times New Roman" w:hAnsi="Times New Roman"/>
          <w:caps w:val="false"/>
          <w:smallCaps w:val="false"/>
          <w:sz w:val="20"/>
        </w:rPr>
        <w:t>September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On </w:t>
      </w:r>
      <w:r>
        <w:rPr>
          <w:rStyle w:val="Emphasis"/>
          <w:rFonts w:ascii="Times New Roman" w:hAnsi="Times New Roman"/>
          <w:caps w:val="false"/>
          <w:smallCaps w:val="false"/>
          <w:sz w:val="20"/>
          <w:shd w:fill="FFFFFF" w:val="clear"/>
        </w:rPr>
        <w:t xml:space="preserve"> August 9, 2021, </w:t>
      </w:r>
      <w:r>
        <w:rPr>
          <w:rFonts w:ascii="Times New Roman" w:hAnsi="Times New Roman"/>
          <w:caps w:val="false"/>
          <w:smallCaps w:val="false"/>
          <w:sz w:val="20"/>
          <w:shd w:fill="FFFFFF" w:val="clear"/>
        </w:rPr>
        <w:t>the Company received a Taxes Notification of Audit Result ("Notice") from the Texas Comptroller’s Office (the "Comptroller"), for fiscal years between </w:t>
      </w:r>
      <w:r>
        <w:rPr>
          <w:rStyle w:val="Emphasis"/>
          <w:rFonts w:ascii="Times New Roman" w:hAnsi="Times New Roman"/>
          <w:caps w:val="false"/>
          <w:smallCaps w:val="false"/>
          <w:sz w:val="20"/>
          <w:shd w:fill="FFFFFF" w:val="clear"/>
        </w:rPr>
        <w:t>2016</w:t>
      </w:r>
      <w:r>
        <w:rPr>
          <w:rFonts w:ascii="Times New Roman" w:hAnsi="Times New Roman"/>
          <w:caps w:val="false"/>
          <w:smallCaps w:val="false"/>
          <w:sz w:val="20"/>
          <w:shd w:fill="FFFFFF" w:val="clear"/>
        </w:rPr>
        <w:t> and </w:t>
      </w:r>
      <w:r>
        <w:rPr>
          <w:rStyle w:val="Emphasis"/>
          <w:rFonts w:ascii="Times New Roman" w:hAnsi="Times New Roman"/>
          <w:caps w:val="false"/>
          <w:smallCaps w:val="false"/>
          <w:sz w:val="20"/>
          <w:shd w:fill="FFFFFF" w:val="clear"/>
        </w:rPr>
        <w:t>2019,</w:t>
      </w:r>
      <w:r>
        <w:rPr>
          <w:rFonts w:ascii="Times New Roman" w:hAnsi="Times New Roman"/>
          <w:caps w:val="false"/>
          <w:smallCaps w:val="false"/>
          <w:sz w:val="20"/>
          <w:shd w:fill="FFFFFF" w:val="clear"/>
        </w:rPr>
        <w:t> informing the Company that the Comptroller believes the Company did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qualify for certain sales and use tax exemptions on various Research and Development purchases and accordingly the Company is liable for Sale and Use Tax in the amount of approximately $1.0 million including interest charges. The Company paid $0.4 million for the tax notice in </w:t>
      </w:r>
      <w:r>
        <w:rPr>
          <w:rStyle w:val="Emphasis"/>
          <w:rFonts w:ascii="Times New Roman" w:hAnsi="Times New Roman"/>
          <w:caps w:val="false"/>
          <w:smallCaps w:val="false"/>
          <w:sz w:val="20"/>
          <w:shd w:fill="FFFFFF" w:val="clear"/>
        </w:rPr>
        <w:t xml:space="preserve">May 2021, </w:t>
      </w:r>
      <w:r>
        <w:rPr>
          <w:rFonts w:ascii="Times New Roman" w:hAnsi="Times New Roman"/>
          <w:caps w:val="false"/>
          <w:smallCaps w:val="false"/>
          <w:sz w:val="20"/>
          <w:shd w:fill="FFFFFF" w:val="clear"/>
        </w:rPr>
        <w:t>but challenged the remaining tax assessments and vigorously defended its position. </w:t>
      </w:r>
      <w:r>
        <w:rPr>
          <w:rFonts w:ascii="Times New Roman" w:hAnsi="Times New Roman"/>
          <w:caps w:val="false"/>
          <w:smallCaps w:val="false"/>
          <w:sz w:val="20"/>
        </w:rPr>
        <w:t xml:space="preserve">The Comptroller’s office exhausted its redetermination period and therefore moved AOI’s case to the hearing process.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hearing date has yet been scheduled, and as a result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determine the outcome of this sales tax dispute or the likelihood or amount of the Company’s loss, if any, arising from this matter.</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19.</w:t>
      </w:r>
      <w:r>
        <w:rPr>
          <w:rFonts w:ascii="Times New Roman;Times;serif" w:hAnsi="Times New Roman;Times;serif"/>
          <w:b/>
          <w:sz w:val="20"/>
        </w:rPr>
        <w:t>  Subsequent Events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pPr>
      <w:r>
        <w:rPr>
          <w:rFonts w:ascii="Times New Roman;Times;serif" w:hAnsi="Times New Roman;Times;serif"/>
          <w:sz w:val="20"/>
        </w:rPr>
        <w:t xml:space="preserve">On Monday, </w:t>
      </w:r>
      <w:r>
        <w:rPr>
          <w:rStyle w:val="Emphasis"/>
          <w:rFonts w:ascii="Times New Roman;Times;serif" w:hAnsi="Times New Roman;Times;serif"/>
          <w:sz w:val="20"/>
        </w:rPr>
        <w:t xml:space="preserve">July 8, 2024, </w:t>
      </w:r>
      <w:r>
        <w:rPr>
          <w:rFonts w:ascii="Times New Roman;Times;serif" w:hAnsi="Times New Roman;Times;serif"/>
          <w:sz w:val="20"/>
        </w:rPr>
        <w:t>Hurricane Beryl came ashore as a category-</w:t>
      </w:r>
      <w:r>
        <w:rPr>
          <w:rStyle w:val="Emphasis"/>
          <w:rFonts w:ascii="Times New Roman;Times;serif" w:hAnsi="Times New Roman;Times;serif"/>
          <w:sz w:val="20"/>
        </w:rPr>
        <w:t>1</w:t>
      </w:r>
      <w:r>
        <w:rPr>
          <w:rFonts w:ascii="Times New Roman;Times;serif" w:hAnsi="Times New Roman;Times;serif"/>
          <w:sz w:val="20"/>
        </w:rPr>
        <w:t xml:space="preserve"> hurricane in the area east of Matagorda, Texas, approximately </w:t>
      </w:r>
      <w:r>
        <w:rPr>
          <w:rStyle w:val="Emphasis"/>
          <w:rFonts w:ascii="Times New Roman;Times;serif" w:hAnsi="Times New Roman;Times;serif"/>
          <w:sz w:val="20"/>
        </w:rPr>
        <w:t>70</w:t>
      </w:r>
      <w:r>
        <w:rPr>
          <w:rFonts w:ascii="Times New Roman;Times;serif" w:hAnsi="Times New Roman;Times;serif"/>
          <w:sz w:val="20"/>
        </w:rPr>
        <w:t xml:space="preserve"> miles southwest of the Company's headquarters facility in Sugar Land, TX. The Company's headquarters facility and its manufacturing and R&amp;D facilities in Sugar Land suffered power outages from </w:t>
      </w:r>
      <w:r>
        <w:rPr>
          <w:rStyle w:val="Emphasis"/>
          <w:rFonts w:ascii="Times New Roman;Times;serif" w:hAnsi="Times New Roman;Times;serif"/>
          <w:sz w:val="20"/>
        </w:rPr>
        <w:t xml:space="preserve">July 8, 2024 </w:t>
      </w:r>
      <w:r>
        <w:rPr>
          <w:rFonts w:ascii="Times New Roman;Times;serif" w:hAnsi="Times New Roman;Times;serif"/>
          <w:sz w:val="20"/>
        </w:rPr>
        <w:t xml:space="preserve">to </w:t>
      </w:r>
      <w:r>
        <w:rPr>
          <w:rStyle w:val="Emphasis"/>
          <w:rFonts w:ascii="Times New Roman;Times;serif" w:hAnsi="Times New Roman;Times;serif"/>
          <w:sz w:val="20"/>
        </w:rPr>
        <w:t xml:space="preserve">July 11, 2024. </w:t>
      </w:r>
      <w:r>
        <w:rPr>
          <w:rFonts w:ascii="Times New Roman;Times;serif" w:hAnsi="Times New Roman;Times;serif"/>
          <w:sz w:val="20"/>
        </w:rPr>
        <w:t xml:space="preserve">The Company's backup power generators worked as designed, but were sufficient to allow only limited business activity. The Company's facilities are believed to have suffered </w:t>
      </w:r>
      <w:r>
        <w:rPr>
          <w:rStyle w:val="Emphasis"/>
          <w:rFonts w:ascii="Times New Roman;Times;serif" w:hAnsi="Times New Roman;Times;serif"/>
          <w:sz w:val="20"/>
        </w:rPr>
        <w:t>no</w:t>
      </w:r>
      <w:r>
        <w:rPr>
          <w:rFonts w:ascii="Times New Roman;Times;serif" w:hAnsi="Times New Roman;Times;serif"/>
          <w:sz w:val="20"/>
        </w:rPr>
        <w:t xml:space="preserve"> material damage as a result of the hurricane, and the Company is working to recover any production which was delayed by the power loss. Currently the Company expects </w:t>
      </w:r>
      <w:r>
        <w:rPr>
          <w:rStyle w:val="Emphasis"/>
          <w:rFonts w:ascii="Times New Roman;Times;serif" w:hAnsi="Times New Roman;Times;serif"/>
          <w:sz w:val="20"/>
        </w:rPr>
        <w:t>no</w:t>
      </w:r>
      <w:r>
        <w:rPr>
          <w:rFonts w:ascii="Times New Roman;Times;serif" w:hAnsi="Times New Roman;Times;serif"/>
          <w:sz w:val="20"/>
        </w:rPr>
        <w:t xml:space="preserve"> material financial impact due to the storm.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1" w:name="item2"/>
      <w:bookmarkEnd w:id="11"/>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accompanying notes appearing elsewhere in this Quarterly Report on Form 10-Q for the period ended June 30, 2024 and the audited consolidated financial statements and notes thereto and management’s discussion and analysis of financial condition and results of operations for the fiscal year ended December 31, 2023 included in our Annual Report. References to "Applied Optoelectronics," “we," "our" and "us" are to Applied Optoelectronics, Inc. and its subsidiaries unless otherwise specified or the context otherwise requires.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2023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leading, vertically integrated provider of fiber-optic networking products. We target four networking end-markets: internet data centers, cable television, ("CATV"), telecommunications, ("telecom"), and fiber-to-the-home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MSOs to increase the return-path bandwidth available to offer to their customers. In the FTTH market, we benefit from continuing PON deployments and system updates among telecom service providers. In the telecom market, we benefit from deployment of new high-speed fiber-optic networks by telecom network operators, including 5G networks.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CATV transmitters (at the headend), CATV outdoor equipment (at the node) and internet data center market. Each manufacturing facility conducts testing on the components, modules or subsystems it manufactures and each facility is certified to </w:t>
      </w:r>
      <w:r>
        <w:rPr>
          <w:rFonts w:ascii="Times New Roman;Times;serif" w:hAnsi="Times New Roman;Times;serif"/>
          <w:sz w:val="20"/>
          <w:shd w:fill="FFFFFF" w:val="clear"/>
        </w:rPr>
        <w:t>ISO 9001:2015. Our facilities in Ningbo, China, Taipei, Taiwan, and Sugar Land, Texas are all certified to ISO 14001:2015.</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principal executive offices are located at 13139 Jess Pirtle Blvd., Sugar Land, TX 77478, and our telephone number is (281) 295-1800.</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Termination of the Divestiture Agreement with Yuhan Optoelectronic Technology (Shanghai)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15, 2022, the Company and Prime World International Holdings Ltd. (the "Seller") entered into the Purchase Agreement with Yuhan Optoelectronic Technology (Shanghai) Co., Ltd. (the "Purchaser") for the sale of the manufacturing facilities in the People's Republic of China and certain assets related to its transceiver business and multi-channel optical sub-assembly products. On September 12, 2023, we delivered a notice of termination to the Purchaser to terminate the Purchase Agreement as a result of the Purchaser's failure to satisfy certain of its material obligations under the Purchase Agreement. In doing so, we also asserted the right to recover a break-up fee from the Purchaser. On December 22, 2023, the Purchaser filed for arbitration in Hong Kong with the Hong Kong International Arbitration Centre disputing the validity of our termination notice and seeking specific performance with respect to the transactions contemplated by the Purchase Agreement, which would in any case remain subject to regulatory approvals. We filed our response on January 22, 2024, generally denying the Purchaser’s allegations and asserting certain counterclaims. The HKIAC Tribunal issued a procedural order on April 17, 2024 setting the evidentiary hearing to be held on September 2025. We are not able to determine the outcome of this dispute or the likelihood or amount of our loss or recovery, if any, arising from this matter.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 forth our consolidated results of operations for the periods presented and as a percentage of our revenue for those periods (in thousands, except percentages):</w:t>
      </w:r>
    </w:p>
    <w:p>
      <w:pPr>
        <w:pStyle w:val="TextBody"/>
        <w:bidi w:val="0"/>
        <w:spacing w:before="0" w:after="0"/>
        <w:ind w:left="0" w:right="0" w:firstLine="720"/>
        <w:jc w:val="left"/>
        <w:rPr/>
      </w:pPr>
      <w:r>
        <w:rPr/>
        <w:t> </w:t>
      </w:r>
    </w:p>
    <w:tbl>
      <w:tblPr>
        <w:tblW w:w="9849" w:type="dxa"/>
        <w:jc w:val="left"/>
        <w:tblInd w:w="0" w:type="dxa"/>
        <w:tblLayout w:type="fixed"/>
        <w:tblCellMar>
          <w:top w:w="0" w:type="dxa"/>
          <w:left w:w="0" w:type="dxa"/>
          <w:bottom w:w="0" w:type="dxa"/>
          <w:right w:w="0" w:type="dxa"/>
        </w:tblCellMar>
      </w:tblPr>
      <w:tblGrid>
        <w:gridCol w:w="2735"/>
        <w:gridCol w:w="60"/>
        <w:gridCol w:w="125"/>
        <w:gridCol w:w="650"/>
        <w:gridCol w:w="80"/>
        <w:gridCol w:w="60"/>
        <w:gridCol w:w="60"/>
        <w:gridCol w:w="485"/>
        <w:gridCol w:w="245"/>
        <w:gridCol w:w="60"/>
        <w:gridCol w:w="125"/>
        <w:gridCol w:w="650"/>
        <w:gridCol w:w="80"/>
        <w:gridCol w:w="60"/>
        <w:gridCol w:w="60"/>
        <w:gridCol w:w="485"/>
        <w:gridCol w:w="245"/>
        <w:gridCol w:w="60"/>
        <w:gridCol w:w="127"/>
        <w:gridCol w:w="663"/>
        <w:gridCol w:w="81"/>
        <w:gridCol w:w="61"/>
        <w:gridCol w:w="61"/>
        <w:gridCol w:w="494"/>
        <w:gridCol w:w="245"/>
        <w:gridCol w:w="60"/>
        <w:gridCol w:w="127"/>
        <w:gridCol w:w="663"/>
        <w:gridCol w:w="81"/>
        <w:gridCol w:w="61"/>
        <w:gridCol w:w="61"/>
        <w:gridCol w:w="494"/>
        <w:gridCol w:w="24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2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24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4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83,943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94,645</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66,790</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77,503</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17,142</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0"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9,707</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4,596</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30,545</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25,502</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65,042</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47,274</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(47,889</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(30,132</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0"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(49,285</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(33,229</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(49,285</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(33,237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Financial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three and six months ended June 30, 2024 and 2023 (in thousands, except percentages):</w:t>
      </w:r>
    </w:p>
    <w:p>
      <w:pPr>
        <w:pStyle w:val="TextBody"/>
        <w:bidi w:val="0"/>
        <w:spacing w:before="0" w:after="0"/>
        <w:ind w:left="0" w:right="0" w:firstLine="720"/>
        <w:jc w:val="left"/>
        <w:rPr/>
      </w:pPr>
      <w:r>
        <w:rPr/>
        <w:t> </w:t>
      </w:r>
    </w:p>
    <w:tbl>
      <w:tblPr>
        <w:tblW w:w="6605"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81"/>
        <w:gridCol w:w="659"/>
        <w:gridCol w:w="185"/>
        <w:gridCol w:w="60"/>
        <w:gridCol w:w="125"/>
        <w:gridCol w:w="590"/>
        <w:gridCol w:w="60"/>
        <w:gridCol w:w="60"/>
        <w:gridCol w:w="81"/>
        <w:gridCol w:w="659"/>
        <w:gridCol w:w="185"/>
        <w:gridCol w:w="60"/>
        <w:gridCol w:w="129"/>
        <w:gridCol w:w="566"/>
        <w:gridCol w:w="80"/>
        <w:gridCol w:w="60"/>
        <w:gridCol w:w="60"/>
        <w:gridCol w:w="545"/>
        <w:gridCol w:w="245"/>
      </w:tblGrid>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tbl>
      <w:tblPr>
        <w:tblW w:w="6685"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81"/>
        <w:gridCol w:w="659"/>
        <w:gridCol w:w="185"/>
        <w:gridCol w:w="60"/>
        <w:gridCol w:w="125"/>
        <w:gridCol w:w="590"/>
        <w:gridCol w:w="60"/>
        <w:gridCol w:w="60"/>
        <w:gridCol w:w="81"/>
        <w:gridCol w:w="659"/>
        <w:gridCol w:w="185"/>
        <w:gridCol w:w="60"/>
        <w:gridCol w:w="125"/>
        <w:gridCol w:w="650"/>
        <w:gridCol w:w="80"/>
        <w:gridCol w:w="60"/>
        <w:gridCol w:w="60"/>
        <w:gridCol w:w="545"/>
        <w:gridCol w:w="245"/>
      </w:tblGrid>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60" w:type="dxa"/>
            <w:gridSpan w:val="2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The changes in revenue during the three and six months ended </w:t>
      </w:r>
      <w:r>
        <w:rPr>
          <w:rFonts w:ascii="Times New Roman;Times;serif" w:hAnsi="Times New Roman;Times;serif"/>
          <w:sz w:val="20"/>
        </w:rPr>
        <w:t>June 30, 2024 and 2023</w:t>
      </w:r>
      <w:r>
        <w:rPr>
          <w:rFonts w:ascii="Times New Roman;Times;serif" w:hAnsi="Times New Roman;Times;serif"/>
          <w:sz w:val="20"/>
          <w:shd w:fill="FFFFFF" w:val="clear"/>
        </w:rPr>
        <w:t xml:space="preserve"> were </w:t>
      </w:r>
      <w:r>
        <w:rPr>
          <w:rFonts w:ascii="Times New Roman;Times;serif" w:hAnsi="Times New Roman;Times;serif"/>
          <w:sz w:val="20"/>
        </w:rPr>
        <w:t>primarily due to increased demand from major data center customers, offset by weak demand from CATV and Telecom customers. CATV demand in the 3 months ended June 30, 2024 was lower than in the corresponding period in the prior year largely due to a pending technology transition from older-generation products compliant with the Data Over Cable Service Interface Specification (DOCSIS) version 3.1, to the newer DOCSIS 4.0 standard. Due to the pending transition from the older to newer standard, customers are placing fewer orders for the older products and instead reducing their inventory of such products.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begun to see increased orders for our 400G data center products from several large customers. </w:t>
      </w:r>
      <w:r>
        <w:rPr>
          <w:rFonts w:ascii="Times New Roman;Times;serif" w:hAnsi="Times New Roman;Times;serif"/>
          <w:color w:val="000000"/>
          <w:sz w:val="20"/>
        </w:rPr>
        <w:t xml:space="preserve">Based on forecasts from our customers, we expect increased demand for these products through the end of 2024. </w:t>
      </w:r>
      <w:r>
        <w:rPr>
          <w:rFonts w:ascii="Times New Roman;Times;serif" w:hAnsi="Times New Roman;Times;serif"/>
          <w:sz w:val="20"/>
        </w:rPr>
        <w:t>We entered into a supply agreement with Microsoft to design certain datacenter goods and to build a supply chain to manufacture, assemble, sell and ship the goods to them or an authorized purchasing entity. The initial term of the agreement is five years with automatic renewal unless terminated earlier.</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our existing datacenter customers, we have also begun to receive orders from a hyperscale datacenter customer from which we have not received significant orders in several years. While the new customer interaction is not material within the quarter, we believe that both this new customer interaction and much of the growth in our existing datacenter business is related to efforts by these customers to increase processing capacity within their datacenters, largely to accommodate applications enabled by generative artificial intelligence ("AI").</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For the three months ended </w:t>
      </w:r>
      <w:r>
        <w:rPr>
          <w:rFonts w:ascii="Times New Roman;Times;serif" w:hAnsi="Times New Roman;Times;serif"/>
          <w:sz w:val="20"/>
        </w:rPr>
        <w:t>June 30, 2024 and 2023</w:t>
      </w:r>
      <w:r>
        <w:rPr>
          <w:rFonts w:ascii="Times New Roman;Times;serif" w:hAnsi="Times New Roman;Times;serif"/>
          <w:sz w:val="20"/>
          <w:shd w:fill="FFFFFF" w:val="clear"/>
        </w:rPr>
        <w:t xml:space="preserve">, our top ten customers represented 94% and 88.1% of our revenue, respectively. For the six months ended </w:t>
      </w:r>
      <w:r>
        <w:rPr>
          <w:rFonts w:ascii="Times New Roman;Times;serif" w:hAnsi="Times New Roman;Times;serif"/>
          <w:sz w:val="20"/>
        </w:rPr>
        <w:t>June 30, 2024 and 2023</w:t>
      </w:r>
      <w:r>
        <w:rPr>
          <w:rFonts w:ascii="Times New Roman;Times;serif" w:hAnsi="Times New Roman;Times;serif"/>
          <w:sz w:val="20"/>
          <w:shd w:fill="FFFFFF" w:val="clear"/>
        </w:rPr>
        <w:t>, our top ten customers represented 92.7% and 90.6%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goods sold and gross margin</w:t>
      </w:r>
    </w:p>
    <w:p>
      <w:pPr>
        <w:pStyle w:val="TextBody"/>
        <w:bidi w:val="0"/>
        <w:spacing w:before="0" w:after="0"/>
        <w:ind w:left="0" w:right="0" w:hanging="0"/>
        <w:jc w:val="left"/>
        <w:rPr/>
      </w:pPr>
      <w:r>
        <w:rPr/>
        <w:t>​</w:t>
      </w:r>
    </w:p>
    <w:tbl>
      <w:tblPr>
        <w:tblW w:w="6735" w:type="dxa"/>
        <w:jc w:val="left"/>
        <w:tblInd w:w="0" w:type="dxa"/>
        <w:tblLayout w:type="fixed"/>
        <w:tblCellMar>
          <w:top w:w="0" w:type="dxa"/>
          <w:left w:w="0" w:type="dxa"/>
          <w:bottom w:w="0" w:type="dxa"/>
          <w:right w:w="0" w:type="dxa"/>
        </w:tblCellMar>
      </w:tblPr>
      <w:tblGrid>
        <w:gridCol w:w="1535"/>
        <w:gridCol w:w="60"/>
        <w:gridCol w:w="125"/>
        <w:gridCol w:w="590"/>
        <w:gridCol w:w="60"/>
        <w:gridCol w:w="60"/>
        <w:gridCol w:w="100"/>
        <w:gridCol w:w="640"/>
        <w:gridCol w:w="185"/>
        <w:gridCol w:w="60"/>
        <w:gridCol w:w="64"/>
        <w:gridCol w:w="631"/>
        <w:gridCol w:w="60"/>
        <w:gridCol w:w="60"/>
        <w:gridCol w:w="100"/>
        <w:gridCol w:w="640"/>
        <w:gridCol w:w="185"/>
        <w:gridCol w:w="60"/>
        <w:gridCol w:w="142"/>
        <w:gridCol w:w="553"/>
        <w:gridCol w:w="80"/>
        <w:gridCol w:w="60"/>
        <w:gridCol w:w="60"/>
        <w:gridCol w:w="380"/>
        <w:gridCol w:w="245"/>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4895" w:type="dxa"/>
            <w:gridSpan w:val="2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6895" w:type="dxa"/>
        <w:jc w:val="left"/>
        <w:tblInd w:w="0" w:type="dxa"/>
        <w:tblLayout w:type="fixed"/>
        <w:tblCellMar>
          <w:top w:w="0" w:type="dxa"/>
          <w:left w:w="0" w:type="dxa"/>
          <w:bottom w:w="0" w:type="dxa"/>
          <w:right w:w="0" w:type="dxa"/>
        </w:tblCellMar>
      </w:tblPr>
      <w:tblGrid>
        <w:gridCol w:w="1535"/>
        <w:gridCol w:w="60"/>
        <w:gridCol w:w="125"/>
        <w:gridCol w:w="590"/>
        <w:gridCol w:w="60"/>
        <w:gridCol w:w="60"/>
        <w:gridCol w:w="100"/>
        <w:gridCol w:w="640"/>
        <w:gridCol w:w="185"/>
        <w:gridCol w:w="60"/>
        <w:gridCol w:w="125"/>
        <w:gridCol w:w="590"/>
        <w:gridCol w:w="60"/>
        <w:gridCol w:w="60"/>
        <w:gridCol w:w="100"/>
        <w:gridCol w:w="640"/>
        <w:gridCol w:w="185"/>
        <w:gridCol w:w="60"/>
        <w:gridCol w:w="125"/>
        <w:gridCol w:w="650"/>
        <w:gridCol w:w="80"/>
        <w:gridCol w:w="60"/>
        <w:gridCol w:w="60"/>
        <w:gridCol w:w="440"/>
        <w:gridCol w:w="245"/>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5055" w:type="dxa"/>
            <w:gridSpan w:val="2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Cost of goods sold was approximately the same for the three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and </w:t>
      </w:r>
      <w:r>
        <w:rPr>
          <w:rFonts w:ascii="Times New Roman;Times;serif" w:hAnsi="Times New Roman;Times;serif"/>
          <w:sz w:val="20"/>
        </w:rPr>
        <w:t>June 30, 2023</w:t>
      </w:r>
      <w:r>
        <w:rPr>
          <w:rFonts w:ascii="Times New Roman;Times;serif" w:hAnsi="Times New Roman;Times;serif"/>
          <w:sz w:val="20"/>
          <w:shd w:fill="FFFFFF" w:val="clear"/>
        </w:rPr>
        <w:t>. Cost of goods sold decreased by $10.7 million for the six months ended </w:t>
      </w:r>
      <w:r>
        <w:rPr>
          <w:rFonts w:ascii="Times New Roman;Times;serif" w:hAnsi="Times New Roman;Times;serif"/>
          <w:sz w:val="20"/>
        </w:rPr>
        <w:t>June 30, 2024</w:t>
      </w:r>
      <w:r>
        <w:rPr>
          <w:rFonts w:ascii="Times New Roman;Times;serif" w:hAnsi="Times New Roman;Times;serif"/>
          <w:sz w:val="20"/>
          <w:shd w:fill="FFFFFF" w:val="clear"/>
        </w:rPr>
        <w:t> ,compared to the six months ended  </w:t>
      </w:r>
      <w:r>
        <w:rPr>
          <w:rFonts w:ascii="Times New Roman;Times;serif" w:hAnsi="Times New Roman;Times;serif"/>
          <w:sz w:val="20"/>
        </w:rPr>
        <w:t>June 30, 2023</w:t>
      </w:r>
      <w:r>
        <w:rPr>
          <w:rFonts w:ascii="Times New Roman;Times;serif" w:hAnsi="Times New Roman;Times;serif"/>
          <w:sz w:val="20"/>
          <w:shd w:fill="FFFFFF" w:val="clear"/>
        </w:rPr>
        <w:t xml:space="preserve"> primarily due to lower sales, lower inventory write-off expenses and lower inventory reserve expenses in 2024</w:t>
      </w:r>
      <w:r>
        <w:rPr>
          <w:rFonts w:ascii="Times New Roman;Times;serif" w:hAnsi="Times New Roman;Times;serif"/>
          <w:color w:val="000000"/>
          <w:sz w:val="20"/>
          <w:shd w:fill="FFFFFF" w:val="clear"/>
        </w:rPr>
        <w:t>.</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Gross margin increased by $1.7 million for the three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June 30, 2023</w:t>
      </w:r>
      <w:r>
        <w:rPr>
          <w:rFonts w:ascii="Times New Roman;Times;serif" w:hAnsi="Times New Roman;Times;serif"/>
          <w:sz w:val="20"/>
          <w:shd w:fill="FFFFFF" w:val="clear"/>
        </w:rPr>
        <w:t>. The increase is primarily due to more sales of higher-margin datacenter products in the second quarter 2024, compared to the second quarter 2023. Gross profit was approximately the same for both six months ended </w:t>
      </w:r>
      <w:r>
        <w:rPr>
          <w:rFonts w:ascii="Times New Roman;Times;serif" w:hAnsi="Times New Roman;Times;serif"/>
          <w:sz w:val="20"/>
        </w:rPr>
        <w:t>June 30, 2024</w:t>
      </w:r>
      <w:r>
        <w:rPr>
          <w:rFonts w:ascii="Times New Roman;Times;serif" w:hAnsi="Times New Roman;Times;serif"/>
          <w:sz w:val="20"/>
          <w:shd w:fill="FFFFFF" w:val="clear"/>
        </w:rPr>
        <w:t xml:space="preserve"> and  </w:t>
      </w:r>
      <w:r>
        <w:rPr>
          <w:rFonts w:ascii="Times New Roman;Times;serif" w:hAnsi="Times New Roman;Times;serif"/>
          <w:sz w:val="20"/>
        </w:rPr>
        <w:t>June 30, 2023</w:t>
      </w:r>
      <w:r>
        <w:rPr>
          <w:rFonts w:ascii="Times New Roman;Times;serif" w:hAnsi="Times New Roman;Times;serif"/>
          <w:color w:val="000000"/>
          <w:sz w:val="20"/>
          <w:shd w:fill="FFFFFF" w:val="clear"/>
        </w:rPr>
        <w:t>.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0"/>
        <w:ind w:left="0" w:right="0" w:hanging="0"/>
        <w:jc w:val="left"/>
        <w:rPr/>
      </w:pPr>
      <w:r>
        <w:rPr/>
        <w:t> </w:t>
      </w:r>
    </w:p>
    <w:tbl>
      <w:tblPr>
        <w:tblW w:w="7385"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94"/>
        <w:gridCol w:w="601"/>
        <w:gridCol w:w="185"/>
        <w:gridCol w:w="60"/>
        <w:gridCol w:w="125"/>
        <w:gridCol w:w="590"/>
        <w:gridCol w:w="60"/>
        <w:gridCol w:w="60"/>
        <w:gridCol w:w="94"/>
        <w:gridCol w:w="601"/>
        <w:gridCol w:w="185"/>
        <w:gridCol w:w="60"/>
        <w:gridCol w:w="125"/>
        <w:gridCol w:w="590"/>
        <w:gridCol w:w="60"/>
        <w:gridCol w:w="60"/>
        <w:gridCol w:w="60"/>
        <w:gridCol w:w="485"/>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93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7385"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94"/>
        <w:gridCol w:w="601"/>
        <w:gridCol w:w="185"/>
        <w:gridCol w:w="60"/>
        <w:gridCol w:w="125"/>
        <w:gridCol w:w="590"/>
        <w:gridCol w:w="60"/>
        <w:gridCol w:w="60"/>
        <w:gridCol w:w="94"/>
        <w:gridCol w:w="601"/>
        <w:gridCol w:w="185"/>
        <w:gridCol w:w="60"/>
        <w:gridCol w:w="125"/>
        <w:gridCol w:w="590"/>
        <w:gridCol w:w="60"/>
        <w:gridCol w:w="60"/>
        <w:gridCol w:w="60"/>
        <w:gridCol w:w="485"/>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93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Research and development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Research and development expense increased by $4.4 million, or 51.4% for the three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June 30, 2023</w:t>
      </w:r>
      <w:r>
        <w:rPr>
          <w:rFonts w:ascii="Times New Roman;Times;serif" w:hAnsi="Times New Roman;Times;serif"/>
          <w:sz w:val="20"/>
          <w:shd w:fill="FFFFFF" w:val="clear"/>
        </w:rPr>
        <w:t>. Research and development expense increased by $7.6 million, or 44.3% for the six months ended </w:t>
      </w:r>
      <w:r>
        <w:rPr>
          <w:rFonts w:ascii="Times New Roman;Times;serif" w:hAnsi="Times New Roman;Times;serif"/>
          <w:sz w:val="20"/>
        </w:rPr>
        <w:t>June 30, 2024</w:t>
      </w:r>
      <w:r>
        <w:rPr>
          <w:rFonts w:ascii="Times New Roman;Times;serif" w:hAnsi="Times New Roman;Times;serif"/>
          <w:sz w:val="20"/>
          <w:shd w:fill="FFFFFF" w:val="clear"/>
        </w:rPr>
        <w:t xml:space="preserve"> compared to the same period ended </w:t>
      </w:r>
      <w:r>
        <w:rPr>
          <w:rFonts w:ascii="Times New Roman;Times;serif" w:hAnsi="Times New Roman;Times;serif"/>
          <w:sz w:val="20"/>
        </w:rPr>
        <w:t>June 30, 2023</w:t>
      </w:r>
      <w:r>
        <w:rPr>
          <w:rFonts w:ascii="Times New Roman;Times;serif" w:hAnsi="Times New Roman;Times;serif"/>
          <w:sz w:val="20"/>
          <w:shd w:fill="FFFFFF" w:val="clear"/>
        </w:rPr>
        <w:t xml:space="preserve">. </w:t>
      </w:r>
      <w:r>
        <w:rPr>
          <w:rFonts w:ascii="Times New Roman;Times;serif" w:hAnsi="Times New Roman;Times;serif"/>
          <w:sz w:val="20"/>
        </w:rPr>
        <w:t>The increases were primarily due to increased</w:t>
      </w:r>
      <w:r>
        <w:rPr>
          <w:rFonts w:ascii="Times New Roman;Times;serif" w:hAnsi="Times New Roman;Times;serif"/>
          <w:color w:val="000000"/>
          <w:sz w:val="20"/>
        </w:rPr>
        <w:t xml:space="preserve"> personnel-related expense, increased R&amp;D related project costs and increased R&amp;D consulting fees for ongoing R&amp;D projects.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Sales and marketing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Sales and marketing expense increased by $3.6 million, or 160.5% for the three months ended June 30, 2024 compared to the three months ended June 30, 2023. Sales and marketing expense increased by $5.1 million, or 111.2 % for the six months ended June 30, 2024 compared to the same period ended June 30, 2023. The increases were primarily </w:t>
      </w:r>
      <w:r>
        <w:rPr>
          <w:rFonts w:ascii="Times New Roman;Times;serif" w:hAnsi="Times New Roman;Times;serif"/>
          <w:color w:val="000000"/>
          <w:sz w:val="20"/>
        </w:rPr>
        <w:t>due to the increased business development effort in our CATV and Datacenter businesses and higher shipping costs.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General and administrative expense increased by $3.9 million, or 29.8% for the three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June 30, 2023</w:t>
      </w:r>
      <w:r>
        <w:rPr>
          <w:rFonts w:ascii="Times New Roman;Times;serif" w:hAnsi="Times New Roman;Times;serif"/>
          <w:sz w:val="20"/>
          <w:shd w:fill="FFFFFF" w:val="clear"/>
        </w:rPr>
        <w:t>. General and administrative expense increased by $5.0 million, or 19.8% for the six months ended </w:t>
      </w:r>
      <w:r>
        <w:rPr>
          <w:rFonts w:ascii="Times New Roman;Times;serif" w:hAnsi="Times New Roman;Times;serif"/>
          <w:sz w:val="20"/>
        </w:rPr>
        <w:t>June 30, 2024</w:t>
      </w:r>
      <w:r>
        <w:rPr>
          <w:rFonts w:ascii="Times New Roman;Times;serif" w:hAnsi="Times New Roman;Times;serif"/>
          <w:sz w:val="20"/>
          <w:shd w:fill="FFFFFF" w:val="clear"/>
        </w:rPr>
        <w:t xml:space="preserve"> compared to the same period ended </w:t>
      </w:r>
      <w:r>
        <w:rPr>
          <w:rFonts w:ascii="Times New Roman;Times;serif" w:hAnsi="Times New Roman;Times;serif"/>
          <w:sz w:val="20"/>
        </w:rPr>
        <w:t>June 30, 2023</w:t>
      </w:r>
      <w:r>
        <w:rPr>
          <w:rFonts w:ascii="Times New Roman;Times;serif" w:hAnsi="Times New Roman;Times;serif"/>
          <w:sz w:val="20"/>
          <w:shd w:fill="FFFFFF" w:val="clear"/>
        </w:rPr>
        <w:t>. The increases were primarily due to higher legal fees and higher share-based compensation expense.</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before="0" w:after="0"/>
        <w:ind w:left="0" w:right="0" w:hanging="0"/>
        <w:jc w:val="left"/>
        <w:rPr/>
      </w:pPr>
      <w:r>
        <w:rPr/>
        <w:t>​</w:t>
      </w:r>
    </w:p>
    <w:tbl>
      <w:tblPr>
        <w:tblW w:w="8130" w:type="dxa"/>
        <w:jc w:val="left"/>
        <w:tblInd w:w="0" w:type="dxa"/>
        <w:tblLayout w:type="fixed"/>
        <w:tblCellMar>
          <w:top w:w="0" w:type="dxa"/>
          <w:left w:w="0" w:type="dxa"/>
          <w:bottom w:w="0" w:type="dxa"/>
          <w:right w:w="0" w:type="dxa"/>
        </w:tblCellMar>
      </w:tblPr>
      <w:tblGrid>
        <w:gridCol w:w="2735"/>
        <w:gridCol w:w="60"/>
        <w:gridCol w:w="129"/>
        <w:gridCol w:w="566"/>
        <w:gridCol w:w="80"/>
        <w:gridCol w:w="60"/>
        <w:gridCol w:w="104"/>
        <w:gridCol w:w="591"/>
        <w:gridCol w:w="245"/>
        <w:gridCol w:w="60"/>
        <w:gridCol w:w="129"/>
        <w:gridCol w:w="566"/>
        <w:gridCol w:w="80"/>
        <w:gridCol w:w="60"/>
        <w:gridCol w:w="104"/>
        <w:gridCol w:w="591"/>
        <w:gridCol w:w="245"/>
        <w:gridCol w:w="60"/>
        <w:gridCol w:w="142"/>
        <w:gridCol w:w="553"/>
        <w:gridCol w:w="60"/>
        <w:gridCol w:w="60"/>
        <w:gridCol w:w="60"/>
        <w:gridCol w:w="54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0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8070" w:type="dxa"/>
        <w:jc w:val="left"/>
        <w:tblInd w:w="0" w:type="dxa"/>
        <w:tblLayout w:type="fixed"/>
        <w:tblCellMar>
          <w:top w:w="0" w:type="dxa"/>
          <w:left w:w="0" w:type="dxa"/>
          <w:bottom w:w="0" w:type="dxa"/>
          <w:right w:w="0" w:type="dxa"/>
        </w:tblCellMar>
      </w:tblPr>
      <w:tblGrid>
        <w:gridCol w:w="2735"/>
        <w:gridCol w:w="60"/>
        <w:gridCol w:w="129"/>
        <w:gridCol w:w="566"/>
        <w:gridCol w:w="80"/>
        <w:gridCol w:w="60"/>
        <w:gridCol w:w="104"/>
        <w:gridCol w:w="591"/>
        <w:gridCol w:w="245"/>
        <w:gridCol w:w="60"/>
        <w:gridCol w:w="129"/>
        <w:gridCol w:w="566"/>
        <w:gridCol w:w="80"/>
        <w:gridCol w:w="60"/>
        <w:gridCol w:w="104"/>
        <w:gridCol w:w="591"/>
        <w:gridCol w:w="245"/>
        <w:gridCol w:w="60"/>
        <w:gridCol w:w="142"/>
        <w:gridCol w:w="553"/>
        <w:gridCol w:w="60"/>
        <w:gridCol w:w="60"/>
        <w:gridCol w:w="60"/>
        <w:gridCol w:w="48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03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income increased by $56 thousand, or 151.4% for the three months ended June 30, 2024 compared to the three months ended June 30, 2023. Interest income increased by $283 thousand or 404.3% for the six months ended June 30, 2024 compared to the same period ended June 30, 2023. The increases were due to </w:t>
      </w:r>
      <w:r>
        <w:rPr>
          <w:rFonts w:ascii="Times New Roman;Times;serif" w:hAnsi="Times New Roman;Times;serif"/>
          <w:color w:val="000000"/>
          <w:sz w:val="20"/>
        </w:rPr>
        <w:t>higher saving balances and higher interest rate on our saving account in the first half year of 2024</w:t>
      </w:r>
      <w:r>
        <w:rPr>
          <w:rFonts w:ascii="Times New Roman;Times;serif" w:hAnsi="Times New Roman;Times;serif"/>
          <w:color w:val="CC0000"/>
          <w:sz w:val="20"/>
        </w:rPr>
        <w:t>.</w:t>
      </w:r>
      <w:r>
        <w:rPr>
          <w:rFonts w:ascii="Times New Roman;Times;serif" w:hAnsi="Times New Roman;Times;serif"/>
          <w:sz w:val="20"/>
        </w:rPr>
        <w: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expense decreased by $0.5 million, or 22.2% for the three months ended June 30, 2024 compared to the three months ended June 30, 2023. Interest expense decreased by $0.9 million, or 21.9% for the six months ended June 30, 2024 compared to the same period ended June 30, 2023. The decreases were due to </w:t>
      </w:r>
      <w:r>
        <w:rPr>
          <w:rFonts w:ascii="Times New Roman;Times;serif" w:hAnsi="Times New Roman;Times;serif"/>
          <w:color w:val="000000"/>
          <w:sz w:val="20"/>
        </w:rPr>
        <w:t>the termination of the loan with CIT Northbridge in November 2023.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Other income (expenses) increased by $0.6 million, or 48.2%, for the three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June 30, 2023</w:t>
      </w:r>
      <w:r>
        <w:rPr>
          <w:rFonts w:ascii="Times New Roman;Times;serif" w:hAnsi="Times New Roman;Times;serif"/>
          <w:sz w:val="20"/>
          <w:shd w:fill="FFFFFF" w:val="clear"/>
        </w:rPr>
        <w:t>.</w:t>
      </w:r>
      <w:r>
        <w:rPr>
          <w:rFonts w:ascii="Times New Roman;Times;serif" w:hAnsi="Times New Roman;Times;serif"/>
          <w:sz w:val="20"/>
        </w:rPr>
        <w:t xml:space="preserve"> </w:t>
      </w:r>
      <w:r>
        <w:rPr>
          <w:rFonts w:ascii="Times New Roman;Times;serif" w:hAnsi="Times New Roman;Times;serif"/>
          <w:sz w:val="20"/>
          <w:shd w:fill="FFFFFF" w:val="clear"/>
        </w:rPr>
        <w:t>Other income (expenses) increased by $0.5 million, or 41.5%, for the six months ended </w:t>
      </w:r>
      <w:r>
        <w:rPr>
          <w:rFonts w:ascii="Times New Roman;Times;serif" w:hAnsi="Times New Roman;Times;serif"/>
          <w:sz w:val="20"/>
        </w:rPr>
        <w:t>June 30, 2024</w:t>
      </w:r>
      <w:r>
        <w:rPr>
          <w:rFonts w:ascii="Times New Roman;Times;serif" w:hAnsi="Times New Roman;Times;serif"/>
          <w:sz w:val="20"/>
          <w:shd w:fill="FFFFFF" w:val="clear"/>
        </w:rPr>
        <w:t xml:space="preserve"> compared to the same period ended </w:t>
      </w:r>
      <w:r>
        <w:rPr>
          <w:rFonts w:ascii="Times New Roman;Times;serif" w:hAnsi="Times New Roman;Times;serif"/>
          <w:sz w:val="20"/>
        </w:rPr>
        <w:t>June 30, 2023</w:t>
      </w:r>
      <w:r>
        <w:rPr>
          <w:rFonts w:ascii="Times New Roman;Times;serif" w:hAnsi="Times New Roman;Times;serif"/>
          <w:sz w:val="20"/>
          <w:shd w:fill="FFFFFF" w:val="clear"/>
        </w:rPr>
        <w:t>.These increases were mainly due to the resolution of legal matters</w:t>
      </w:r>
      <w:r>
        <w:rPr>
          <w:rFonts w:ascii="Times New Roman;Times;serif" w:hAnsi="Times New Roman;Times;serif"/>
          <w:color w:val="000000"/>
          <w:sz w:val="20"/>
        </w:rPr>
        <w:t>, more government subsidy and positive foreign exchange impact.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Benefit (provision) for income taxes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Company’s effective tax rate for the three months </w:t>
      </w:r>
      <w:r>
        <w:rPr>
          <w:rFonts w:ascii="Times New Roman;Times;serif" w:hAnsi="Times New Roman;Times;serif"/>
          <w:sz w:val="20"/>
        </w:rPr>
        <w:t>ended June 30, 2024 and 2023</w:t>
      </w:r>
      <w:r>
        <w:rPr>
          <w:rFonts w:ascii="Times New Roman;Times;serif" w:hAnsi="Times New Roman;Times;serif"/>
          <w:sz w:val="20"/>
          <w:shd w:fill="FFFFFF" w:val="clear"/>
        </w:rPr>
        <w:t xml:space="preserve"> was 0%. The effective tax rate varied from the federal statutory rate of 21% primarily due to the change of the valuation allowance on federal, state, Taiwan, and China deferred tax assets ("DTA").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On August 9, 2022, the Creating Helpful Incentives to Produce Semiconductors Act ("CHIPS Act") was enacted.  Among its provisions, the bill provides various federal grants, tax credits, and incentives for investment in the United States.  On August 16, 2022, the Inflation Reduction Act ("IRA") was also signed into law. Among other provisions, the IRA imposes a 15% corporate alternative minimum tax ("Corporate AMT") for tax years beginning after December 31, 2022, imposes a 1% excise tax on corporate stock repurchases after December 31, 2022, and provides tax incentives to promote various energy efficient initiatives. To the extent that we make investments in expanding manufacturing in our semiconductor fabrication facility in Texas, we believe that the CHIPS Act would provide a refundable tax credit for certain equipment and facilities upgrades. We did not make significant such investments in the six months ended June 30, 2024, but we intend to continue to evaluate future investments for applicability to the tax credit provisions of the CHIPS Act.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Comprehensive Loss</w:t>
      </w:r>
    </w:p>
    <w:p>
      <w:pPr>
        <w:pStyle w:val="TextBody"/>
        <w:bidi w:val="0"/>
        <w:spacing w:before="0" w:after="0"/>
        <w:ind w:left="0" w:right="0" w:hanging="0"/>
        <w:jc w:val="left"/>
        <w:rPr/>
      </w:pPr>
      <w:r>
        <w:rPr/>
        <w:t> </w:t>
      </w:r>
    </w:p>
    <w:tbl>
      <w:tblPr>
        <w:tblW w:w="9360" w:type="dxa"/>
        <w:jc w:val="left"/>
        <w:tblInd w:w="0" w:type="dxa"/>
        <w:tblLayout w:type="fixed"/>
        <w:tblCellMar>
          <w:top w:w="0" w:type="dxa"/>
          <w:left w:w="0" w:type="dxa"/>
          <w:bottom w:w="0" w:type="dxa"/>
          <w:right w:w="0" w:type="dxa"/>
        </w:tblCellMar>
      </w:tblPr>
      <w:tblGrid>
        <w:gridCol w:w="3890"/>
        <w:gridCol w:w="60"/>
        <w:gridCol w:w="125"/>
        <w:gridCol w:w="650"/>
        <w:gridCol w:w="80"/>
        <w:gridCol w:w="60"/>
        <w:gridCol w:w="83"/>
        <w:gridCol w:w="612"/>
        <w:gridCol w:w="245"/>
        <w:gridCol w:w="60"/>
        <w:gridCol w:w="125"/>
        <w:gridCol w:w="650"/>
        <w:gridCol w:w="80"/>
        <w:gridCol w:w="60"/>
        <w:gridCol w:w="83"/>
        <w:gridCol w:w="612"/>
        <w:gridCol w:w="245"/>
        <w:gridCol w:w="60"/>
        <w:gridCol w:w="129"/>
        <w:gridCol w:w="566"/>
        <w:gridCol w:w="80"/>
        <w:gridCol w:w="60"/>
        <w:gridCol w:w="60"/>
        <w:gridCol w:w="440"/>
        <w:gridCol w:w="245"/>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16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9320" w:type="dxa"/>
        <w:jc w:val="left"/>
        <w:tblInd w:w="0" w:type="dxa"/>
        <w:tblLayout w:type="fixed"/>
        <w:tblCellMar>
          <w:top w:w="0" w:type="dxa"/>
          <w:left w:w="0" w:type="dxa"/>
          <w:bottom w:w="0" w:type="dxa"/>
          <w:right w:w="0" w:type="dxa"/>
        </w:tblCellMar>
      </w:tblPr>
      <w:tblGrid>
        <w:gridCol w:w="3890"/>
        <w:gridCol w:w="60"/>
        <w:gridCol w:w="125"/>
        <w:gridCol w:w="650"/>
        <w:gridCol w:w="80"/>
        <w:gridCol w:w="60"/>
        <w:gridCol w:w="83"/>
        <w:gridCol w:w="612"/>
        <w:gridCol w:w="245"/>
        <w:gridCol w:w="60"/>
        <w:gridCol w:w="125"/>
        <w:gridCol w:w="650"/>
        <w:gridCol w:w="80"/>
        <w:gridCol w:w="60"/>
        <w:gridCol w:w="83"/>
        <w:gridCol w:w="612"/>
        <w:gridCol w:w="245"/>
        <w:gridCol w:w="60"/>
        <w:gridCol w:w="125"/>
        <w:gridCol w:w="650"/>
        <w:gridCol w:w="80"/>
        <w:gridCol w:w="60"/>
        <w:gridCol w:w="60"/>
        <w:gridCol w:w="380"/>
        <w:gridCol w:w="185"/>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18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Comprehensive loss increased by $4.7 million, or 21.2%, for the three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June 30, 2023</w:t>
      </w:r>
      <w:r>
        <w:rPr>
          <w:rFonts w:ascii="Times New Roman;Times;serif" w:hAnsi="Times New Roman;Times;serif"/>
          <w:sz w:val="20"/>
          <w:shd w:fill="FFFFFF" w:val="clear"/>
        </w:rPr>
        <w:t> Comprehensive loss increased by $13.1 million, or 35.5%, for the six months ended </w:t>
      </w:r>
      <w:r>
        <w:rPr>
          <w:rFonts w:ascii="Times New Roman;Times;serif" w:hAnsi="Times New Roman;Times;serif"/>
          <w:sz w:val="20"/>
        </w:rPr>
        <w:t>June 30, 2024</w:t>
      </w:r>
      <w:r>
        <w:rPr>
          <w:rFonts w:ascii="Times New Roman;Times;serif" w:hAnsi="Times New Roman;Times;serif"/>
          <w:sz w:val="20"/>
          <w:shd w:fill="FFFFFF" w:val="clear"/>
        </w:rPr>
        <w:t xml:space="preserve"> as compared to the same period ended </w:t>
      </w:r>
      <w:r>
        <w:rPr>
          <w:rFonts w:ascii="Times New Roman;Times;serif" w:hAnsi="Times New Roman;Times;serif"/>
          <w:sz w:val="20"/>
        </w:rPr>
        <w:t>June 30, 2023</w:t>
      </w:r>
      <w:r>
        <w:rPr>
          <w:rFonts w:ascii="Times New Roman;Times;serif" w:hAnsi="Times New Roman;Times;serif"/>
          <w:sz w:val="20"/>
          <w:shd w:fill="FFFFFF" w:val="clear"/>
        </w:rPr>
        <w:t> The changes were primarily due to increase of net loss of $9.2 million and $14.2 million respectively, and foreign currency translation adjustments for non-U.S. dollar functional currency operations of $4.4 million and $1.1 million,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2024, we ha</w:t>
      </w:r>
      <w:r>
        <w:rPr>
          <w:rFonts w:ascii="Times New Roman;Times;serif" w:hAnsi="Times New Roman;Times;serif"/>
          <w:sz w:val="20"/>
          <w:shd w:fill="FFFFFF" w:val="clear"/>
        </w:rPr>
        <w:t xml:space="preserve">d $29.4 million </w:t>
      </w:r>
      <w:r>
        <w:rPr>
          <w:rFonts w:ascii="Times New Roman;Times;serif" w:hAnsi="Times New Roman;Times;serif"/>
          <w:sz w:val="20"/>
        </w:rPr>
        <w:t>of unused borrowing capacity from all of our loan agreements. As of June 30, 2024, our cash, cash equivalents and restricted cash totale</w:t>
      </w:r>
      <w:r>
        <w:rPr>
          <w:rFonts w:ascii="Times New Roman;Times;serif" w:hAnsi="Times New Roman;Times;serif"/>
          <w:sz w:val="20"/>
          <w:shd w:fill="FFFFFF" w:val="clear"/>
        </w:rPr>
        <w:t xml:space="preserve">d $16.1 million. </w:t>
      </w:r>
      <w:r>
        <w:rPr>
          <w:rFonts w:ascii="Times New Roman;Times;serif" w:hAnsi="Times New Roman;Times;serif"/>
          <w:sz w:val="20"/>
        </w:rPr>
        <w:t>Cash and cash equivalents are held for working capital purposes and are invested primarily in money market or time deposit funds. We do not enter into investments for trading or speculative purposes.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ATM Offerings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5, 2023, the Company filed a Registration Statement on Form S-3 with the Securities and Exchange Commission, which was declared effective on March 21, 2023, providing for the public offer and sale of certain securities of the Company from time to time, at our discretion, up to an aggregate amount of $185 million.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13, 2024, we entered into an Equity Distribution Agreement (the "Agreement") with Raymond James &amp; Associates (the "Sales Agent") pursuant to which the Company may issue and sell shares of the Company’s common stock, par value $0.001 per share (the "Shares") having an aggregate offering price of up to $25 million (the "ATM Offering"),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Agreement provides that the Sales Agent will be entitled to compensation of up to 2% of the gross sales price of the Shares sold through the Sales Agent from time to time. The Company has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 for reasonable out-of-pocket expenses, including the reasonable fees and disbursements of counsel incurred by the Sales Agent, up to a maximum of $30,000 in the aggregate. The Company agreed to indemnify the Sales Agent against certain liabilities, including liabilities under the Securities Act, or to contribute to payments that the Sales Agent may be required to make because of any of those liabilities.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As of June 30, 2024, we have sold approximately 1.7 million shares of the Company's common stock with an aggregate offering price of approximately $20.5 million under the current ATM Offering.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details of the shares of common stock sold through the ATM Offering are as follows (in thousands, except shares and weighted average per share price):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28" w:type="dxa"/>
          <w:right w:w="0" w:type="dxa"/>
        </w:tblCellMar>
      </w:tblPr>
      <w:tblGrid>
        <w:gridCol w:w="1821"/>
        <w:gridCol w:w="60"/>
        <w:gridCol w:w="754"/>
        <w:gridCol w:w="60"/>
        <w:gridCol w:w="88"/>
        <w:gridCol w:w="1250"/>
        <w:gridCol w:w="60"/>
        <w:gridCol w:w="60"/>
        <w:gridCol w:w="260"/>
        <w:gridCol w:w="1455"/>
        <w:gridCol w:w="60"/>
        <w:gridCol w:w="60"/>
        <w:gridCol w:w="175"/>
        <w:gridCol w:w="831"/>
        <w:gridCol w:w="60"/>
        <w:gridCol w:w="60"/>
        <w:gridCol w:w="538"/>
        <w:gridCol w:w="1446"/>
        <w:gridCol w:w="60"/>
        <w:gridCol w:w="60"/>
        <w:gridCol w:w="160"/>
        <w:gridCol w:w="760"/>
        <w:gridCol w:w="67"/>
      </w:tblGrid>
      <w:tr>
        <w:trPr/>
        <w:tc>
          <w:tcPr>
            <w:tcW w:w="1821"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 Agent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3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Per Share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Proceeds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8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to Distribution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Proceeds</w:t>
            </w:r>
          </w:p>
        </w:tc>
        <w:tc>
          <w:tcPr>
            <w:tcW w:w="67" w:type="dxa"/>
            <w:tcBorders/>
            <w:shd w:fill="FFFFFF" w:val="clear"/>
            <w:tcMar>
              <w:bottom w:w="0" w:type="dxa"/>
            </w:tcMar>
            <w:vAlign w:val="center"/>
          </w:tcPr>
          <w:p>
            <w:pPr>
              <w:pStyle w:val="TableContents"/>
              <w:bidi w:val="0"/>
              <w:spacing w:before="0" w:after="283"/>
              <w:jc w:val="left"/>
              <w:rPr/>
            </w:pPr>
            <w:r>
              <w:rPr/>
              <w:t> </w:t>
            </w:r>
          </w:p>
        </w:tc>
      </w:tr>
      <w:tr>
        <w:trPr/>
        <w:tc>
          <w:tcPr>
            <w:tcW w:w="182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754"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ind w:left="0" w:right="0" w:hanging="0"/>
              <w:jc w:val="left"/>
              <w:rPr/>
            </w:pPr>
            <w:r>
              <w:rPr/>
              <w:t> </w:t>
            </w:r>
          </w:p>
        </w:tc>
        <w:tc>
          <w:tcPr>
            <w:tcW w:w="12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3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w:t>
            </w:r>
          </w:p>
        </w:tc>
        <w:tc>
          <w:tcPr>
            <w:tcW w:w="67" w:type="dxa"/>
            <w:tcBorders/>
            <w:shd w:fill="CCEEFF" w:val="clear"/>
            <w:tcMar>
              <w:bottom w:w="0" w:type="dxa"/>
            </w:tcMar>
            <w:vAlign w:val="center"/>
          </w:tcPr>
          <w:p>
            <w:pPr>
              <w:pStyle w:val="TableContents"/>
              <w:bidi w:val="0"/>
              <w:spacing w:before="0" w:after="283"/>
              <w:jc w:val="left"/>
              <w:rPr/>
            </w:pPr>
            <w:r>
              <w:rPr/>
              <w:t> </w:t>
            </w:r>
          </w:p>
        </w:tc>
      </w:tr>
      <w:tr>
        <w:trPr/>
        <w:tc>
          <w:tcPr>
            <w:tcW w:w="182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Raymond James &amp; Associates, Inc.</w:t>
            </w:r>
          </w:p>
        </w:tc>
        <w:tc>
          <w:tcPr>
            <w:tcW w:w="60" w:type="dxa"/>
            <w:tcBorders/>
            <w:shd w:fill="FFFFFF" w:val="clear"/>
            <w:tcMar>
              <w:bottom w:w="0" w:type="dxa"/>
            </w:tcMar>
            <w:vAlign w:val="center"/>
          </w:tcPr>
          <w:p>
            <w:pPr>
              <w:pStyle w:val="TableContents"/>
              <w:bidi w:val="0"/>
              <w:spacing w:before="0" w:after="283"/>
              <w:jc w:val="right"/>
              <w:rPr/>
            </w:pPr>
            <w:r>
              <w:rPr/>
              <w:t> </w:t>
            </w:r>
          </w:p>
        </w:tc>
        <w:tc>
          <w:tcPr>
            <w:tcW w:w="754"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May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718,605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8" w:type="dxa"/>
            <w:tcBorders/>
            <w:shd w:fill="FFFFFF" w:val="clear"/>
            <w:tcMar>
              <w:bottom w:w="0" w:type="dxa"/>
            </w:tcMar>
            <w:vAlign w:val="center"/>
          </w:tcPr>
          <w:p>
            <w:pPr>
              <w:pStyle w:val="TableContents"/>
              <w:bidi w:val="0"/>
              <w:spacing w:before="0" w:after="283"/>
              <w:jc w:val="left"/>
              <w:rPr/>
            </w:pPr>
            <w:r>
              <w:rPr/>
              <w:t> </w:t>
            </w:r>
          </w:p>
        </w:tc>
        <w:tc>
          <w:tcPr>
            <w:tcW w:w="144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7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8,519</w:t>
            </w:r>
          </w:p>
        </w:tc>
        <w:tc>
          <w:tcPr>
            <w:tcW w:w="67" w:type="dxa"/>
            <w:tcBorders/>
            <w:shd w:fill="FFFFFF" w:val="clear"/>
            <w:tcMar>
              <w:bottom w:w="0" w:type="dxa"/>
            </w:tcMar>
            <w:vAlign w:val="center"/>
          </w:tcPr>
          <w:p>
            <w:pPr>
              <w:pStyle w:val="TableContents"/>
              <w:bidi w:val="0"/>
              <w:spacing w:before="0" w:after="283"/>
              <w:jc w:val="left"/>
              <w:rPr/>
            </w:pPr>
            <w:r>
              <w:rPr/>
              <w:t> </w:t>
            </w:r>
          </w:p>
        </w:tc>
      </w:tr>
      <w:tr>
        <w:trPr/>
        <w:tc>
          <w:tcPr>
            <w:tcW w:w="182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Raymond James &amp; Associates, Inc.</w:t>
            </w:r>
          </w:p>
        </w:tc>
        <w:tc>
          <w:tcPr>
            <w:tcW w:w="60" w:type="dxa"/>
            <w:tcBorders/>
            <w:shd w:fill="CCEEFF" w:val="clear"/>
            <w:tcMar>
              <w:bottom w:w="0" w:type="dxa"/>
            </w:tcMar>
            <w:vAlign w:val="center"/>
          </w:tcPr>
          <w:p>
            <w:pPr>
              <w:pStyle w:val="TableContents"/>
              <w:bidi w:val="0"/>
              <w:spacing w:before="0" w:after="283"/>
              <w:jc w:val="right"/>
              <w:rPr/>
            </w:pPr>
            <w:r>
              <w:rPr/>
              <w:t> </w:t>
            </w:r>
          </w:p>
        </w:tc>
        <w:tc>
          <w:tcPr>
            <w:tcW w:w="754"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760,055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10.2962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8"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7,669</w:t>
            </w:r>
          </w:p>
        </w:tc>
        <w:tc>
          <w:tcPr>
            <w:tcW w:w="67" w:type="dxa"/>
            <w:tcBorders/>
            <w:shd w:fill="CCEEFF" w:val="clear"/>
            <w:tcMar>
              <w:bottom w:w="0" w:type="dxa"/>
            </w:tcMar>
            <w:vAlign w:val="center"/>
          </w:tcPr>
          <w:p>
            <w:pPr>
              <w:pStyle w:val="TableContents"/>
              <w:bidi w:val="0"/>
              <w:spacing w:before="0" w:after="283"/>
              <w:jc w:val="left"/>
              <w:rPr/>
            </w:pPr>
            <w:r>
              <w:rPr/>
              <w:t> </w:t>
            </w:r>
          </w:p>
        </w:tc>
      </w:tr>
      <w:tr>
        <w:trPr/>
        <w:tc>
          <w:tcPr>
            <w:tcW w:w="2635" w:type="dxa"/>
            <w:gridSpan w:val="3"/>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1,748,726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3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20,108</w:t>
            </w:r>
          </w:p>
        </w:tc>
        <w:tc>
          <w:tcPr>
            <w:tcW w:w="6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Note Offerings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5, 2023, the Company issued $80.2 million of 5.25% convertible senior notes due 2026 (the "2026 Notes"), bearing interest at a rate of 5.25% per year maturing on December 5, 2026, unless earlier repurchased, redeemed or converted in accordance with their terms. The sale of the 2026 Notes generated net proceeds of $76.2 million, after expenses.  Also, refer to Note 12 "Convertible Senior Notes" to the consolidated financial statements for further discussion of the 2026 Notes.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firstLine="18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selected cash flow data for the periods presented (in thousands):</w:t>
      </w:r>
    </w:p>
    <w:p>
      <w:pPr>
        <w:pStyle w:val="TextBody"/>
        <w:bidi w:val="0"/>
        <w:spacing w:before="0" w:after="0"/>
        <w:ind w:left="0" w:right="0" w:firstLine="720"/>
        <w:jc w:val="left"/>
        <w:rPr/>
      </w:pPr>
      <w:r>
        <w:rPr/>
        <w:t>​</w:t>
      </w:r>
    </w:p>
    <w:tbl>
      <w:tblPr>
        <w:tblW w:w="6732" w:type="dxa"/>
        <w:jc w:val="left"/>
        <w:tblInd w:w="0" w:type="dxa"/>
        <w:tblLayout w:type="fixed"/>
        <w:tblCellMar>
          <w:top w:w="0" w:type="dxa"/>
          <w:left w:w="0" w:type="dxa"/>
          <w:bottom w:w="0" w:type="dxa"/>
          <w:right w:w="0" w:type="dxa"/>
        </w:tblCellMar>
      </w:tblPr>
      <w:tblGrid>
        <w:gridCol w:w="4355"/>
        <w:gridCol w:w="60"/>
        <w:gridCol w:w="165"/>
        <w:gridCol w:w="861"/>
        <w:gridCol w:w="106"/>
        <w:gridCol w:w="79"/>
        <w:gridCol w:w="165"/>
        <w:gridCol w:w="861"/>
        <w:gridCol w:w="8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(30,470</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5,868</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(12,156</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(38,979</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r>
        <w:rPr>
          <w:shd w:fill="FFFF00" w:val="clea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For the six months ended June 30, 2024, net cash used in operating activities was $30.5 million. Net cash used in operating activities consisted of our net loss of $49.3 million after exclusion of non-cash items of $30.5 million. Cash decreased due to accounts receivable increase of $11.4 million, accrued liability decrease of $1.2 million, offset by inventory decrease of $5.6 million.  </w:t>
      </w:r>
    </w:p>
    <w:p>
      <w:pPr>
        <w:pStyle w:val="TextBody"/>
        <w:bidi w:val="0"/>
        <w:spacing w:before="0" w:after="0"/>
        <w:ind w:left="0" w:right="0" w:firstLine="720"/>
        <w:jc w:val="left"/>
        <w:rPr/>
      </w:pPr>
      <w:r>
        <w:rPr/>
        <w:t> </w:t>
      </w:r>
    </w:p>
    <w:p>
      <w:pPr>
        <w:pStyle w:val="TextBody"/>
        <w:bidi w:val="0"/>
        <w:ind w:left="0" w:right="0" w:firstLine="540"/>
        <w:jc w:val="left"/>
        <w:rPr>
          <w:rFonts w:ascii="Times New Roman" w:hAnsi="Times New Roman"/>
          <w:sz w:val="20"/>
        </w:rPr>
      </w:pPr>
      <w:r>
        <w:rPr>
          <w:rFonts w:ascii="Times New Roman" w:hAnsi="Times New Roman"/>
          <w:sz w:val="20"/>
        </w:rPr>
        <w:t xml:space="preserve">For the six months ended June 30, 2023, net cash generated in operating activities was $5.9 million. Net cash provided by operating activities consisted of our net loss of $33.2 million after exclusion of non-cash items of $20.4 million. Cash increased due to a net decrease in accounts and trade notes receivable of $18.1 million, together with a decrease in inventory of $7.0 million and a major customer advance payment for unearned revenue of $8.7 million, offset with a decrease in accounts payable of $12.7 million and accrued liabilities of $2.4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Investing activities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2024, net cash used in investing activities was $12.2 million, mainly for the purchase of additional plant, machinery and equipment.</w:t>
      </w:r>
    </w:p>
    <w:p>
      <w:pPr>
        <w:pStyle w:val="TextBody"/>
        <w:bidi w:val="0"/>
        <w:spacing w:before="0" w:after="0"/>
        <w:ind w:left="0" w:right="0" w:firstLine="720"/>
        <w:jc w:val="left"/>
        <w:rPr/>
      </w:pPr>
      <w:r>
        <w:rPr/>
        <w:t> </w:t>
      </w:r>
    </w:p>
    <w:p>
      <w:pPr>
        <w:pStyle w:val="TextBody"/>
        <w:bidi w:val="0"/>
        <w:ind w:left="0" w:right="0" w:firstLine="720"/>
        <w:jc w:val="left"/>
        <w:rPr>
          <w:rFonts w:ascii="Times New Roman" w:hAnsi="Times New Roman"/>
          <w:sz w:val="20"/>
        </w:rPr>
      </w:pPr>
      <w:r>
        <w:rPr>
          <w:rFonts w:ascii="Times New Roman" w:hAnsi="Times New Roman"/>
          <w:sz w:val="20"/>
        </w:rPr>
        <w:t xml:space="preserve">For the six months ended June 30, 2023, net cash used in investing activities was $1.9 million, mainly for the purchase of additional plant, machinery and equipment.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2024, net cash provided by financing activities was $3.1 million. This increase was due to the proceeds from the ATM program of $20 million, offset by the net repayment of bank acceptance of $10.4 million, cash settlement and other related tax payment of share-based compensation of $5.5 million.</w:t>
      </w:r>
    </w:p>
    <w:p>
      <w:pPr>
        <w:pStyle w:val="TextBody"/>
        <w:bidi w:val="0"/>
        <w:spacing w:before="0" w:after="0"/>
        <w:ind w:left="0" w:right="0" w:firstLine="720"/>
        <w:jc w:val="left"/>
        <w:rPr/>
      </w:pPr>
      <w:r>
        <w:rPr/>
        <w:t> </w:t>
      </w:r>
    </w:p>
    <w:p>
      <w:pPr>
        <w:pStyle w:val="TextBody"/>
        <w:bidi w:val="0"/>
        <w:ind w:left="0" w:right="0" w:firstLine="720"/>
        <w:jc w:val="left"/>
        <w:rPr>
          <w:rFonts w:ascii="Times New Roman" w:hAnsi="Times New Roman"/>
          <w:sz w:val="20"/>
        </w:rPr>
      </w:pPr>
      <w:r>
        <w:rPr>
          <w:rFonts w:ascii="Times New Roman" w:hAnsi="Times New Roman"/>
          <w:sz w:val="20"/>
        </w:rPr>
        <w:t xml:space="preserve">For the six months ended June 30, 2023, net cash used in financing activities was $11.8 million. This decrease in cash was due to repayment of $18.6 million on our lines of credit and repayment of $3.3 million bank acceptances payable, offset by net proceeds of $10.3 million from the ATM Offering. </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Loans and commitments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color w:val="000000"/>
          <w:sz w:val="20"/>
        </w:rPr>
        <w:t xml:space="preserve">We have lending arrangements with two financial institutions in China. Currently, in the US, we do not have any lending arrangement. As of </w:t>
      </w:r>
      <w:r>
        <w:rPr>
          <w:rFonts w:ascii="Times New Roman;Times;serif" w:hAnsi="Times New Roman;Times;serif"/>
          <w:sz w:val="20"/>
        </w:rPr>
        <w:t>June 30, 2024</w:t>
      </w:r>
      <w:r>
        <w:rPr>
          <w:rFonts w:ascii="Times New Roman;Times;serif" w:hAnsi="Times New Roman;Times;serif"/>
          <w:color w:val="000000"/>
          <w:sz w:val="20"/>
        </w:rPr>
        <w:t>, we were in compliance with the covenant in the lending arrangements.</w:t>
      </w:r>
    </w:p>
    <w:p>
      <w:pPr>
        <w:pStyle w:val="TextBody"/>
        <w:bidi w:val="0"/>
        <w:spacing w:before="0" w:after="0"/>
        <w:ind w:left="0" w:right="0" w:firstLine="720"/>
        <w:jc w:val="left"/>
        <w:rPr>
          <w:color w:val="FF0000"/>
        </w:rPr>
      </w:pPr>
      <w:r>
        <w:rPr>
          <w:color w:val="FF000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June 30, 2024</w:t>
      </w:r>
      <w:r>
        <w:rPr>
          <w:rFonts w:ascii="Times New Roman;Times;serif" w:hAnsi="Times New Roman;Times;serif"/>
          <w:sz w:val="20"/>
          <w:shd w:fill="FFFFFF" w:val="clear"/>
        </w:rPr>
        <w:t>, we had $29.4 million of unused borrowing capacity.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On December 5, 2023, we issued $80.2 million of 5.25% convertible senior notes due in 2026. The 2026 Notes mature on December 5, 2026, unless earlier repurchased, redeemed or converted in accordance with their terms.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11 "Notes Payable and Long-term Debt" and Note 12 "Convertible Senior Notes" of our Condensed Consolidated Financial Statements for a description of our notes payable and long-term debt and convertible senior notes.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China factory construction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June 30, 2024, construction of the building shell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 Based on forecasts, we believe the factory will be placed in service in the year 2024 after the construction is completed for the building interior work. Property will be transferred from construction in progress to building and improvement at that time.</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Future liquidity needs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cash, cash equivalents and restricted cash of $16.1 million as of June 30, 2024, a decrease of approximately $39.0 million compared to December 31, 2023.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2024, we </w:t>
      </w:r>
      <w:r>
        <w:rPr>
          <w:rFonts w:ascii="Times New Roman;Times;serif" w:hAnsi="Times New Roman;Times;serif"/>
          <w:color w:val="000000"/>
          <w:sz w:val="20"/>
        </w:rPr>
        <w:t>had a total loan balance (excluding convertible notes) of $22.5 million from</w:t>
      </w:r>
      <w:r>
        <w:rPr>
          <w:rFonts w:ascii="Times New Roman;Times;serif" w:hAnsi="Times New Roman;Times;serif"/>
          <w:sz w:val="20"/>
        </w:rPr>
        <w:t xml:space="preserve"> various lenders in China and had $29.4 million available borrowing capacity on existing credit lines. Should additional liquidity be needed, our Board has authorized issuance of equity totaling up to $</w:t>
      </w:r>
      <w:r>
        <w:rPr>
          <w:rFonts w:ascii="Times New Roman;Times;serif" w:hAnsi="Times New Roman;Times;serif"/>
          <w:color w:val="000000"/>
          <w:sz w:val="20"/>
        </w:rPr>
        <w:t>25</w:t>
      </w:r>
      <w:r>
        <w:rPr>
          <w:rFonts w:ascii="Times New Roman;Times;serif" w:hAnsi="Times New Roman;Times;serif"/>
          <w:sz w:val="20"/>
        </w:rPr>
        <w:t>million under the ATM Offering (see the discussion of "Liquidity and Capital Resources" in Item 2). As of June 30, 2024, we had raised $20.5 million under the authorized ATM Offering, and still had $4.5 million available.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pStyle w:val="TextBody"/>
        <w:bidi w:val="0"/>
        <w:spacing w:before="0" w:after="0"/>
        <w:ind w:left="0" w:right="0" w:firstLine="36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refer to Item 7 "Management's Discussion and Analysis of Financial Condition and Results of Operations" in the Company's Annual Report on Form 10-K for the fiscal year ended December 31, 2023 for a complete discussion of its contractual obligations and commitments.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annual inflation rate in the US reduced to 3.4% in 2023. Even though inflation has slowed from the peak, it remained well above the Federal Reserve's objective of 2%. The annual inflation rate in Taiwan came down to 2.7% in 2023 from 2.95% in 2022. The cost of inflation was reflected in increases in shipping costs, labor rates, and in costs of some raw materials. We believe these decreases are related to the supply chain pressure easing and decreasing commodity prices, however the labor market is still tight, and the wage pressure is still high. We cannot be sure when or if prices will return to pre-pandemic levels. Compared to other major economies in the world, China has a stable level of inflation, which has not had a significant impact on our sales or operating results. We do not believe that inflation had a material impact on our business, financial condition, or results of operations during the three months ended June 30, 2024. However, there is no guarantee that we may increase selling prices or reduce costs to fully mitigate the effect of inflation on our costs, which may adversely impact our sales margins and profitability.</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our Annual Report for the year ended December 31, 2023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service and product warranties, share based compensation expense, estimated useful lives of property and equipment,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2" w:name="item3"/>
      <w:bookmarkEnd w:id="12"/>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quantitative and qualitative disclosures about market risk affecting the Company, see Item 7A – Quantitative and Qualitative Disclosures about Market Risk in our Annual Report for the fiscal year ended December 31, 2023. We do not believe the Company’s exposure to market risk has changed materially since December 31, 2023.</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3" w:name="item4"/>
      <w:bookmarkEnd w:id="13"/>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June 30, 2024. Based upon that evaluation, our Chief Executive Officer and Chief Financial Officer concluded that, as of the end of the period covered by this report, our disclosure controls and procedures were effective.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pStyle w:val="TextBody"/>
        <w:bidi w:val="0"/>
        <w:spacing w:before="0" w:after="0"/>
        <w:ind w:left="0" w:right="0" w:firstLine="720"/>
        <w:jc w:val="left"/>
        <w:rPr/>
      </w:pPr>
      <w:r>
        <w:rPr/>
        <w:t> </w:t>
      </w:r>
    </w:p>
    <w:p>
      <w:pPr>
        <w:pStyle w:val="TextBody"/>
        <w:bidi w:val="0"/>
        <w:spacing w:before="0" w:after="0"/>
        <w:ind w:left="0" w:right="0" w:firstLine="720"/>
        <w:jc w:val="center"/>
        <w:rPr>
          <w:rFonts w:ascii="Times New Roman;Times;serif" w:hAnsi="Times New Roman;Times;serif"/>
          <w:b/>
          <w:sz w:val="20"/>
        </w:rPr>
      </w:pPr>
      <w:bookmarkStart w:id="14" w:name="part2"/>
      <w:bookmarkEnd w:id="14"/>
      <w:r>
        <w:rPr>
          <w:rFonts w:ascii="Times New Roman;Times;serif" w:hAnsi="Times New Roman;Times;serif"/>
          <w:b/>
          <w:sz w:val="20"/>
        </w:rPr>
        <w:t>Part II. Other Information</w:t>
      </w:r>
    </w:p>
    <w:p>
      <w:pPr>
        <w:pStyle w:val="TextBody"/>
        <w:bidi w:val="0"/>
        <w:spacing w:before="0" w:after="283"/>
        <w:jc w:val="left"/>
        <w:rPr/>
      </w:pPr>
      <w:r>
        <w:rPr/>
        <w:t>​</w:t>
      </w:r>
    </w:p>
    <w:p>
      <w:pPr>
        <w:pStyle w:val="TextBody"/>
        <w:bidi w:val="0"/>
        <w:spacing w:before="0" w:after="0"/>
        <w:ind w:left="0" w:right="0" w:hanging="0"/>
        <w:jc w:val="left"/>
        <w:rPr>
          <w:rFonts w:ascii="Times New Roman;Times;serif" w:hAnsi="Times New Roman;Times;serif"/>
          <w:b/>
          <w:sz w:val="20"/>
        </w:rPr>
      </w:pPr>
      <w:bookmarkStart w:id="15" w:name="legal"/>
      <w:bookmarkEnd w:id="15"/>
      <w:r>
        <w:rPr>
          <w:rFonts w:ascii="Times New Roman;Times;serif" w:hAnsi="Times New Roman;Times;serif"/>
          <w:b/>
          <w:sz w:val="20"/>
        </w:rPr>
        <w:t>Item 1.   Legal Proceedings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Information with respect to legal proceedings can be found in Note 18 to the Condensed Consolidated Financial Statements contained in Part 1, Item 1 of this report.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bookmarkStart w:id="16" w:name="risk"/>
      <w:bookmarkEnd w:id="16"/>
      <w:r>
        <w:rPr>
          <w:rFonts w:ascii="Times New Roman;Times;serif" w:hAnsi="Times New Roman;Times;serif"/>
          <w:b/>
          <w:sz w:val="20"/>
        </w:rPr>
        <w:t>Item 1A.  Risk Factors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in our common stock involves a high degree of risk. See Part I, Item 1A, Risk Factors, of our Annual Report on Form 10-K for the year ended</w:t>
      </w:r>
      <w:r>
        <w:rPr>
          <w:rFonts w:ascii="Times New Roman;Times;serif" w:hAnsi="Times New Roman;Times;serif"/>
          <w:sz w:val="20"/>
          <w:shd w:fill="FFFFFF" w:val="clear"/>
        </w:rPr>
        <w:t xml:space="preserve"> December 31, 2023 f</w:t>
      </w:r>
      <w:r>
        <w:rPr>
          <w:rFonts w:ascii="Times New Roman;Times;serif" w:hAnsi="Times New Roman;Times;serif"/>
          <w:sz w:val="20"/>
        </w:rPr>
        <w:t>or a detailed discussion of the risk factors affecting our Company. As of June 30, 2024, there have been no material changes to those risk factors.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item5"/>
      <w:bookmarkEnd w:id="17"/>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i/>
          <w:sz w:val="20"/>
        </w:rPr>
        <w:t xml:space="preserve">Rule </w:t>
      </w:r>
      <w:r>
        <w:rPr>
          <w:rStyle w:val="Emphasis"/>
          <w:rFonts w:ascii="Times New Roman;Times;serif" w:hAnsi="Times New Roman;Times;serif"/>
          <w:b/>
          <w:i/>
          <w:sz w:val="20"/>
        </w:rPr>
        <w:t>10b5</w:t>
      </w:r>
      <w:r>
        <w:rPr>
          <w:rFonts w:ascii="Times New Roman;Times;serif" w:hAnsi="Times New Roman;Times;serif"/>
          <w:b/>
          <w:i/>
          <w:sz w:val="20"/>
        </w:rPr>
        <w:t>-</w:t>
      </w:r>
      <w:r>
        <w:rPr>
          <w:rStyle w:val="Emphasis"/>
          <w:rFonts w:ascii="Times New Roman;Times;serif" w:hAnsi="Times New Roman;Times;serif"/>
          <w:b/>
          <w:i/>
          <w:sz w:val="20"/>
        </w:rPr>
        <w:t>1</w:t>
      </w:r>
      <w:r>
        <w:rPr>
          <w:rFonts w:ascii="Times New Roman;Times;serif" w:hAnsi="Times New Roman;Times;serif"/>
          <w:b/>
          <w:i/>
          <w:sz w:val="20"/>
        </w:rPr>
        <w:t xml:space="preserve"> Trading Plans</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Times;serif" w:hAnsi="Times New Roman;Times;serif"/>
          <w:sz w:val="20"/>
        </w:rPr>
        <w:t xml:space="preserve">The adoption or termination of contracts, instructions or written plans for the purchase or sale of our securities by our Section </w:t>
      </w:r>
      <w:r>
        <w:rPr>
          <w:rStyle w:val="Emphasis"/>
          <w:rFonts w:ascii="Times New Roman;Times;serif" w:hAnsi="Times New Roman;Times;serif"/>
          <w:sz w:val="20"/>
        </w:rPr>
        <w:t>16</w:t>
      </w:r>
      <w:r>
        <w:rPr>
          <w:rFonts w:ascii="Times New Roman;Times;serif" w:hAnsi="Times New Roman;Times;serif"/>
          <w:sz w:val="20"/>
        </w:rPr>
        <w:t xml:space="preserve"> officers and directors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w:t>
      </w:r>
      <w:r>
        <w:rPr>
          <w:rFonts w:ascii="Times New Roman;Times;serif" w:hAnsi="Times New Roman;Times;serif"/>
          <w:sz w:val="20"/>
        </w:rPr>
        <w:t xml:space="preserve">each of which is intended to satisfy the affirmative defense conditions of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(c) under the Exchange Act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Plan"), were as follows: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Times;serif" w:hAnsi="Times New Roman;Times;serif"/>
          <w:sz w:val="20"/>
        </w:rPr>
        <w:t>None.</w:t>
      </w:r>
    </w:p>
    <w:tbl>
      <w:tblPr>
        <w:tblW w:w="390" w:type="dxa"/>
        <w:jc w:val="left"/>
        <w:tblInd w:w="0" w:type="dxa"/>
        <w:tblLayout w:type="fixed"/>
        <w:tblCellMar>
          <w:top w:w="0" w:type="dxa"/>
          <w:left w:w="0" w:type="dxa"/>
          <w:bottom w:w="28" w:type="dxa"/>
          <w:right w:w="0" w:type="dxa"/>
        </w:tblCellMar>
      </w:tblPr>
      <w:tblGrid>
        <w:gridCol w:w="75"/>
        <w:gridCol w:w="60"/>
        <w:gridCol w:w="60"/>
        <w:gridCol w:w="60"/>
        <w:gridCol w:w="60"/>
        <w:gridCol w:w="75"/>
      </w:tblGrid>
      <w:tr>
        <w:trPr/>
        <w:tc>
          <w:tcPr>
            <w:tcW w:w="75"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center"/>
              <w:rPr/>
            </w:pPr>
            <w:r>
              <w:rPr/>
              <w:t> </w:t>
            </w:r>
          </w:p>
        </w:tc>
        <w:tc>
          <w:tcPr>
            <w:tcW w:w="75" w:type="dxa"/>
            <w:tcBorders>
              <w:bottom w:val="single" w:sz="2" w:space="0" w:color="000000"/>
            </w:tcBorders>
            <w:vAlign w:val="center"/>
          </w:tcPr>
          <w:p>
            <w:pPr>
              <w:pStyle w:val="TableContents"/>
              <w:bidi w:val="0"/>
              <w:spacing w:before="0" w:after="283"/>
              <w:jc w:val="center"/>
              <w:rPr/>
            </w:pPr>
            <w:r>
              <w:rPr/>
              <w:t> </w:t>
            </w:r>
          </w:p>
        </w:tc>
      </w:tr>
      <w:tr>
        <w:trPr/>
        <w:tc>
          <w:tcPr>
            <w:tcW w:w="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8" w:name="exhibits"/>
      <w:bookmarkEnd w:id="18"/>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28" w:type="dxa"/>
          <w:right w:w="0" w:type="dxa"/>
        </w:tblCellMar>
      </w:tblPr>
      <w:tblGrid>
        <w:gridCol w:w="780"/>
        <w:gridCol w:w="240"/>
        <w:gridCol w:w="9185"/>
      </w:tblGrid>
      <w:tr>
        <w:trPr/>
        <w:tc>
          <w:tcPr>
            <w:tcW w:w="7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918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80" w:type="dxa"/>
            <w:tcBorders/>
            <w:tcMar>
              <w:bottom w:w="0" w:type="dxa"/>
            </w:tcMar>
            <w:vAlign w:val="center"/>
          </w:tcPr>
          <w:p>
            <w:pPr>
              <w:pStyle w:val="TableContents"/>
              <w:bidi w:val="0"/>
              <w:spacing w:before="0" w:after="283"/>
              <w:jc w:val="left"/>
              <w:rPr/>
            </w:pPr>
            <w:r>
              <w:rPr/>
              <w:t>3.1*</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hyperlink r:id="rId2">
              <w:r>
                <w:rPr>
                  <w:rStyle w:val="InternetLink"/>
                </w:rPr>
                <w:t>Amended and Restated Certificate of Incorporation (filed as Exhibit 3.1 to the Registrant's Current Report on Form 10-Q filed with the Securities and Exchange Commission on November 14, 2013).</w:t>
              </w:r>
            </w:hyperlink>
          </w:p>
        </w:tc>
      </w:tr>
      <w:tr>
        <w:trPr/>
        <w:tc>
          <w:tcPr>
            <w:tcW w:w="78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r>
              <w:rPr/>
              <w:t> </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sz w:val="20"/>
                </w:rPr>
                <w:t xml:space="preserve">Amended and Restated Certificate of Incorporation, as currently in effect (filed as Exhibit 3.1 to the Registrant’s </w:t>
              </w:r>
            </w:hyperlink>
            <w:hyperlink r:id="rId4">
              <w:r>
                <w:rPr>
                  <w:rStyle w:val="InternetLink"/>
                  <w:rFonts w:ascii="Times New Roman;Times;serif" w:hAnsi="Times New Roman;Times;serif"/>
                  <w:sz w:val="20"/>
                </w:rPr>
                <w:t xml:space="preserve">Current Report on Form 8-K </w:t>
              </w:r>
            </w:hyperlink>
            <w:hyperlink r:id="rId5">
              <w:r>
                <w:rPr>
                  <w:rStyle w:val="InternetLink"/>
                  <w:rFonts w:ascii="Times New Roman;Times;serif" w:hAnsi="Times New Roman;Times;serif"/>
                  <w:sz w:val="20"/>
                </w:rPr>
                <w:t xml:space="preserve">filed with the Securities and Exchange Commission on </w:t>
              </w:r>
            </w:hyperlink>
            <w:hyperlink r:id="rId6">
              <w:r>
                <w:rPr>
                  <w:rStyle w:val="InternetLink"/>
                  <w:rFonts w:ascii="Times New Roman;Times;serif" w:hAnsi="Times New Roman;Times;serif"/>
                  <w:sz w:val="20"/>
                </w:rPr>
                <w:t>September 7, 2023</w:t>
              </w:r>
            </w:hyperlink>
            <w:hyperlink r:id="rId7">
              <w:r>
                <w:rPr>
                  <w:rStyle w:val="InternetLink"/>
                  <w:rFonts w:ascii="Times New Roman;Times;serif" w:hAnsi="Times New Roman;Times;serif"/>
                  <w:sz w:val="20"/>
                </w:rPr>
                <w:t>).</w:t>
              </w:r>
            </w:hyperlink>
          </w:p>
        </w:tc>
      </w:tr>
      <w:tr>
        <w:trPr/>
        <w:tc>
          <w:tcPr>
            <w:tcW w:w="780"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r>
              <w:rPr/>
              <w:t> </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sz w:val="20"/>
                </w:rPr>
                <w:t>Amended and Restated Bylaws, as currently in effect (filed as Exhibit 3.2 to the Registrant’s Quarterly Report on Form 10-Q filed with the Securities and Exchange Commission on November 14, 2013).</w:t>
              </w:r>
            </w:hyperlink>
          </w:p>
        </w:tc>
      </w:tr>
      <w:tr>
        <w:trPr/>
        <w:tc>
          <w:tcPr>
            <w:tcW w:w="780"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r>
              <w:rPr/>
              <w:t> </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sz w:val="20"/>
                </w:rPr>
                <w:t>Common Stock Specimen (filed as Exhibit 4.1 to the Registrant’s Current Report on Form 8-K filed with the Securities and Exchange Commission on July 15, 2015).</w:t>
              </w:r>
            </w:hyperlink>
          </w:p>
        </w:tc>
      </w:tr>
      <w:tr>
        <w:trPr/>
        <w:tc>
          <w:tcPr>
            <w:tcW w:w="780"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r>
              <w:rPr/>
              <w:t>​</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sz w:val="20"/>
                </w:rPr>
                <w:t>Indenture, dated as of March 5, 2019 between Applied Optoelectronics, Inc. and Wells Fargo Bank, National Association, as trustee, paying agent, and conversion agent (filed as Exhibit 4.1 to the Registrant’s Current Report on Form 8-K filed with the Securities and Exchange Commission on March 5, 2019).</w:t>
              </w:r>
            </w:hyperlink>
          </w:p>
        </w:tc>
      </w:tr>
      <w:tr>
        <w:trPr/>
        <w:tc>
          <w:tcPr>
            <w:tcW w:w="780"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r>
              <w:rPr/>
              <w:t> </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r>
              <w:fldChar w:fldCharType="begin"/>
            </w:r>
            <w:r>
              <w:rPr>
                <w:rStyle w:val="InternetLink"/>
                <w:sz w:val="20"/>
                <w:rFonts w:ascii="Times New Roman;Times;serif" w:hAnsi="Times New Roman;Times;serif"/>
              </w:rPr>
              <w:instrText xml:space="preserve"> HYPERLINK "http://www.sec.gov/Archives/edgar/data/1158114/000110465919012900/a19-4821_4ex4d1.htm" \l "Exhibit4_1_094927"</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Form of Note representing the Company’s 5.00% Convertible Senior Notes due 2024 (included as Exhibit A to the Indenture filed as Exhibit 4.1 to the Registrant’s Current Report on Form 8-K filed with the Securities and Exchange Commission on March 5, 2019).</w:t>
            </w:r>
            <w:r>
              <w:rPr>
                <w:rStyle w:val="InternetLink"/>
                <w:sz w:val="20"/>
                <w:rFonts w:ascii="Times New Roman;Times;serif" w:hAnsi="Times New Roman;Times;serif"/>
              </w:rPr>
              <w:fldChar w:fldCharType="end"/>
            </w:r>
          </w:p>
        </w:tc>
      </w:tr>
      <w:tr>
        <w:trPr/>
        <w:tc>
          <w:tcPr>
            <w:tcW w:w="78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r>
              <w:rPr/>
              <w:t> </w:t>
            </w:r>
          </w:p>
        </w:tc>
      </w:tr>
      <w:tr>
        <w:trPr/>
        <w:tc>
          <w:tcPr>
            <w:tcW w:w="780" w:type="dxa"/>
            <w:tcBorders/>
            <w:tcMar>
              <w:bottom w:w="0" w:type="dxa"/>
            </w:tcMar>
            <w:vAlign w:val="center"/>
          </w:tcPr>
          <w:p>
            <w:pPr>
              <w:pStyle w:val="TableContents"/>
              <w:bidi w:val="0"/>
              <w:spacing w:before="0" w:after="283"/>
              <w:jc w:val="left"/>
              <w:rPr/>
            </w:pPr>
            <w:r>
              <w:rPr/>
              <w:t>4.4*</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hyperlink r:id="rId11">
              <w:r>
                <w:rPr>
                  <w:rStyle w:val="InternetLink"/>
                </w:rPr>
                <w:t>Indenture, dated as of December 5, 2023 between Applied Optoelectronics, Inc. and Computershare Trust Company, as trustee (filed as Exhibit 4.1 to the Registrant’s Current Report on Form 8-K filed with the Securities and Exchange Commission on December 5, 2023).</w:t>
              </w:r>
            </w:hyperlink>
          </w:p>
        </w:tc>
      </w:tr>
      <w:tr>
        <w:trPr/>
        <w:tc>
          <w:tcPr>
            <w:tcW w:w="78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r>
              <w:rPr/>
              <w:t> </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"http://www.sec.gov/Archives/edgar/data/1158114/000110465923123656/tm2331117d2_ex4-1.htm" \l "ex-a"</w:instrText>
            </w:r>
            <w:r>
              <w:rPr>
                <w:rStyle w:val="InternetLink"/>
              </w:rPr>
              <w:fldChar w:fldCharType="separate"/>
            </w:r>
            <w:r>
              <w:rPr>
                <w:rStyle w:val="InternetLink"/>
              </w:rPr>
              <w:t>Form of Note representing the Company’s 5.25% Convertible Senior Notes due 2026 (included as Exhibit 4.2 to the Registrant’s Current Report on Form 8-K filed with the Securities and Exchange Commission on December 5, 2023).</w:t>
            </w:r>
            <w:r>
              <w:rPr>
                <w:rStyle w:val="InternetLink"/>
              </w:rPr>
              <w:fldChar w:fldCharType="end"/>
            </w:r>
          </w:p>
        </w:tc>
      </w:tr>
      <w:tr>
        <w:trPr/>
        <w:tc>
          <w:tcPr>
            <w:tcW w:w="78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r>
              <w:rPr/>
              <w:t> </w:t>
            </w:r>
          </w:p>
        </w:tc>
      </w:tr>
      <w:tr>
        <w:trPr/>
        <w:tc>
          <w:tcPr>
            <w:tcW w:w="780" w:type="dxa"/>
            <w:tcBorders/>
            <w:tcMar>
              <w:bottom w:w="0" w:type="dxa"/>
            </w:tcMar>
            <w:vAlign w:val="center"/>
          </w:tcPr>
          <w:p>
            <w:pPr>
              <w:pStyle w:val="TableContents"/>
              <w:bidi w:val="0"/>
              <w:spacing w:before="0" w:after="283"/>
              <w:jc w:val="left"/>
              <w:rPr/>
            </w:pPr>
            <w:r>
              <w:rPr/>
              <w:t>4.6*</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hyperlink r:id="rId12">
              <w:r>
                <w:rPr>
                  <w:rStyle w:val="InternetLink"/>
                </w:rPr>
                <w:t>First Supplemental Indenture, dated as of December 5, 2023, between Applied Optoelectronics, Inc. and Computershare Trust Company, N.A., as trustee (included as Exhibit 4.3 to the Registrant’s Current Report on Form 8-K filed with the Securities and Exchange Commission on December 5, 2023).</w:t>
              </w:r>
            </w:hyperlink>
          </w:p>
        </w:tc>
      </w:tr>
      <w:tr>
        <w:trPr/>
        <w:tc>
          <w:tcPr>
            <w:tcW w:w="78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r>
              <w:rPr/>
              <w:t> </w:t>
            </w:r>
          </w:p>
        </w:tc>
      </w:tr>
      <w:tr>
        <w:trPr/>
        <w:tc>
          <w:tcPr>
            <w:tcW w:w="780" w:type="dxa"/>
            <w:tcBorders/>
            <w:tcMar>
              <w:bottom w:w="0" w:type="dxa"/>
            </w:tcMar>
            <w:vAlign w:val="center"/>
          </w:tcPr>
          <w:p>
            <w:pPr>
              <w:pStyle w:val="TableContents"/>
              <w:bidi w:val="0"/>
              <w:spacing w:before="0" w:after="283"/>
              <w:jc w:val="left"/>
              <w:rPr/>
            </w:pPr>
            <w:r>
              <w:rPr/>
              <w:t>10.1*</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hyperlink r:id="rId13">
              <w:r>
                <w:rPr>
                  <w:rStyle w:val="InternetLink"/>
                </w:rPr>
                <w:t>Translation of the Financing Credit Line Agreement, dated May 24, 2024, between Global Technology, Inc. and Shanghai Pudong Development Bank Co., Ltd. (included as Exhibit 10.1 to the Registrant’s Current Report on Form 8-K filed with the Securities and Exchange Commission on May 30, 2024).</w:t>
              </w:r>
            </w:hyperlink>
          </w:p>
        </w:tc>
      </w:tr>
      <w:tr>
        <w:trPr/>
        <w:tc>
          <w:tcPr>
            <w:tcW w:w="78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r>
              <w:rPr/>
              <w:t> </w:t>
            </w:r>
          </w:p>
        </w:tc>
      </w:tr>
      <w:tr>
        <w:trPr/>
        <w:tc>
          <w:tcPr>
            <w:tcW w:w="780" w:type="dxa"/>
            <w:tcBorders/>
            <w:tcMar>
              <w:bottom w:w="0" w:type="dxa"/>
            </w:tcMar>
            <w:vAlign w:val="center"/>
          </w:tcPr>
          <w:p>
            <w:pPr>
              <w:pStyle w:val="TableContents"/>
              <w:bidi w:val="0"/>
              <w:spacing w:before="0" w:after="283"/>
              <w:jc w:val="left"/>
              <w:rPr/>
            </w:pPr>
            <w:r>
              <w:rPr/>
              <w:t>10.2*</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hyperlink r:id="rId14">
              <w:r>
                <w:rPr>
                  <w:rStyle w:val="InternetLink"/>
                </w:rPr>
                <w:t>Translation of the Maximum Mortgage Contract (Security Agreement), dated May 24, 2024, between Global Technology, Inc. and Shanghai Pudong Development Bank Co., Ltd. (included as Exhibit 10.2 to the Registrant’s Current Report on Form 8-K filed with the Securities and Exchange Commission on May 30, 2024).</w:t>
              </w:r>
            </w:hyperlink>
          </w:p>
        </w:tc>
      </w:tr>
      <w:tr>
        <w:trPr/>
        <w:tc>
          <w:tcPr>
            <w:tcW w:w="78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5" w:type="dxa"/>
            <w:tcBorders/>
            <w:tcMar>
              <w:bottom w:w="0" w:type="dxa"/>
            </w:tcMar>
            <w:vAlign w:val="center"/>
          </w:tcPr>
          <w:p>
            <w:pPr>
              <w:pStyle w:val="TableContents"/>
              <w:bidi w:val="0"/>
              <w:spacing w:before="0" w:after="283"/>
              <w:jc w:val="left"/>
              <w:rPr/>
            </w:pPr>
            <w:r>
              <w:rPr/>
              <w:t> </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hyperlink w:anchor="ex_680732.htm">
              <w:r>
                <w:rPr>
                  <w:rStyle w:val="InternetLink"/>
                  <w:rFonts w:ascii="Times New Roman;Times;serif" w:hAnsi="Times New Roman;Times;serif"/>
                  <w:sz w:val="20"/>
                </w:rPr>
                <w:t>Certification of Chief Executive Officer pursuant to Exchange Act Rule, 13a-14(a) and 15d-14(a), as adopted pursuant to Section 302 of the Sarbanes-Oxley Act of 2002.</w:t>
              </w:r>
            </w:hyperlink>
          </w:p>
        </w:tc>
      </w:tr>
      <w:tr>
        <w:trPr/>
        <w:tc>
          <w:tcPr>
            <w:tcW w:w="780"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r>
              <w:rPr/>
              <w:t> </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hyperlink w:anchor="ex_680733.htm">
              <w:r>
                <w:rPr>
                  <w:rStyle w:val="InternetLink"/>
                  <w:rFonts w:ascii="Times New Roman;Times;serif" w:hAnsi="Times New Roman;Times;serif"/>
                  <w:sz w:val="20"/>
                </w:rPr>
                <w:t>Certification of Chief Financial Officer pursuant to Exchange Act Rule, 13a-14(a) and 15d-14(a), as adopted pursuant to Section 302 of the Sarbanes-Oxley Act of 2002.</w:t>
              </w:r>
            </w:hyperlink>
          </w:p>
        </w:tc>
      </w:tr>
      <w:tr>
        <w:trPr/>
        <w:tc>
          <w:tcPr>
            <w:tcW w:w="780"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r>
              <w:rPr/>
              <w:t> </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hyperlink w:anchor="ex_680734.htm">
              <w:r>
                <w:rPr>
                  <w:rStyle w:val="InternetLink"/>
                  <w:rFonts w:ascii="Times New Roman;Times;serif" w:hAnsi="Times New Roman;Times;serif"/>
                  <w:sz w:val="20"/>
                </w:rPr>
                <w:t>Certification pursuant to 18 U.S.C. 1350, adopted pursuant to Section 906 of the Sarbanes-Oxley Act of 2002, by Chief Executive Officer and Chief Financial Officer.</w:t>
              </w:r>
            </w:hyperlink>
          </w:p>
        </w:tc>
      </w:tr>
      <w:tr>
        <w:trPr/>
        <w:tc>
          <w:tcPr>
            <w:tcW w:w="780"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r>
              <w:rPr/>
              <w:t> </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78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283"/>
              <w:jc w:val="left"/>
              <w:rPr/>
            </w:pPr>
            <w:r>
              <w:rPr/>
              <w:t> </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8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283"/>
              <w:jc w:val="left"/>
              <w:rPr/>
            </w:pPr>
            <w:r>
              <w:rPr/>
              <w:t> </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80"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r>
              <w:rPr/>
              <w:t>​</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80"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r>
              <w:rPr/>
              <w:t>​</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80"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r>
              <w:rPr/>
              <w:t>​</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80"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pPr>
            <w:r>
              <w:rPr/>
              <w:t>​</w:t>
            </w:r>
          </w:p>
        </w:tc>
      </w:tr>
      <w:tr>
        <w:trPr/>
        <w:tc>
          <w:tcPr>
            <w:tcW w:w="7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Incorporated herein by reference to the indicated filing.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9" w:name="sigs"/>
      <w:bookmarkEnd w:id="19"/>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7080" w:type="dxa"/>
        <w:jc w:val="left"/>
        <w:tblInd w:w="0" w:type="dxa"/>
        <w:tblLayout w:type="fixed"/>
        <w:tblCellMar>
          <w:top w:w="0" w:type="dxa"/>
          <w:left w:w="0" w:type="dxa"/>
          <w:bottom w:w="0" w:type="dxa"/>
          <w:right w:w="0" w:type="dxa"/>
        </w:tblCellMar>
      </w:tblPr>
      <w:tblGrid>
        <w:gridCol w:w="1745"/>
        <w:gridCol w:w="320"/>
        <w:gridCol w:w="5015"/>
      </w:tblGrid>
      <w:tr>
        <w:trPr/>
        <w:tc>
          <w:tcPr>
            <w:tcW w:w="1745" w:type="dxa"/>
            <w:tcBorders/>
            <w:vAlign w:val="center"/>
          </w:tcPr>
          <w:p>
            <w:pPr>
              <w:pStyle w:val="TableContents"/>
              <w:bidi w:val="0"/>
              <w:spacing w:before="0" w:after="0"/>
              <w:ind w:left="0" w:right="0" w:hanging="0"/>
              <w:jc w:val="left"/>
              <w:rPr/>
            </w:pPr>
            <w:r>
              <w:rPr/>
              <w:t>​</w:t>
            </w:r>
          </w:p>
        </w:tc>
        <w:tc>
          <w:tcPr>
            <w:tcW w:w="53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APPLIED OPTOELECTRONICS, INC.</w:t>
            </w:r>
          </w:p>
        </w:tc>
      </w:tr>
      <w:tr>
        <w:trPr/>
        <w:tc>
          <w:tcPr>
            <w:tcW w:w="174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pPr>
            <w:r>
              <w:rPr/>
              <w:t>​</w:t>
            </w:r>
          </w:p>
        </w:tc>
      </w:tr>
      <w:tr>
        <w:trPr/>
        <w:tc>
          <w:tcPr>
            <w:tcW w:w="17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174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Stefan J. Murry</w:t>
            </w:r>
          </w:p>
        </w:tc>
      </w:tr>
      <w:tr>
        <w:trPr/>
        <w:tc>
          <w:tcPr>
            <w:tcW w:w="174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30 </w:t>
      </w:r>
    </w:p>
    <w:p>
      <w:pPr>
        <w:pStyle w:val="TextBody"/>
        <w:bidi w:val="0"/>
        <w:spacing w:before="0" w:after="0"/>
        <w:ind w:left="0" w:right="0" w:hanging="0"/>
        <w:jc w:val="right"/>
        <w:rPr>
          <w:rFonts w:ascii="Times New Roman;Times;serif" w:hAnsi="Times New Roman;Times;serif"/>
          <w:sz w:val="20"/>
        </w:rPr>
      </w:pPr>
      <w:bookmarkStart w:id="20" w:name="ex_680732.htm"/>
      <w:bookmarkStart w:id="21" w:name="ksex_680732"/>
      <w:bookmarkEnd w:id="20"/>
      <w:bookmarkEnd w:id="21"/>
      <w:r>
        <w:rPr>
          <w:rFonts w:ascii="Times New Roman;Times;serif" w:hAnsi="Times New Roman;Times;serif"/>
          <w:b/>
          <w:sz w:val="20"/>
        </w:rPr>
        <w:t>Exhibit 31.1</w:t>
      </w:r>
      <w:r>
        <w:rPr>
          <w:rFonts w:ascii="Times New Roman;Times;serif" w:hAnsi="Times New Roman;Times;serif"/>
          <w:sz w:val="20"/>
        </w:rPr>
        <w:t> </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Chih-Hsiang (Thompson) Lin,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p>
      <w:pPr>
        <w:pStyle w:val="TextBody"/>
        <w:bidi w:val="0"/>
        <w:spacing w:before="0" w:after="0"/>
        <w:ind w:left="0" w:right="0" w:hanging="0"/>
        <w:jc w:val="center"/>
        <w:rPr/>
      </w:pPr>
      <w:r>
        <w:rPr/>
        <w:t>  </w:t>
      </w:r>
    </w:p>
    <w:tbl>
      <w:tblPr>
        <w:tblW w:w="3140" w:type="dxa"/>
        <w:jc w:val="left"/>
        <w:tblInd w:w="0" w:type="dxa"/>
        <w:tblLayout w:type="fixed"/>
        <w:tblCellMar>
          <w:top w:w="0" w:type="dxa"/>
          <w:left w:w="0" w:type="dxa"/>
          <w:bottom w:w="28" w:type="dxa"/>
          <w:right w:w="0" w:type="dxa"/>
        </w:tblCellMar>
      </w:tblPr>
      <w:tblGrid>
        <w:gridCol w:w="3080"/>
        <w:gridCol w:w="6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2" w:name="ex_680733.htm"/>
      <w:bookmarkStart w:id="23" w:name="ksex_680733"/>
      <w:bookmarkEnd w:id="22"/>
      <w:bookmarkEnd w:id="23"/>
      <w:r>
        <w:rPr>
          <w:rFonts w:ascii="Times New Roman;Times;serif" w:hAnsi="Times New Roman;Times;serif"/>
          <w:b/>
          <w:sz w:val="20"/>
        </w:rPr>
        <w:t>Exhibit 31.2</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Stefan J. Murry,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p>
      <w:pPr>
        <w:pStyle w:val="TextBody"/>
        <w:bidi w:val="0"/>
        <w:spacing w:before="0" w:after="0"/>
        <w:ind w:left="0" w:right="0" w:hanging="0"/>
        <w:jc w:val="left"/>
        <w:rPr/>
      </w:pPr>
      <w:r>
        <w:rPr/>
        <w:t>    </w:t>
      </w:r>
    </w:p>
    <w:tbl>
      <w:tblPr>
        <w:tblW w:w="1970" w:type="dxa"/>
        <w:jc w:val="left"/>
        <w:tblInd w:w="0" w:type="dxa"/>
        <w:tblLayout w:type="fixed"/>
        <w:tblCellMar>
          <w:top w:w="0" w:type="dxa"/>
          <w:left w:w="0" w:type="dxa"/>
          <w:bottom w:w="28" w:type="dxa"/>
          <w:right w:w="0" w:type="dxa"/>
        </w:tblCellMar>
      </w:tblPr>
      <w:tblGrid>
        <w:gridCol w:w="1910"/>
        <w:gridCol w:w="60"/>
      </w:tblGrid>
      <w:tr>
        <w:trPr/>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4" w:name="ex_680734.htm"/>
      <w:bookmarkStart w:id="25" w:name="ksex_680734"/>
      <w:bookmarkEnd w:id="24"/>
      <w:bookmarkEnd w:id="25"/>
      <w:r>
        <w:rPr>
          <w:rFonts w:ascii="Times New Roman;Times;serif" w:hAnsi="Times New Roman;Times;serif"/>
          <w:b/>
          <w:sz w:val="20"/>
        </w:rPr>
        <w:t>Exhibit 32.1</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26" w:name="led539606F20242211711043696668"/>
            <w:bookmarkEnd w:id="26"/>
            <w:r>
              <w:rPr>
                <w:rFonts w:ascii="Times New Roman;Times;serif" w:hAnsi="Times New Roman;Times;serif"/>
                <w:sz w:val="20"/>
              </w:rPr>
              <w:t>June 30, 2024, to which this Certification is attached as Exhibit 32.1 (the “Quarterly Report”) fully complies with the requirements of Section 13(a) or Section 15(d) of the Exchange Act; and</w:t>
            </w:r>
          </w:p>
        </w:tc>
      </w:tr>
    </w:tbl>
    <w:p>
      <w:pPr>
        <w:pStyle w:val="TextBody"/>
        <w:bidi w:val="0"/>
        <w:spacing w:before="0" w:after="0"/>
        <w:ind w:left="864" w:right="0" w:hanging="504"/>
        <w:jc w:val="both"/>
        <w:rPr/>
      </w:pPr>
      <w:r>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6th day of August 2024.</w:t>
      </w:r>
    </w:p>
    <w:p>
      <w:pPr>
        <w:pStyle w:val="TextBody"/>
        <w:bidi w:val="0"/>
        <w:spacing w:before="0" w:after="0"/>
        <w:ind w:left="0" w:right="0" w:hanging="0"/>
        <w:jc w:val="center"/>
        <w:rPr/>
      </w:pPr>
      <w:r>
        <w:rPr/>
        <w:t>  </w:t>
      </w:r>
    </w:p>
    <w:tbl>
      <w:tblPr>
        <w:tblW w:w="5230" w:type="dxa"/>
        <w:jc w:val="left"/>
        <w:tblInd w:w="0" w:type="dxa"/>
        <w:tblLayout w:type="fixed"/>
        <w:tblCellMar>
          <w:top w:w="0" w:type="dxa"/>
          <w:left w:w="0" w:type="dxa"/>
          <w:bottom w:w="28" w:type="dxa"/>
          <w:right w:w="0" w:type="dxa"/>
        </w:tblCellMar>
      </w:tblPr>
      <w:tblGrid>
        <w:gridCol w:w="3080"/>
        <w:gridCol w:w="240"/>
        <w:gridCol w:w="191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58114/000101968713004306/aaoi_10q-ex0301.htm" TargetMode="External"/><Relationship Id="rId3" Type="http://schemas.openxmlformats.org/officeDocument/2006/relationships/hyperlink" Target="http://www.sec.gov/Archives/edgar/data/1158114/000101968713004306/aaoi_10q-ex0301.htm" TargetMode="External"/><Relationship Id="rId4" Type="http://schemas.openxmlformats.org/officeDocument/2006/relationships/hyperlink" Target="http://www.sec.gov/Archives/edgar/data/1158114/000168316823006330/appopto_ex0301.htm" TargetMode="External"/><Relationship Id="rId5" Type="http://schemas.openxmlformats.org/officeDocument/2006/relationships/hyperlink" Target="http://www.sec.gov/Archives/edgar/data/1158114/000168316823006330/appopto_ex0301.htm" TargetMode="External"/><Relationship Id="rId6" Type="http://schemas.openxmlformats.org/officeDocument/2006/relationships/hyperlink" Target="http://www.sec.gov/Archives/edgar/data/1158114/000168316823006330/appopto_ex0301.htm" TargetMode="External"/><Relationship Id="rId7" Type="http://schemas.openxmlformats.org/officeDocument/2006/relationships/hyperlink" Target="http://www.sec.gov/Archives/edgar/data/1158114/000168316823006330/appopto_ex0301.htm" TargetMode="External"/><Relationship Id="rId8" Type="http://schemas.openxmlformats.org/officeDocument/2006/relationships/hyperlink" Target="http://www.sec.gov/Archives/edgar/data/1158114/000101968713004306/aaoi_10q-ex0302.htm" TargetMode="External"/><Relationship Id="rId9" Type="http://schemas.openxmlformats.org/officeDocument/2006/relationships/hyperlink" Target="http://www.sec.gov/Archives/edgar/data/1158114/000110465915051289/a15-15715_1ex4d1.htm" TargetMode="External"/><Relationship Id="rId10" Type="http://schemas.openxmlformats.org/officeDocument/2006/relationships/hyperlink" Target="http://www.sec.gov/Archives/edgar/data/1158114/000110465919012900/a19-4821_4ex4d1.htm" TargetMode="External"/><Relationship Id="rId11" Type="http://schemas.openxmlformats.org/officeDocument/2006/relationships/hyperlink" Target="http://www.sec.gov/Archives/edgar/data/1158114/000110465923123656/tm2331117d2_ex4-1.htm" TargetMode="External"/><Relationship Id="rId12" Type="http://schemas.openxmlformats.org/officeDocument/2006/relationships/hyperlink" Target="http://www.sec.gov/Archives/edgar/data/1158114/000110465923123656/tm2331117d2_ex4-3.htm" TargetMode="External"/><Relationship Id="rId13" Type="http://schemas.openxmlformats.org/officeDocument/2006/relationships/hyperlink" Target="http://www.sec.gov/ix?doc=/Archives/edgar/data/1158114/000168316824003885/appliedopto_8k.htm" TargetMode="External"/><Relationship Id="rId14" Type="http://schemas.openxmlformats.org/officeDocument/2006/relationships/hyperlink" Target="http://www.sec.gov/ix?doc=/Archives/edgar/data/1158114/000168316824003885/appliedopto_8k.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18113</Words>
  <Characters>96175</Characters>
  <CharactersWithSpaces>116824</CharactersWithSpaces>
  <Paragraphs>8287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